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6FFB0" w14:textId="77777777" w:rsidR="00FB4ED1" w:rsidRDefault="00000000" w:rsidP="008F3058">
      <w:pPr>
        <w:autoSpaceDE w:val="0"/>
        <w:spacing w:afterLines="50" w:after="120"/>
        <w:ind w:left="-23" w:hanging="261"/>
        <w:jc w:val="center"/>
        <w:rPr>
          <w:rFonts w:ascii="標楷體" w:eastAsia="標楷體" w:hAnsi="標楷體"/>
          <w:b/>
          <w:bCs/>
          <w:sz w:val="32"/>
          <w:szCs w:val="32"/>
        </w:rPr>
      </w:pPr>
      <w:r>
        <w:rPr>
          <w:rFonts w:ascii="標楷體" w:eastAsia="標楷體" w:hAnsi="標楷體"/>
          <w:b/>
          <w:bCs/>
          <w:sz w:val="32"/>
          <w:szCs w:val="32"/>
        </w:rPr>
        <w:t>全民健康保險肝炎醫療給付改善方案</w:t>
      </w:r>
    </w:p>
    <w:p w14:paraId="2A7DACEF" w14:textId="77777777" w:rsidR="00FB4ED1" w:rsidRDefault="00000000">
      <w:pPr>
        <w:jc w:val="right"/>
        <w:rPr>
          <w:rFonts w:eastAsia="標楷體"/>
        </w:rPr>
      </w:pPr>
      <w:r>
        <w:rPr>
          <w:rFonts w:eastAsia="標楷體"/>
        </w:rPr>
        <w:t xml:space="preserve">99 </w:t>
      </w:r>
      <w:r>
        <w:rPr>
          <w:rFonts w:eastAsia="標楷體"/>
        </w:rPr>
        <w:t>年</w:t>
      </w:r>
      <w:r>
        <w:rPr>
          <w:rFonts w:eastAsia="標楷體"/>
        </w:rPr>
        <w:t xml:space="preserve"> 1 </w:t>
      </w:r>
      <w:r>
        <w:rPr>
          <w:rFonts w:eastAsia="標楷體"/>
        </w:rPr>
        <w:t>月</w:t>
      </w:r>
      <w:r>
        <w:rPr>
          <w:rFonts w:eastAsia="標楷體"/>
        </w:rPr>
        <w:t xml:space="preserve"> 1 </w:t>
      </w:r>
      <w:r>
        <w:rPr>
          <w:rFonts w:eastAsia="標楷體"/>
        </w:rPr>
        <w:t>日第一版實施</w:t>
      </w:r>
    </w:p>
    <w:p w14:paraId="3260289D" w14:textId="77777777" w:rsidR="00FB4ED1" w:rsidRDefault="00000000">
      <w:pPr>
        <w:jc w:val="right"/>
        <w:rPr>
          <w:rFonts w:eastAsia="標楷體"/>
        </w:rPr>
      </w:pPr>
      <w:r>
        <w:rPr>
          <w:rFonts w:eastAsia="標楷體"/>
        </w:rPr>
        <w:t xml:space="preserve">100 </w:t>
      </w:r>
      <w:r>
        <w:rPr>
          <w:rFonts w:eastAsia="標楷體"/>
        </w:rPr>
        <w:t>年</w:t>
      </w:r>
      <w:r>
        <w:rPr>
          <w:rFonts w:eastAsia="標楷體"/>
        </w:rPr>
        <w:t xml:space="preserve"> 1 </w:t>
      </w:r>
      <w:r>
        <w:rPr>
          <w:rFonts w:eastAsia="標楷體"/>
        </w:rPr>
        <w:t>月</w:t>
      </w:r>
      <w:r>
        <w:rPr>
          <w:rFonts w:eastAsia="標楷體"/>
        </w:rPr>
        <w:t xml:space="preserve"> 1 </w:t>
      </w:r>
      <w:r>
        <w:rPr>
          <w:rFonts w:eastAsia="標楷體"/>
        </w:rPr>
        <w:t>日修訂第二版</w:t>
      </w:r>
    </w:p>
    <w:p w14:paraId="2E02D612" w14:textId="77777777" w:rsidR="00FB4ED1" w:rsidRDefault="00000000">
      <w:pPr>
        <w:jc w:val="right"/>
        <w:rPr>
          <w:rFonts w:eastAsia="標楷體"/>
        </w:rPr>
      </w:pPr>
      <w:r>
        <w:rPr>
          <w:rFonts w:eastAsia="標楷體"/>
        </w:rPr>
        <w:t xml:space="preserve">102.01.01 </w:t>
      </w:r>
      <w:r>
        <w:rPr>
          <w:rFonts w:eastAsia="標楷體"/>
        </w:rPr>
        <w:t>修訂第三版</w:t>
      </w:r>
    </w:p>
    <w:p w14:paraId="3DDB2B82" w14:textId="77777777" w:rsidR="00FB4ED1" w:rsidRDefault="00000000">
      <w:pPr>
        <w:jc w:val="right"/>
        <w:rPr>
          <w:rFonts w:eastAsia="標楷體"/>
        </w:rPr>
      </w:pPr>
      <w:r>
        <w:rPr>
          <w:rFonts w:eastAsia="標楷體"/>
        </w:rPr>
        <w:t xml:space="preserve">102.07.29 </w:t>
      </w:r>
      <w:r>
        <w:rPr>
          <w:rFonts w:eastAsia="標楷體"/>
        </w:rPr>
        <w:t>修訂第四版</w:t>
      </w:r>
    </w:p>
    <w:p w14:paraId="1C20F232" w14:textId="77777777" w:rsidR="00FB4ED1" w:rsidRDefault="00000000">
      <w:pPr>
        <w:jc w:val="right"/>
        <w:rPr>
          <w:rFonts w:eastAsia="標楷體"/>
        </w:rPr>
      </w:pPr>
      <w:r>
        <w:rPr>
          <w:rFonts w:eastAsia="標楷體"/>
        </w:rPr>
        <w:t xml:space="preserve">104.05.25 </w:t>
      </w:r>
      <w:r>
        <w:rPr>
          <w:rFonts w:eastAsia="標楷體"/>
        </w:rPr>
        <w:t>修訂第五版</w:t>
      </w:r>
    </w:p>
    <w:p w14:paraId="36F82515" w14:textId="77777777" w:rsidR="00FB4ED1" w:rsidRDefault="00000000">
      <w:pPr>
        <w:jc w:val="right"/>
        <w:rPr>
          <w:rFonts w:eastAsia="標楷體"/>
        </w:rPr>
      </w:pPr>
      <w:r>
        <w:rPr>
          <w:rFonts w:eastAsia="標楷體"/>
        </w:rPr>
        <w:t xml:space="preserve">105.02.01 </w:t>
      </w:r>
      <w:r>
        <w:rPr>
          <w:rFonts w:eastAsia="標楷體"/>
        </w:rPr>
        <w:t>修訂第六版</w:t>
      </w:r>
    </w:p>
    <w:p w14:paraId="68B363F4" w14:textId="77777777" w:rsidR="00FB4ED1" w:rsidRDefault="00000000">
      <w:pPr>
        <w:jc w:val="right"/>
        <w:rPr>
          <w:rFonts w:eastAsia="標楷體"/>
        </w:rPr>
      </w:pPr>
      <w:r>
        <w:rPr>
          <w:rFonts w:eastAsia="標楷體"/>
        </w:rPr>
        <w:t xml:space="preserve">113.10.01 </w:t>
      </w:r>
      <w:r>
        <w:rPr>
          <w:rFonts w:eastAsia="標楷體"/>
        </w:rPr>
        <w:t>修訂第七版自</w:t>
      </w:r>
      <w:r>
        <w:rPr>
          <w:rFonts w:eastAsia="標楷體"/>
        </w:rPr>
        <w:t xml:space="preserve">114 </w:t>
      </w:r>
      <w:r>
        <w:rPr>
          <w:rFonts w:eastAsia="標楷體"/>
        </w:rPr>
        <w:t>年</w:t>
      </w:r>
      <w:r>
        <w:rPr>
          <w:rFonts w:eastAsia="標楷體"/>
        </w:rPr>
        <w:t xml:space="preserve"> 1 </w:t>
      </w:r>
      <w:r>
        <w:rPr>
          <w:rFonts w:eastAsia="標楷體"/>
        </w:rPr>
        <w:t>月</w:t>
      </w:r>
      <w:r>
        <w:rPr>
          <w:rFonts w:eastAsia="標楷體"/>
        </w:rPr>
        <w:t xml:space="preserve"> 1 </w:t>
      </w:r>
      <w:r>
        <w:rPr>
          <w:rFonts w:eastAsia="標楷體"/>
        </w:rPr>
        <w:t>日生效</w:t>
      </w:r>
    </w:p>
    <w:p w14:paraId="450E72DD" w14:textId="77777777" w:rsidR="00FB4ED1" w:rsidRDefault="00000000">
      <w:pPr>
        <w:jc w:val="right"/>
        <w:rPr>
          <w:rFonts w:eastAsia="標楷體"/>
        </w:rPr>
      </w:pPr>
      <w:r>
        <w:rPr>
          <w:rFonts w:eastAsia="標楷體"/>
        </w:rPr>
        <w:t xml:space="preserve">115.03.05 </w:t>
      </w:r>
      <w:r>
        <w:rPr>
          <w:rFonts w:eastAsia="標楷體"/>
        </w:rPr>
        <w:t>修訂第八版自</w:t>
      </w:r>
      <w:r>
        <w:rPr>
          <w:rFonts w:eastAsia="標楷體"/>
        </w:rPr>
        <w:t xml:space="preserve">115 </w:t>
      </w:r>
      <w:r>
        <w:rPr>
          <w:rFonts w:eastAsia="標楷體"/>
        </w:rPr>
        <w:t>年</w:t>
      </w:r>
      <w:r>
        <w:rPr>
          <w:rFonts w:eastAsia="標楷體"/>
        </w:rPr>
        <w:t xml:space="preserve"> 3 </w:t>
      </w:r>
      <w:r>
        <w:rPr>
          <w:rFonts w:eastAsia="標楷體"/>
        </w:rPr>
        <w:t>月</w:t>
      </w:r>
      <w:r>
        <w:rPr>
          <w:rFonts w:eastAsia="標楷體"/>
        </w:rPr>
        <w:t xml:space="preserve"> 1 </w:t>
      </w:r>
      <w:r>
        <w:rPr>
          <w:rFonts w:eastAsia="標楷體"/>
        </w:rPr>
        <w:t>日生效</w:t>
      </w:r>
    </w:p>
    <w:p w14:paraId="569FB066" w14:textId="5F65485B" w:rsidR="00D35104" w:rsidRPr="009E1315" w:rsidRDefault="00D35104" w:rsidP="00D35104">
      <w:pPr>
        <w:jc w:val="right"/>
        <w:rPr>
          <w:rFonts w:eastAsia="標楷體"/>
        </w:rPr>
      </w:pPr>
      <w:r w:rsidRPr="009E1315">
        <w:rPr>
          <w:rFonts w:eastAsia="標楷體"/>
        </w:rPr>
        <w:t>115.0</w:t>
      </w:r>
      <w:r w:rsidRPr="009E1315">
        <w:rPr>
          <w:rFonts w:eastAsia="標楷體" w:hint="eastAsia"/>
        </w:rPr>
        <w:t>8</w:t>
      </w:r>
      <w:r w:rsidRPr="009E1315">
        <w:rPr>
          <w:rFonts w:eastAsia="標楷體"/>
        </w:rPr>
        <w:t>.</w:t>
      </w:r>
      <w:r w:rsidR="00F05F2B">
        <w:rPr>
          <w:rFonts w:eastAsia="標楷體" w:hint="eastAsia"/>
        </w:rPr>
        <w:t>19</w:t>
      </w:r>
      <w:r w:rsidRPr="009E1315">
        <w:rPr>
          <w:rFonts w:eastAsia="標楷體"/>
        </w:rPr>
        <w:t xml:space="preserve"> </w:t>
      </w:r>
      <w:r w:rsidRPr="009E1315">
        <w:rPr>
          <w:rFonts w:eastAsia="標楷體"/>
        </w:rPr>
        <w:t>修訂第</w:t>
      </w:r>
      <w:r w:rsidRPr="009E1315">
        <w:rPr>
          <w:rFonts w:eastAsia="標楷體" w:hint="eastAsia"/>
        </w:rPr>
        <w:t>九</w:t>
      </w:r>
      <w:r w:rsidRPr="009E1315">
        <w:rPr>
          <w:rFonts w:eastAsia="標楷體"/>
        </w:rPr>
        <w:t>版</w:t>
      </w:r>
    </w:p>
    <w:p w14:paraId="56595F5A" w14:textId="77777777" w:rsidR="00FB4ED1" w:rsidRDefault="00FB4ED1">
      <w:pPr>
        <w:autoSpaceDE w:val="0"/>
        <w:ind w:left="540" w:right="960" w:hanging="540"/>
        <w:rPr>
          <w:rFonts w:ascii="標楷體" w:eastAsia="標楷體" w:hAnsi="標楷體"/>
          <w:bCs/>
          <w:sz w:val="28"/>
          <w:szCs w:val="28"/>
        </w:rPr>
      </w:pPr>
    </w:p>
    <w:p w14:paraId="3DABDC15" w14:textId="18097BE1" w:rsidR="00FB4ED1" w:rsidRDefault="00000000" w:rsidP="00AB3961">
      <w:pPr>
        <w:pStyle w:val="a4"/>
        <w:numPr>
          <w:ilvl w:val="0"/>
          <w:numId w:val="18"/>
        </w:numPr>
        <w:autoSpaceDE w:val="0"/>
        <w:snapToGrid w:val="0"/>
        <w:spacing w:before="360" w:line="240" w:lineRule="exact"/>
        <w:ind w:right="960"/>
      </w:pPr>
      <w:r w:rsidRPr="00AB3961">
        <w:rPr>
          <w:rFonts w:ascii="標楷體" w:eastAsia="標楷體" w:hAnsi="標楷體"/>
          <w:sz w:val="28"/>
          <w:szCs w:val="24"/>
        </w:rPr>
        <w:t>前言</w:t>
      </w:r>
    </w:p>
    <w:p w14:paraId="0526EA0C" w14:textId="1CC6F8DE" w:rsidR="00FB4ED1" w:rsidRDefault="00000000">
      <w:pPr>
        <w:snapToGrid w:val="0"/>
        <w:spacing w:line="480" w:lineRule="exact"/>
        <w:ind w:left="240" w:firstLine="560"/>
      </w:pPr>
      <w:r>
        <w:rPr>
          <w:rFonts w:ascii="標楷體" w:eastAsia="標楷體" w:hAnsi="標楷體" w:cs="DFKaiShu-SB-Estd-BF"/>
          <w:kern w:val="0"/>
          <w:sz w:val="28"/>
          <w:szCs w:val="28"/>
        </w:rPr>
        <w:t>肝癌長期位居台灣癌症死因前二位，根據全民健保統計資料，94年以來每年新增肝癌患者約9500人。另根據國民健康署</w:t>
      </w:r>
      <w:r>
        <w:rPr>
          <w:rFonts w:ascii="標楷體" w:eastAsia="標楷體" w:hAnsi="標楷體"/>
          <w:kern w:val="0"/>
          <w:sz w:val="28"/>
          <w:szCs w:val="28"/>
        </w:rPr>
        <w:t>94、95</w:t>
      </w:r>
      <w:r>
        <w:rPr>
          <w:rFonts w:ascii="標楷體" w:eastAsia="標楷體" w:hAnsi="標楷體" w:cs="DFKaiShu-SB-Estd-BF"/>
          <w:kern w:val="0"/>
          <w:sz w:val="28"/>
          <w:szCs w:val="28"/>
        </w:rPr>
        <w:t>年癌症登記分析肝癌臨床期別，有將近50%屬於</w:t>
      </w:r>
      <w:r>
        <w:rPr>
          <w:rFonts w:ascii="標楷體" w:eastAsia="標楷體" w:hAnsi="標楷體"/>
          <w:kern w:val="0"/>
          <w:sz w:val="28"/>
          <w:szCs w:val="28"/>
        </w:rPr>
        <w:t>較晚發現的第3期及第4期之</w:t>
      </w:r>
      <w:r>
        <w:rPr>
          <w:rFonts w:ascii="標楷體" w:eastAsia="標楷體" w:hAnsi="標楷體" w:cs="DFKaiShu-SB-Estd-BF"/>
          <w:kern w:val="0"/>
          <w:sz w:val="28"/>
          <w:szCs w:val="28"/>
        </w:rPr>
        <w:t>肝癌，</w:t>
      </w:r>
      <w:r>
        <w:rPr>
          <w:rFonts w:ascii="標楷體" w:eastAsia="標楷體" w:hAnsi="標楷體"/>
          <w:sz w:val="28"/>
          <w:szCs w:val="20"/>
        </w:rPr>
        <w:t>顯見病毒性肝炎轉變為慢性肝炎、肝硬化進而癌變的防治工作迫在眉睫</w:t>
      </w:r>
      <w:r>
        <w:rPr>
          <w:rFonts w:ascii="標楷體" w:eastAsia="標楷體" w:hAnsi="標楷體" w:cs="DFKaiShu-SB-Estd-BF"/>
          <w:kern w:val="0"/>
          <w:sz w:val="28"/>
          <w:szCs w:val="28"/>
        </w:rPr>
        <w:t>。2004年發表的實證研究指出，對35-59歲的B肝帶原和慢性肝炎者每6個月提供1次腹部超音波檢查，可以降低37%的肝癌死亡率</w:t>
      </w:r>
      <w:r w:rsidR="005327DD">
        <w:rPr>
          <w:rFonts w:ascii="標楷體" w:eastAsia="標楷體" w:hAnsi="標楷體" w:cs="DFKaiShu-SB-Estd-BF"/>
          <w:kern w:val="0"/>
          <w:sz w:val="28"/>
          <w:szCs w:val="28"/>
        </w:rPr>
        <w:t>（</w:t>
      </w:r>
      <w:r>
        <w:rPr>
          <w:rFonts w:ascii="Verdana" w:hAnsi="Verdana" w:cs="Arial"/>
          <w:sz w:val="23"/>
          <w:szCs w:val="23"/>
        </w:rPr>
        <w:t>Journal of Cancer Research and Clinical Oncology</w:t>
      </w:r>
      <w:r w:rsidR="005327DD">
        <w:rPr>
          <w:rFonts w:ascii="Verdana" w:hAnsi="Verdana" w:cs="Arial"/>
          <w:sz w:val="23"/>
          <w:szCs w:val="23"/>
        </w:rPr>
        <w:t>（</w:t>
      </w:r>
      <w:r>
        <w:rPr>
          <w:rFonts w:ascii="Verdana" w:hAnsi="Verdana" w:cs="Arial"/>
          <w:sz w:val="23"/>
          <w:szCs w:val="23"/>
        </w:rPr>
        <w:t>2004</w:t>
      </w:r>
      <w:r w:rsidR="005327DD">
        <w:rPr>
          <w:rFonts w:ascii="Verdana" w:hAnsi="Verdana" w:cs="Arial"/>
          <w:sz w:val="23"/>
          <w:szCs w:val="23"/>
        </w:rPr>
        <w:t>）</w:t>
      </w:r>
      <w:r>
        <w:rPr>
          <w:rFonts w:ascii="Verdana" w:hAnsi="Verdana" w:cs="Arial"/>
          <w:sz w:val="23"/>
          <w:szCs w:val="23"/>
        </w:rPr>
        <w:t>130:417-422</w:t>
      </w:r>
      <w:r w:rsidR="005327DD">
        <w:rPr>
          <w:rFonts w:ascii="標楷體" w:eastAsia="標楷體" w:hAnsi="標楷體" w:cs="DFKaiShu-SB-Estd-BF"/>
          <w:kern w:val="0"/>
          <w:sz w:val="28"/>
          <w:szCs w:val="28"/>
        </w:rPr>
        <w:t>）</w:t>
      </w:r>
      <w:r>
        <w:rPr>
          <w:rFonts w:ascii="標楷體" w:eastAsia="標楷體" w:hAnsi="標楷體" w:cs="DFKaiShu-SB-Estd-BF"/>
          <w:kern w:val="0"/>
          <w:sz w:val="28"/>
          <w:szCs w:val="28"/>
        </w:rPr>
        <w:t>，</w:t>
      </w:r>
      <w:r>
        <w:rPr>
          <w:rFonts w:ascii="標楷體" w:eastAsia="標楷體" w:hAnsi="標楷體"/>
          <w:sz w:val="28"/>
          <w:szCs w:val="20"/>
        </w:rPr>
        <w:t>可見強化慢性肝炎患者之照護及追蹤管理具有實質必要性。</w:t>
      </w:r>
    </w:p>
    <w:p w14:paraId="40ED8EB9" w14:textId="77777777" w:rsidR="00FB4ED1" w:rsidRDefault="00000000">
      <w:pPr>
        <w:autoSpaceDE w:val="0"/>
        <w:snapToGrid w:val="0"/>
        <w:spacing w:line="480" w:lineRule="exact"/>
        <w:ind w:left="240" w:firstLine="560"/>
        <w:jc w:val="both"/>
      </w:pPr>
      <w:r>
        <w:rPr>
          <w:rFonts w:ascii="標楷體" w:eastAsia="標楷體" w:hAnsi="標楷體"/>
          <w:sz w:val="28"/>
          <w:szCs w:val="20"/>
        </w:rPr>
        <w:t>為呼應世界衛生組織（WHO）所設定之「2030</w:t>
      </w:r>
      <w:r>
        <w:rPr>
          <w:rFonts w:ascii="標楷體" w:eastAsia="標楷體" w:hAnsi="標楷體" w:cs="標楷體"/>
          <w:sz w:val="28"/>
          <w:szCs w:val="20"/>
        </w:rPr>
        <w:t>年消除病毒性肝炎」目標，</w:t>
      </w:r>
      <w:r>
        <w:rPr>
          <w:rFonts w:ascii="標楷體" w:eastAsia="標楷體" w:hAnsi="標楷體"/>
          <w:sz w:val="28"/>
          <w:szCs w:val="20"/>
        </w:rPr>
        <w:t>並因應現代生活習慣轉變，酒精性肝炎及代謝性肝炎個案逐漸增加，</w:t>
      </w:r>
      <w:r>
        <w:rPr>
          <w:rFonts w:ascii="標楷體" w:eastAsia="標楷體" w:hAnsi="標楷體" w:cs="標楷體"/>
          <w:sz w:val="28"/>
          <w:szCs w:val="20"/>
        </w:rPr>
        <w:t>及建構更具韌性的防治網絡，</w:t>
      </w:r>
      <w:r>
        <w:rPr>
          <w:rFonts w:ascii="標楷體" w:eastAsia="標楷體" w:hAnsi="標楷體"/>
          <w:sz w:val="28"/>
          <w:szCs w:val="28"/>
        </w:rPr>
        <w:t>由全民健保提供個案追蹤管理機制，促使醫療院所持續追蹤病患，使其能定期接受後續追蹤檢查，同時透過醫療團隊，給予完整且正確的照護，不但能讓這些病患充分瞭解自身的病況，長期而言，有助減少國人肝癌的發生，亦能有助於整體醫療費用的降低。</w:t>
      </w:r>
    </w:p>
    <w:p w14:paraId="74892A2B" w14:textId="77777777" w:rsidR="00FB4ED1" w:rsidRDefault="00000000">
      <w:pPr>
        <w:snapToGrid w:val="0"/>
        <w:spacing w:line="480" w:lineRule="exact"/>
        <w:ind w:left="240" w:firstLine="560"/>
        <w:rPr>
          <w:rFonts w:ascii="標楷體" w:eastAsia="標楷體" w:hAnsi="標楷體"/>
          <w:sz w:val="28"/>
          <w:szCs w:val="20"/>
        </w:rPr>
      </w:pPr>
      <w:r>
        <w:rPr>
          <w:rFonts w:ascii="標楷體" w:eastAsia="標楷體" w:hAnsi="標楷體"/>
          <w:sz w:val="28"/>
          <w:szCs w:val="20"/>
        </w:rPr>
        <w:t>本方案藉由支付制度的設計，導入個案管理追蹤之誘因，鼓勵醫療院所設計以病人為中心之完整照護，遵守個案管理追蹤指引，加強患者之追蹤及衛教服務，提供完整且連續性的照護模式，以創造被保險人、供給者及保險人三贏之局面。</w:t>
      </w:r>
    </w:p>
    <w:p w14:paraId="4D23A117" w14:textId="0FD45FA3" w:rsidR="00FB4ED1" w:rsidRPr="00AB3961" w:rsidRDefault="00000000" w:rsidP="00AB3961">
      <w:pPr>
        <w:pStyle w:val="a4"/>
        <w:numPr>
          <w:ilvl w:val="0"/>
          <w:numId w:val="18"/>
        </w:numPr>
        <w:snapToGrid w:val="0"/>
        <w:spacing w:before="360" w:line="240" w:lineRule="exact"/>
        <w:rPr>
          <w:rFonts w:ascii="標楷體" w:eastAsia="標楷體" w:hAnsi="標楷體"/>
          <w:sz w:val="28"/>
          <w:szCs w:val="20"/>
        </w:rPr>
      </w:pPr>
      <w:r w:rsidRPr="00AB3961">
        <w:rPr>
          <w:rFonts w:ascii="標楷體" w:eastAsia="標楷體" w:hAnsi="標楷體"/>
          <w:sz w:val="28"/>
          <w:szCs w:val="20"/>
        </w:rPr>
        <w:t>目標</w:t>
      </w:r>
    </w:p>
    <w:p w14:paraId="6AE7D7BA" w14:textId="4AC82167" w:rsidR="00FB4ED1" w:rsidRPr="008C08FA" w:rsidRDefault="00000000" w:rsidP="008C08FA">
      <w:pPr>
        <w:pStyle w:val="a4"/>
        <w:numPr>
          <w:ilvl w:val="0"/>
          <w:numId w:val="20"/>
        </w:numPr>
        <w:snapToGrid w:val="0"/>
        <w:spacing w:line="480" w:lineRule="exact"/>
        <w:rPr>
          <w:rFonts w:ascii="標楷體" w:eastAsia="標楷體" w:hAnsi="標楷體"/>
          <w:sz w:val="28"/>
          <w:szCs w:val="20"/>
        </w:rPr>
      </w:pPr>
      <w:r w:rsidRPr="008C08FA">
        <w:rPr>
          <w:rFonts w:ascii="標楷體" w:eastAsia="標楷體" w:hAnsi="標楷體"/>
          <w:sz w:val="28"/>
          <w:szCs w:val="20"/>
        </w:rPr>
        <w:t>建立以病患為中心的共同照護模式。</w:t>
      </w:r>
    </w:p>
    <w:p w14:paraId="5B4BFBBF" w14:textId="079E8168" w:rsidR="00FB4ED1" w:rsidRPr="008C08FA" w:rsidRDefault="00000000" w:rsidP="008C08FA">
      <w:pPr>
        <w:pStyle w:val="a4"/>
        <w:numPr>
          <w:ilvl w:val="0"/>
          <w:numId w:val="20"/>
        </w:numPr>
        <w:snapToGrid w:val="0"/>
        <w:spacing w:line="480" w:lineRule="exact"/>
        <w:rPr>
          <w:rFonts w:ascii="標楷體" w:eastAsia="標楷體" w:hAnsi="標楷體"/>
          <w:sz w:val="28"/>
          <w:szCs w:val="20"/>
        </w:rPr>
      </w:pPr>
      <w:r w:rsidRPr="008C08FA">
        <w:rPr>
          <w:rFonts w:ascii="標楷體" w:eastAsia="標楷體" w:hAnsi="標楷體"/>
          <w:sz w:val="28"/>
          <w:szCs w:val="20"/>
        </w:rPr>
        <w:lastRenderedPageBreak/>
        <w:t>提升肝炎患者個案管理追蹤指引遵循率。</w:t>
      </w:r>
    </w:p>
    <w:p w14:paraId="0D05ADEC" w14:textId="7EA374E7" w:rsidR="00FB4ED1" w:rsidRPr="008C08FA" w:rsidRDefault="00000000" w:rsidP="008C08FA">
      <w:pPr>
        <w:pStyle w:val="a4"/>
        <w:numPr>
          <w:ilvl w:val="0"/>
          <w:numId w:val="20"/>
        </w:numPr>
        <w:snapToGrid w:val="0"/>
        <w:spacing w:line="480" w:lineRule="exact"/>
        <w:rPr>
          <w:rFonts w:ascii="標楷體" w:eastAsia="標楷體" w:hAnsi="標楷體"/>
          <w:sz w:val="28"/>
          <w:szCs w:val="20"/>
        </w:rPr>
      </w:pPr>
      <w:r w:rsidRPr="008C08FA">
        <w:rPr>
          <w:rFonts w:ascii="標楷體" w:eastAsia="標楷體" w:hAnsi="標楷體"/>
          <w:sz w:val="28"/>
          <w:szCs w:val="20"/>
        </w:rPr>
        <w:t>建立品質導向之支付制度。</w:t>
      </w:r>
    </w:p>
    <w:p w14:paraId="2DEE00EA" w14:textId="11E9BEA0" w:rsidR="00FB4ED1" w:rsidRPr="00AB3961" w:rsidRDefault="00000000" w:rsidP="00AB3961">
      <w:pPr>
        <w:pStyle w:val="a4"/>
        <w:numPr>
          <w:ilvl w:val="0"/>
          <w:numId w:val="18"/>
        </w:numPr>
        <w:snapToGrid w:val="0"/>
        <w:spacing w:before="360" w:line="240" w:lineRule="exact"/>
        <w:rPr>
          <w:rFonts w:ascii="標楷體" w:eastAsia="標楷體" w:hAnsi="標楷體"/>
          <w:sz w:val="28"/>
          <w:szCs w:val="20"/>
        </w:rPr>
      </w:pPr>
      <w:r w:rsidRPr="00AB3961">
        <w:rPr>
          <w:rFonts w:ascii="標楷體" w:eastAsia="標楷體" w:hAnsi="標楷體"/>
          <w:sz w:val="28"/>
          <w:szCs w:val="20"/>
        </w:rPr>
        <w:t>計畫內容</w:t>
      </w:r>
    </w:p>
    <w:p w14:paraId="1EA5E41B" w14:textId="561B884F" w:rsidR="00FB4ED1" w:rsidRPr="008C08FA" w:rsidRDefault="00000000" w:rsidP="008C08FA">
      <w:pPr>
        <w:pStyle w:val="a4"/>
        <w:numPr>
          <w:ilvl w:val="0"/>
          <w:numId w:val="25"/>
        </w:numPr>
        <w:snapToGrid w:val="0"/>
        <w:spacing w:line="480" w:lineRule="exact"/>
        <w:rPr>
          <w:rFonts w:ascii="標楷體" w:eastAsia="標楷體" w:hAnsi="標楷體"/>
          <w:sz w:val="28"/>
          <w:szCs w:val="20"/>
        </w:rPr>
      </w:pPr>
      <w:r w:rsidRPr="008C08FA">
        <w:rPr>
          <w:rFonts w:ascii="標楷體" w:eastAsia="標楷體" w:hAnsi="標楷體"/>
          <w:sz w:val="28"/>
          <w:szCs w:val="20"/>
        </w:rPr>
        <w:t>參與本方案之醫事人員及醫事機構，須向所轄全民健康保險保險人</w:t>
      </w:r>
      <w:r w:rsidR="005327DD">
        <w:rPr>
          <w:rFonts w:ascii="標楷體" w:eastAsia="標楷體" w:hAnsi="標楷體"/>
          <w:sz w:val="28"/>
          <w:szCs w:val="20"/>
        </w:rPr>
        <w:t>（</w:t>
      </w:r>
      <w:r w:rsidRPr="008C08FA">
        <w:rPr>
          <w:rFonts w:ascii="標楷體" w:eastAsia="標楷體" w:hAnsi="標楷體"/>
          <w:sz w:val="28"/>
          <w:szCs w:val="20"/>
        </w:rPr>
        <w:t>以下稱保險人</w:t>
      </w:r>
      <w:r w:rsidR="005327DD">
        <w:rPr>
          <w:rFonts w:ascii="標楷體" w:eastAsia="標楷體" w:hAnsi="標楷體"/>
          <w:sz w:val="28"/>
          <w:szCs w:val="20"/>
        </w:rPr>
        <w:t>）</w:t>
      </w:r>
      <w:r w:rsidRPr="008C08FA">
        <w:rPr>
          <w:rFonts w:ascii="標楷體" w:eastAsia="標楷體" w:hAnsi="標楷體"/>
          <w:sz w:val="28"/>
          <w:szCs w:val="20"/>
        </w:rPr>
        <w:t>之分區業務組申請同意，資格如下：</w:t>
      </w:r>
    </w:p>
    <w:p w14:paraId="5D2CA424" w14:textId="77777777" w:rsidR="00FB4ED1" w:rsidRPr="008F3058" w:rsidRDefault="00000000" w:rsidP="008F3058">
      <w:pPr>
        <w:pStyle w:val="a4"/>
        <w:numPr>
          <w:ilvl w:val="0"/>
          <w:numId w:val="37"/>
        </w:numPr>
        <w:tabs>
          <w:tab w:val="left" w:pos="1847"/>
        </w:tabs>
        <w:snapToGrid w:val="0"/>
        <w:spacing w:line="480" w:lineRule="exact"/>
        <w:textAlignment w:val="auto"/>
        <w:rPr>
          <w:rFonts w:ascii="標楷體" w:eastAsia="標楷體" w:hAnsi="標楷體"/>
          <w:sz w:val="28"/>
          <w:szCs w:val="20"/>
        </w:rPr>
      </w:pPr>
      <w:r w:rsidRPr="008F3058">
        <w:rPr>
          <w:rFonts w:ascii="標楷體" w:eastAsia="標楷體" w:hAnsi="標楷體"/>
          <w:sz w:val="28"/>
          <w:szCs w:val="20"/>
        </w:rPr>
        <w:t>內科、消化系內科、消化系外科、兒科、家醫科醫師。</w:t>
      </w:r>
    </w:p>
    <w:p w14:paraId="14A1EC19" w14:textId="77777777" w:rsidR="00FB4ED1" w:rsidRPr="008F3058" w:rsidRDefault="00000000" w:rsidP="008F3058">
      <w:pPr>
        <w:pStyle w:val="a4"/>
        <w:numPr>
          <w:ilvl w:val="0"/>
          <w:numId w:val="37"/>
        </w:numPr>
        <w:tabs>
          <w:tab w:val="left" w:pos="1847"/>
        </w:tabs>
        <w:snapToGrid w:val="0"/>
        <w:spacing w:line="480" w:lineRule="exact"/>
        <w:textAlignment w:val="auto"/>
        <w:rPr>
          <w:rFonts w:ascii="標楷體" w:eastAsia="標楷體" w:hAnsi="標楷體"/>
          <w:sz w:val="28"/>
          <w:szCs w:val="20"/>
        </w:rPr>
      </w:pPr>
      <w:r w:rsidRPr="008F3058">
        <w:rPr>
          <w:rFonts w:ascii="標楷體" w:eastAsia="標楷體" w:hAnsi="標楷體"/>
          <w:sz w:val="28"/>
          <w:szCs w:val="20"/>
        </w:rPr>
        <w:t>參與本計畫之院所，年度追蹤率小於20%者，經本保險之分區業務組輔導未改善，自文到日之次月起，一年內不得再申報本方案之相關費用。</w:t>
      </w:r>
    </w:p>
    <w:p w14:paraId="22EB2797" w14:textId="05C62638" w:rsidR="00FB4ED1" w:rsidRPr="008C08FA" w:rsidRDefault="00000000" w:rsidP="008C08FA">
      <w:pPr>
        <w:pStyle w:val="a4"/>
        <w:numPr>
          <w:ilvl w:val="0"/>
          <w:numId w:val="25"/>
        </w:numPr>
        <w:snapToGrid w:val="0"/>
        <w:spacing w:line="480" w:lineRule="exact"/>
        <w:rPr>
          <w:rFonts w:ascii="標楷體" w:eastAsia="標楷體" w:hAnsi="標楷體"/>
          <w:sz w:val="28"/>
          <w:szCs w:val="20"/>
        </w:rPr>
      </w:pPr>
      <w:r w:rsidRPr="008C08FA">
        <w:rPr>
          <w:rFonts w:ascii="標楷體" w:eastAsia="標楷體" w:hAnsi="標楷體"/>
          <w:sz w:val="28"/>
          <w:szCs w:val="20"/>
        </w:rPr>
        <w:t>收案對象</w:t>
      </w:r>
      <w:r w:rsidR="005327DD">
        <w:rPr>
          <w:rFonts w:ascii="標楷體" w:eastAsia="標楷體" w:hAnsi="標楷體"/>
          <w:sz w:val="28"/>
          <w:szCs w:val="20"/>
        </w:rPr>
        <w:t>（</w:t>
      </w:r>
      <w:r w:rsidRPr="008C08FA">
        <w:rPr>
          <w:rFonts w:ascii="標楷體" w:eastAsia="標楷體" w:hAnsi="標楷體"/>
          <w:sz w:val="28"/>
          <w:szCs w:val="20"/>
        </w:rPr>
        <w:t>給付對象</w:t>
      </w:r>
      <w:r w:rsidR="005327DD">
        <w:rPr>
          <w:rFonts w:ascii="標楷體" w:eastAsia="標楷體" w:hAnsi="標楷體"/>
          <w:sz w:val="28"/>
          <w:szCs w:val="20"/>
        </w:rPr>
        <w:t>）</w:t>
      </w:r>
    </w:p>
    <w:p w14:paraId="325AA1A6" w14:textId="675B01F5" w:rsidR="00FB4ED1" w:rsidRDefault="00000000">
      <w:pPr>
        <w:numPr>
          <w:ilvl w:val="0"/>
          <w:numId w:val="3"/>
        </w:numPr>
        <w:tabs>
          <w:tab w:val="left" w:pos="1412"/>
        </w:tabs>
        <w:snapToGrid w:val="0"/>
        <w:spacing w:line="480" w:lineRule="exact"/>
        <w:ind w:left="1134" w:hanging="850"/>
        <w:textAlignment w:val="auto"/>
        <w:rPr>
          <w:rFonts w:ascii="標楷體" w:eastAsia="標楷體" w:hAnsi="標楷體"/>
          <w:sz w:val="28"/>
          <w:szCs w:val="20"/>
        </w:rPr>
      </w:pPr>
      <w:r>
        <w:rPr>
          <w:rFonts w:ascii="標楷體" w:eastAsia="標楷體" w:hAnsi="標楷體"/>
          <w:sz w:val="28"/>
          <w:szCs w:val="20"/>
        </w:rPr>
        <w:t>最近6個月內曾在該院所主、次診斷為</w:t>
      </w:r>
      <w:bookmarkStart w:id="0" w:name="_Hlk215655826"/>
      <w:r>
        <w:rPr>
          <w:rFonts w:ascii="標楷體" w:eastAsia="標楷體" w:hAnsi="標楷體"/>
          <w:sz w:val="28"/>
          <w:szCs w:val="20"/>
        </w:rPr>
        <w:t>B型肝炎帶原者或C型肝炎感染</w:t>
      </w:r>
      <w:bookmarkEnd w:id="0"/>
      <w:r>
        <w:rPr>
          <w:rFonts w:ascii="標楷體" w:eastAsia="標楷體" w:hAnsi="標楷體"/>
          <w:sz w:val="28"/>
          <w:szCs w:val="20"/>
        </w:rPr>
        <w:t>者或肝纖維化F3</w:t>
      </w:r>
      <w:r w:rsidR="005327DD">
        <w:rPr>
          <w:rFonts w:ascii="標楷體" w:eastAsia="標楷體" w:hAnsi="標楷體"/>
          <w:sz w:val="28"/>
          <w:szCs w:val="20"/>
        </w:rPr>
        <w:t>（</w:t>
      </w:r>
      <w:r>
        <w:rPr>
          <w:rFonts w:ascii="標楷體" w:eastAsia="標楷體" w:hAnsi="標楷體"/>
          <w:sz w:val="28"/>
          <w:szCs w:val="20"/>
        </w:rPr>
        <w:t>含</w:t>
      </w:r>
      <w:r w:rsidR="005327DD">
        <w:rPr>
          <w:rFonts w:ascii="標楷體" w:eastAsia="標楷體" w:hAnsi="標楷體"/>
          <w:sz w:val="28"/>
          <w:szCs w:val="20"/>
        </w:rPr>
        <w:t>）</w:t>
      </w:r>
      <w:r>
        <w:rPr>
          <w:rFonts w:ascii="標楷體" w:eastAsia="標楷體" w:hAnsi="標楷體"/>
          <w:sz w:val="28"/>
          <w:szCs w:val="20"/>
        </w:rPr>
        <w:t>以上之代謝性、酒精性肝炎病人且至少就醫達2次</w:t>
      </w:r>
      <w:r w:rsidR="005327DD">
        <w:rPr>
          <w:rFonts w:ascii="標楷體" w:eastAsia="標楷體" w:hAnsi="標楷體"/>
          <w:sz w:val="28"/>
          <w:szCs w:val="20"/>
        </w:rPr>
        <w:t>（</w:t>
      </w:r>
      <w:r>
        <w:rPr>
          <w:rFonts w:ascii="標楷體" w:eastAsia="標楷體" w:hAnsi="標楷體"/>
          <w:sz w:val="28"/>
          <w:szCs w:val="20"/>
        </w:rPr>
        <w:t>含</w:t>
      </w:r>
      <w:r w:rsidR="005327DD">
        <w:rPr>
          <w:rFonts w:ascii="標楷體" w:eastAsia="標楷體" w:hAnsi="標楷體"/>
          <w:sz w:val="28"/>
          <w:szCs w:val="20"/>
        </w:rPr>
        <w:t>）</w:t>
      </w:r>
      <w:r>
        <w:rPr>
          <w:rFonts w:ascii="標楷體" w:eastAsia="標楷體" w:hAnsi="標楷體"/>
          <w:sz w:val="28"/>
          <w:szCs w:val="20"/>
        </w:rPr>
        <w:t>以上者（疾病診斷碼如下所列），才可收案，惟當次收案須以主、次診斷【</w:t>
      </w:r>
      <w:r w:rsidR="00F23A6B" w:rsidRPr="009E1315">
        <w:rPr>
          <w:rFonts w:ascii="標楷體" w:eastAsia="標楷體" w:hAnsi="標楷體" w:hint="eastAsia"/>
          <w:sz w:val="28"/>
          <w:szCs w:val="20"/>
        </w:rPr>
        <w:t>全民健康保險醫事服務機構</w:t>
      </w:r>
      <w:r w:rsidRPr="009E1315">
        <w:rPr>
          <w:rFonts w:ascii="標楷體" w:eastAsia="標楷體" w:hAnsi="標楷體"/>
          <w:sz w:val="28"/>
          <w:szCs w:val="20"/>
        </w:rPr>
        <w:t>門診醫療費用點數申報格式及填表說明之</w:t>
      </w:r>
      <w:r w:rsidR="00F23A6B" w:rsidRPr="009E1315">
        <w:rPr>
          <w:rFonts w:ascii="標楷體" w:eastAsia="標楷體" w:hAnsi="標楷體" w:hint="eastAsia"/>
          <w:sz w:val="28"/>
          <w:szCs w:val="20"/>
        </w:rPr>
        <w:t>主診斷代碼及次診斷代碼</w:t>
      </w:r>
      <w:r w:rsidR="005327DD" w:rsidRPr="009E1315">
        <w:rPr>
          <w:rFonts w:ascii="標楷體" w:eastAsia="標楷體" w:hAnsi="標楷體" w:hint="eastAsia"/>
          <w:sz w:val="28"/>
          <w:szCs w:val="20"/>
        </w:rPr>
        <w:t>（</w:t>
      </w:r>
      <w:r w:rsidR="00F23A6B" w:rsidRPr="009E1315">
        <w:rPr>
          <w:rFonts w:ascii="標楷體" w:eastAsia="標楷體" w:hAnsi="標楷體" w:hint="eastAsia"/>
          <w:sz w:val="28"/>
          <w:szCs w:val="20"/>
        </w:rPr>
        <w:t>一</w:t>
      </w:r>
      <w:r w:rsidR="005327DD" w:rsidRPr="009E1315">
        <w:rPr>
          <w:rFonts w:ascii="標楷體" w:eastAsia="標楷體" w:hAnsi="標楷體" w:hint="eastAsia"/>
          <w:sz w:val="28"/>
          <w:szCs w:val="20"/>
        </w:rPr>
        <w:t>）</w:t>
      </w:r>
      <w:r w:rsidR="00F23A6B" w:rsidRPr="009E1315">
        <w:rPr>
          <w:rFonts w:ascii="標楷體" w:eastAsia="標楷體" w:hAnsi="標楷體" w:hint="eastAsia"/>
          <w:sz w:val="28"/>
          <w:szCs w:val="20"/>
        </w:rPr>
        <w:t>至</w:t>
      </w:r>
      <w:r w:rsidR="005327DD" w:rsidRPr="009E1315">
        <w:rPr>
          <w:rFonts w:ascii="標楷體" w:eastAsia="標楷體" w:hAnsi="標楷體" w:hint="eastAsia"/>
          <w:sz w:val="28"/>
          <w:szCs w:val="20"/>
        </w:rPr>
        <w:t>（</w:t>
      </w:r>
      <w:r w:rsidR="00F23A6B" w:rsidRPr="009E1315">
        <w:rPr>
          <w:rFonts w:ascii="標楷體" w:eastAsia="標楷體" w:hAnsi="標楷體" w:hint="eastAsia"/>
          <w:sz w:val="28"/>
          <w:szCs w:val="20"/>
        </w:rPr>
        <w:t>四</w:t>
      </w:r>
      <w:r w:rsidR="005327DD" w:rsidRPr="009E1315">
        <w:rPr>
          <w:rFonts w:ascii="標楷體" w:eastAsia="標楷體" w:hAnsi="標楷體" w:hint="eastAsia"/>
          <w:sz w:val="28"/>
          <w:szCs w:val="20"/>
        </w:rPr>
        <w:t>）</w:t>
      </w:r>
      <w:r>
        <w:rPr>
          <w:rFonts w:ascii="標楷體" w:eastAsia="標楷體" w:hAnsi="標楷體"/>
          <w:sz w:val="28"/>
          <w:szCs w:val="20"/>
        </w:rPr>
        <w:t>】收案。</w:t>
      </w:r>
    </w:p>
    <w:p w14:paraId="59F83651" w14:textId="67C727CF" w:rsidR="00FB4ED1" w:rsidRDefault="00000000">
      <w:pPr>
        <w:numPr>
          <w:ilvl w:val="0"/>
          <w:numId w:val="4"/>
        </w:numPr>
        <w:spacing w:line="480" w:lineRule="exact"/>
        <w:textAlignment w:val="auto"/>
        <w:rPr>
          <w:rFonts w:ascii="標楷體" w:eastAsia="標楷體" w:hAnsi="標楷體"/>
          <w:sz w:val="28"/>
          <w:szCs w:val="20"/>
        </w:rPr>
      </w:pPr>
      <w:r>
        <w:rPr>
          <w:rFonts w:ascii="標楷體" w:eastAsia="標楷體" w:hAnsi="標楷體"/>
          <w:sz w:val="28"/>
          <w:szCs w:val="20"/>
        </w:rPr>
        <w:t>B型肝炎帶原者或C型肝炎感染者</w:t>
      </w:r>
      <w:r w:rsidR="00B749BF">
        <w:rPr>
          <w:rFonts w:ascii="標楷體" w:eastAsia="標楷體" w:hAnsi="標楷體" w:hint="eastAsia"/>
          <w:sz w:val="28"/>
          <w:szCs w:val="20"/>
        </w:rPr>
        <w:t>：</w:t>
      </w:r>
      <w:r>
        <w:rPr>
          <w:rFonts w:ascii="標楷體" w:eastAsia="標楷體" w:hAnsi="標楷體"/>
          <w:sz w:val="28"/>
          <w:szCs w:val="20"/>
        </w:rPr>
        <w:t>B16.1、B16.9、B18.0、B18.1、B19.10、B17.10、B19.20、B18.2。</w:t>
      </w:r>
    </w:p>
    <w:p w14:paraId="2248B98A" w14:textId="50692B08" w:rsidR="00FB4ED1" w:rsidRDefault="00000000">
      <w:pPr>
        <w:numPr>
          <w:ilvl w:val="0"/>
          <w:numId w:val="4"/>
        </w:numPr>
        <w:spacing w:line="480" w:lineRule="exact"/>
        <w:textAlignment w:val="auto"/>
        <w:rPr>
          <w:rFonts w:ascii="標楷體" w:eastAsia="標楷體" w:hAnsi="標楷體"/>
          <w:sz w:val="28"/>
          <w:szCs w:val="20"/>
        </w:rPr>
      </w:pPr>
      <w:r>
        <w:rPr>
          <w:rFonts w:ascii="標楷體" w:eastAsia="標楷體" w:hAnsi="標楷體"/>
          <w:sz w:val="28"/>
          <w:szCs w:val="20"/>
        </w:rPr>
        <w:t>肝纖維化F3</w:t>
      </w:r>
      <w:r w:rsidR="005327DD">
        <w:rPr>
          <w:rFonts w:ascii="標楷體" w:eastAsia="標楷體" w:hAnsi="標楷體"/>
          <w:sz w:val="28"/>
          <w:szCs w:val="20"/>
        </w:rPr>
        <w:t>（</w:t>
      </w:r>
      <w:r>
        <w:rPr>
          <w:rFonts w:ascii="標楷體" w:eastAsia="標楷體" w:hAnsi="標楷體"/>
          <w:sz w:val="28"/>
          <w:szCs w:val="20"/>
        </w:rPr>
        <w:t>含</w:t>
      </w:r>
      <w:r w:rsidR="005327DD">
        <w:rPr>
          <w:rFonts w:ascii="標楷體" w:eastAsia="標楷體" w:hAnsi="標楷體"/>
          <w:sz w:val="28"/>
          <w:szCs w:val="20"/>
        </w:rPr>
        <w:t>）</w:t>
      </w:r>
      <w:r>
        <w:rPr>
          <w:rFonts w:ascii="標楷體" w:eastAsia="標楷體" w:hAnsi="標楷體"/>
          <w:sz w:val="28"/>
          <w:szCs w:val="20"/>
        </w:rPr>
        <w:t>以上之代謝性、酒精性肝炎病人</w:t>
      </w:r>
      <w:r w:rsidR="00B749BF">
        <w:rPr>
          <w:rFonts w:ascii="標楷體" w:eastAsia="標楷體" w:hAnsi="標楷體" w:hint="eastAsia"/>
          <w:sz w:val="28"/>
          <w:szCs w:val="20"/>
        </w:rPr>
        <w:t>：</w:t>
      </w:r>
      <w:r>
        <w:rPr>
          <w:rFonts w:ascii="標楷體" w:eastAsia="標楷體" w:hAnsi="標楷體"/>
          <w:sz w:val="28"/>
          <w:szCs w:val="20"/>
        </w:rPr>
        <w:t>K70.-</w:t>
      </w:r>
      <w:r w:rsidR="007B15C6" w:rsidRPr="009E1315">
        <w:rPr>
          <w:rFonts w:ascii="標楷體" w:eastAsia="標楷體" w:hAnsi="標楷體"/>
          <w:sz w:val="28"/>
          <w:szCs w:val="20"/>
        </w:rPr>
        <w:t>（</w:t>
      </w:r>
      <w:r w:rsidR="007B15C6" w:rsidRPr="009E1315">
        <w:rPr>
          <w:rFonts w:ascii="標楷體" w:eastAsia="標楷體" w:hAnsi="標楷體" w:hint="eastAsia"/>
          <w:sz w:val="28"/>
          <w:szCs w:val="20"/>
        </w:rPr>
        <w:t>不</w:t>
      </w:r>
      <w:r w:rsidR="007B15C6" w:rsidRPr="009E1315">
        <w:rPr>
          <w:rFonts w:ascii="標楷體" w:eastAsia="標楷體" w:hAnsi="標楷體"/>
          <w:sz w:val="28"/>
          <w:szCs w:val="20"/>
        </w:rPr>
        <w:t>含K</w:t>
      </w:r>
      <w:r w:rsidR="007B15C6" w:rsidRPr="009E1315">
        <w:rPr>
          <w:rFonts w:ascii="標楷體" w:eastAsia="標楷體" w:hAnsi="標楷體" w:hint="eastAsia"/>
          <w:sz w:val="28"/>
          <w:szCs w:val="20"/>
        </w:rPr>
        <w:t>70</w:t>
      </w:r>
      <w:r w:rsidR="007B15C6" w:rsidRPr="009E1315">
        <w:rPr>
          <w:rFonts w:ascii="標楷體" w:eastAsia="標楷體" w:hAnsi="標楷體"/>
          <w:sz w:val="28"/>
          <w:szCs w:val="20"/>
        </w:rPr>
        <w:t>.</w:t>
      </w:r>
      <w:r w:rsidR="007B15C6" w:rsidRPr="009E1315">
        <w:rPr>
          <w:rFonts w:ascii="標楷體" w:eastAsia="標楷體" w:hAnsi="標楷體" w:hint="eastAsia"/>
          <w:sz w:val="28"/>
          <w:szCs w:val="20"/>
        </w:rPr>
        <w:t>4</w:t>
      </w:r>
      <w:r w:rsidR="007B15C6" w:rsidRPr="009E1315">
        <w:rPr>
          <w:rFonts w:ascii="標楷體" w:eastAsia="標楷體" w:hAnsi="標楷體"/>
          <w:sz w:val="28"/>
          <w:szCs w:val="20"/>
        </w:rPr>
        <w:t>1）</w:t>
      </w:r>
      <w:r>
        <w:rPr>
          <w:rFonts w:ascii="標楷體" w:eastAsia="標楷體" w:hAnsi="標楷體"/>
          <w:sz w:val="28"/>
          <w:szCs w:val="20"/>
        </w:rPr>
        <w:t>、K75.81、K76.0。</w:t>
      </w:r>
    </w:p>
    <w:p w14:paraId="5B029D20" w14:textId="5505CC6F" w:rsidR="00FB4ED1" w:rsidRDefault="00000000">
      <w:pPr>
        <w:numPr>
          <w:ilvl w:val="0"/>
          <w:numId w:val="4"/>
        </w:numPr>
        <w:spacing w:line="480" w:lineRule="exact"/>
        <w:textAlignment w:val="auto"/>
        <w:rPr>
          <w:rFonts w:ascii="標楷體" w:eastAsia="標楷體" w:hAnsi="標楷體"/>
          <w:sz w:val="28"/>
          <w:szCs w:val="20"/>
        </w:rPr>
      </w:pPr>
      <w:r>
        <w:rPr>
          <w:rFonts w:ascii="標楷體" w:eastAsia="標楷體" w:hAnsi="標楷體"/>
          <w:sz w:val="28"/>
          <w:szCs w:val="20"/>
        </w:rPr>
        <w:t>其他肝炎</w:t>
      </w:r>
      <w:r w:rsidR="00B749BF">
        <w:rPr>
          <w:rFonts w:ascii="標楷體" w:eastAsia="標楷體" w:hAnsi="標楷體" w:hint="eastAsia"/>
          <w:sz w:val="28"/>
          <w:szCs w:val="20"/>
        </w:rPr>
        <w:t>：</w:t>
      </w:r>
      <w:r>
        <w:rPr>
          <w:rFonts w:ascii="標楷體" w:eastAsia="標楷體" w:hAnsi="標楷體"/>
          <w:sz w:val="28"/>
          <w:szCs w:val="20"/>
        </w:rPr>
        <w:t>K73.-、K74.60、K74.69、K75.4。</w:t>
      </w:r>
    </w:p>
    <w:p w14:paraId="0E52C519" w14:textId="77777777" w:rsidR="00FB4ED1" w:rsidRDefault="00000000">
      <w:pPr>
        <w:numPr>
          <w:ilvl w:val="0"/>
          <w:numId w:val="3"/>
        </w:numPr>
        <w:tabs>
          <w:tab w:val="left" w:pos="1412"/>
        </w:tabs>
        <w:snapToGrid w:val="0"/>
        <w:spacing w:line="480" w:lineRule="exact"/>
        <w:ind w:left="1134" w:hanging="850"/>
        <w:textAlignment w:val="auto"/>
        <w:rPr>
          <w:rFonts w:ascii="標楷體" w:eastAsia="標楷體" w:hAnsi="標楷體"/>
          <w:sz w:val="28"/>
          <w:szCs w:val="20"/>
        </w:rPr>
      </w:pPr>
      <w:r>
        <w:rPr>
          <w:rFonts w:ascii="標楷體" w:eastAsia="標楷體" w:hAnsi="標楷體"/>
          <w:sz w:val="28"/>
          <w:szCs w:val="20"/>
        </w:rPr>
        <w:t>同一院所經結案對象 1 年內不得再收案，但院所仍可依全民健康保險醫療服務給付項目及支付標準申報相關醫療費用。</w:t>
      </w:r>
    </w:p>
    <w:p w14:paraId="185FF5D9" w14:textId="77777777" w:rsidR="00FB4ED1" w:rsidRDefault="00000000">
      <w:pPr>
        <w:numPr>
          <w:ilvl w:val="0"/>
          <w:numId w:val="3"/>
        </w:numPr>
        <w:tabs>
          <w:tab w:val="left" w:pos="1412"/>
        </w:tabs>
        <w:snapToGrid w:val="0"/>
        <w:spacing w:line="480" w:lineRule="exact"/>
        <w:ind w:left="1134" w:hanging="850"/>
        <w:textAlignment w:val="auto"/>
        <w:rPr>
          <w:rFonts w:ascii="標楷體" w:eastAsia="標楷體" w:hAnsi="標楷體"/>
          <w:sz w:val="28"/>
          <w:szCs w:val="20"/>
        </w:rPr>
      </w:pPr>
      <w:r>
        <w:rPr>
          <w:rFonts w:ascii="標楷體" w:eastAsia="標楷體" w:hAnsi="標楷體"/>
          <w:sz w:val="28"/>
          <w:szCs w:val="20"/>
        </w:rPr>
        <w:t>個案若符合全民健康保險加強慢性B型或C型肝炎治療計畫的用藥條件，可接受B、C型肝炎用藥的療程治療，其支付方式按全民健康保險藥物給付項目及支付標準規定辦理。</w:t>
      </w:r>
    </w:p>
    <w:p w14:paraId="34674E4A" w14:textId="77777777" w:rsidR="00FB4ED1" w:rsidRDefault="00000000">
      <w:pPr>
        <w:numPr>
          <w:ilvl w:val="0"/>
          <w:numId w:val="3"/>
        </w:numPr>
        <w:tabs>
          <w:tab w:val="left" w:pos="1412"/>
        </w:tabs>
        <w:snapToGrid w:val="0"/>
        <w:spacing w:line="480" w:lineRule="exact"/>
        <w:ind w:left="1134" w:hanging="850"/>
        <w:textAlignment w:val="auto"/>
        <w:rPr>
          <w:rFonts w:ascii="標楷體" w:eastAsia="標楷體" w:hAnsi="標楷體"/>
          <w:sz w:val="28"/>
          <w:szCs w:val="20"/>
        </w:rPr>
      </w:pPr>
      <w:r>
        <w:rPr>
          <w:rFonts w:ascii="標楷體" w:eastAsia="標楷體" w:hAnsi="標楷體"/>
          <w:sz w:val="28"/>
          <w:szCs w:val="20"/>
        </w:rPr>
        <w:t>追蹤個案收案前需與病人解釋本方案實施之目的及需病人配合定期回診等事項，並發給相關衛教資料，經病人同意配合方得收案，並將病人或親屬同意書簽名黏貼於病歷表上，未黏貼者，不予支付管</w:t>
      </w:r>
      <w:r>
        <w:rPr>
          <w:rFonts w:ascii="標楷體" w:eastAsia="標楷體" w:hAnsi="標楷體"/>
          <w:sz w:val="28"/>
          <w:szCs w:val="20"/>
        </w:rPr>
        <w:lastRenderedPageBreak/>
        <w:t>理照護費。</w:t>
      </w:r>
    </w:p>
    <w:p w14:paraId="7A333928" w14:textId="77777777" w:rsidR="00FB4ED1" w:rsidRDefault="00000000">
      <w:pPr>
        <w:numPr>
          <w:ilvl w:val="0"/>
          <w:numId w:val="3"/>
        </w:numPr>
        <w:tabs>
          <w:tab w:val="left" w:pos="1412"/>
        </w:tabs>
        <w:snapToGrid w:val="0"/>
        <w:spacing w:line="480" w:lineRule="exact"/>
        <w:ind w:left="1134" w:hanging="850"/>
        <w:textAlignment w:val="auto"/>
        <w:rPr>
          <w:rFonts w:ascii="標楷體" w:eastAsia="標楷體" w:hAnsi="標楷體"/>
          <w:sz w:val="28"/>
          <w:szCs w:val="20"/>
        </w:rPr>
      </w:pPr>
      <w:r>
        <w:rPr>
          <w:rFonts w:ascii="標楷體" w:eastAsia="標楷體" w:hAnsi="標楷體"/>
          <w:sz w:val="28"/>
          <w:szCs w:val="20"/>
        </w:rPr>
        <w:t>本方案建議照護醫師團隊需衛教個案維持正常作息、均衡飲食及遠離菸酒，並對吸菸者提供戒菸資訊。</w:t>
      </w:r>
    </w:p>
    <w:p w14:paraId="1A24B04A" w14:textId="77777777" w:rsidR="00FB4ED1" w:rsidRDefault="00000000">
      <w:pPr>
        <w:numPr>
          <w:ilvl w:val="0"/>
          <w:numId w:val="3"/>
        </w:numPr>
        <w:tabs>
          <w:tab w:val="left" w:pos="1412"/>
        </w:tabs>
        <w:snapToGrid w:val="0"/>
        <w:spacing w:line="480" w:lineRule="exact"/>
        <w:ind w:left="1134" w:hanging="850"/>
        <w:textAlignment w:val="auto"/>
        <w:rPr>
          <w:rFonts w:ascii="標楷體" w:eastAsia="標楷體" w:hAnsi="標楷體"/>
          <w:sz w:val="28"/>
          <w:szCs w:val="20"/>
        </w:rPr>
      </w:pPr>
      <w:r>
        <w:rPr>
          <w:rFonts w:ascii="標楷體" w:eastAsia="標楷體" w:hAnsi="標楷體"/>
          <w:sz w:val="28"/>
          <w:szCs w:val="20"/>
        </w:rPr>
        <w:t>個案在醫師的照護下接受個案管理追蹤，因工作、遷移等因素需做轉診接續管理追蹤時，該個案之院所應先上網辦理轉介（轉出）程序後，即由受理轉診之院所再上網辦理轉介（轉入）程序，接續個案管理追蹤。為免個案中斷管理追蹤超過一年，喪失管理追蹤之權益，原負責管理追蹤與接續管理追蹤之院所應儘速執行轉介程序。</w:t>
      </w:r>
    </w:p>
    <w:p w14:paraId="0C8BCAFF" w14:textId="552BE11A" w:rsidR="00FB4ED1" w:rsidRPr="008C08FA" w:rsidRDefault="00000000" w:rsidP="008C08FA">
      <w:pPr>
        <w:pStyle w:val="a4"/>
        <w:numPr>
          <w:ilvl w:val="0"/>
          <w:numId w:val="25"/>
        </w:numPr>
        <w:snapToGrid w:val="0"/>
        <w:spacing w:line="480" w:lineRule="exact"/>
        <w:rPr>
          <w:rFonts w:ascii="標楷體" w:eastAsia="標楷體" w:hAnsi="標楷體"/>
          <w:sz w:val="28"/>
          <w:szCs w:val="20"/>
        </w:rPr>
      </w:pPr>
      <w:r w:rsidRPr="008C08FA">
        <w:rPr>
          <w:rFonts w:ascii="標楷體" w:eastAsia="標楷體" w:hAnsi="標楷體"/>
          <w:sz w:val="28"/>
          <w:szCs w:val="20"/>
        </w:rPr>
        <w:t>結案條件</w:t>
      </w:r>
      <w:r w:rsidR="00B749BF">
        <w:rPr>
          <w:rFonts w:ascii="標楷體" w:eastAsia="標楷體" w:hAnsi="標楷體" w:hint="eastAsia"/>
          <w:sz w:val="28"/>
          <w:szCs w:val="20"/>
        </w:rPr>
        <w:t>：</w:t>
      </w:r>
    </w:p>
    <w:p w14:paraId="69F75062" w14:textId="7337D69D" w:rsidR="00FB4ED1" w:rsidRDefault="00000000">
      <w:pPr>
        <w:numPr>
          <w:ilvl w:val="0"/>
          <w:numId w:val="5"/>
        </w:numPr>
        <w:tabs>
          <w:tab w:val="left" w:pos="1134"/>
          <w:tab w:val="left" w:pos="2556"/>
        </w:tabs>
        <w:snapToGrid w:val="0"/>
        <w:spacing w:line="480" w:lineRule="exact"/>
        <w:ind w:left="1134" w:hanging="850"/>
        <w:textAlignment w:val="auto"/>
        <w:rPr>
          <w:rFonts w:ascii="標楷體" w:eastAsia="標楷體" w:hAnsi="標楷體"/>
          <w:sz w:val="28"/>
          <w:szCs w:val="20"/>
        </w:rPr>
      </w:pPr>
      <w:r>
        <w:rPr>
          <w:rFonts w:ascii="標楷體" w:eastAsia="標楷體" w:hAnsi="標楷體"/>
          <w:sz w:val="28"/>
          <w:szCs w:val="20"/>
        </w:rPr>
        <w:t>可歸因於病人者，如失聯超過一年</w:t>
      </w:r>
      <w:r w:rsidR="005327DD">
        <w:rPr>
          <w:rFonts w:ascii="標楷體" w:eastAsia="標楷體" w:hAnsi="標楷體"/>
          <w:sz w:val="28"/>
          <w:szCs w:val="20"/>
        </w:rPr>
        <w:t>（</w:t>
      </w:r>
      <w:r>
        <w:rPr>
          <w:rFonts w:ascii="標楷體" w:eastAsia="標楷體" w:hAnsi="標楷體"/>
          <w:sz w:val="28"/>
          <w:szCs w:val="20"/>
        </w:rPr>
        <w:t>≧360天</w:t>
      </w:r>
      <w:r w:rsidR="005327DD">
        <w:rPr>
          <w:rFonts w:ascii="標楷體" w:eastAsia="標楷體" w:hAnsi="標楷體"/>
          <w:sz w:val="28"/>
          <w:szCs w:val="20"/>
        </w:rPr>
        <w:t>）</w:t>
      </w:r>
      <w:r>
        <w:rPr>
          <w:rFonts w:ascii="標楷體" w:eastAsia="標楷體" w:hAnsi="標楷體"/>
          <w:sz w:val="28"/>
          <w:szCs w:val="20"/>
        </w:rPr>
        <w:t>、拒絕再接受管理追蹤。</w:t>
      </w:r>
    </w:p>
    <w:p w14:paraId="4FD39ED6" w14:textId="77777777" w:rsidR="00FB4ED1" w:rsidRDefault="00000000">
      <w:pPr>
        <w:numPr>
          <w:ilvl w:val="0"/>
          <w:numId w:val="5"/>
        </w:numPr>
        <w:tabs>
          <w:tab w:val="left" w:pos="2556"/>
        </w:tabs>
        <w:snapToGrid w:val="0"/>
        <w:spacing w:line="480" w:lineRule="exact"/>
        <w:ind w:left="1134" w:hanging="850"/>
        <w:textAlignment w:val="auto"/>
        <w:rPr>
          <w:rFonts w:ascii="標楷體" w:eastAsia="標楷體" w:hAnsi="標楷體"/>
          <w:sz w:val="28"/>
          <w:szCs w:val="20"/>
        </w:rPr>
      </w:pPr>
      <w:r>
        <w:rPr>
          <w:rFonts w:ascii="標楷體" w:eastAsia="標楷體" w:hAnsi="標楷體"/>
          <w:sz w:val="28"/>
          <w:szCs w:val="20"/>
        </w:rPr>
        <w:t>病患罹患肝癌、肝昏迷個案不符收案資格。</w:t>
      </w:r>
    </w:p>
    <w:p w14:paraId="04814C6A" w14:textId="77777777" w:rsidR="00FB4ED1" w:rsidRDefault="00000000">
      <w:pPr>
        <w:numPr>
          <w:ilvl w:val="0"/>
          <w:numId w:val="5"/>
        </w:numPr>
        <w:tabs>
          <w:tab w:val="left" w:pos="2556"/>
        </w:tabs>
        <w:snapToGrid w:val="0"/>
        <w:spacing w:line="480" w:lineRule="exact"/>
        <w:ind w:left="1134" w:hanging="850"/>
        <w:textAlignment w:val="auto"/>
        <w:rPr>
          <w:rFonts w:ascii="標楷體" w:eastAsia="標楷體" w:hAnsi="標楷體"/>
          <w:sz w:val="28"/>
          <w:szCs w:val="20"/>
        </w:rPr>
      </w:pPr>
      <w:r>
        <w:rPr>
          <w:rFonts w:ascii="標楷體" w:eastAsia="標楷體" w:hAnsi="標楷體"/>
          <w:sz w:val="28"/>
          <w:szCs w:val="20"/>
        </w:rPr>
        <w:t>死亡。</w:t>
      </w:r>
    </w:p>
    <w:p w14:paraId="6F5D3BB9" w14:textId="744FE4FB" w:rsidR="00FB4ED1" w:rsidRPr="008C08FA" w:rsidRDefault="00000000" w:rsidP="008C08FA">
      <w:pPr>
        <w:pStyle w:val="a4"/>
        <w:numPr>
          <w:ilvl w:val="0"/>
          <w:numId w:val="25"/>
        </w:numPr>
        <w:snapToGrid w:val="0"/>
        <w:spacing w:line="480" w:lineRule="exact"/>
        <w:rPr>
          <w:rFonts w:ascii="標楷體" w:eastAsia="標楷體" w:hAnsi="標楷體"/>
          <w:sz w:val="28"/>
          <w:szCs w:val="20"/>
        </w:rPr>
      </w:pPr>
      <w:r w:rsidRPr="008C08FA">
        <w:rPr>
          <w:rFonts w:ascii="標楷體" w:eastAsia="標楷體" w:hAnsi="標楷體"/>
          <w:sz w:val="28"/>
          <w:szCs w:val="20"/>
        </w:rPr>
        <w:t>給付項目及支付標準：</w:t>
      </w:r>
    </w:p>
    <w:p w14:paraId="66C91168" w14:textId="0CC20A73" w:rsidR="00FB4ED1" w:rsidRDefault="00000000">
      <w:pPr>
        <w:numPr>
          <w:ilvl w:val="0"/>
          <w:numId w:val="6"/>
        </w:numPr>
        <w:tabs>
          <w:tab w:val="left" w:pos="1134"/>
          <w:tab w:val="left" w:pos="1412"/>
        </w:tabs>
        <w:snapToGrid w:val="0"/>
        <w:spacing w:line="480" w:lineRule="exact"/>
        <w:ind w:left="1134" w:hanging="850"/>
        <w:jc w:val="both"/>
        <w:textAlignment w:val="auto"/>
        <w:rPr>
          <w:rFonts w:ascii="標楷體" w:eastAsia="標楷體" w:hAnsi="標楷體"/>
          <w:sz w:val="28"/>
          <w:szCs w:val="20"/>
        </w:rPr>
      </w:pPr>
      <w:r>
        <w:rPr>
          <w:rFonts w:ascii="標楷體" w:eastAsia="標楷體" w:hAnsi="標楷體"/>
          <w:sz w:val="28"/>
          <w:szCs w:val="20"/>
        </w:rPr>
        <w:t>新收案及追蹤管理照護費</w:t>
      </w:r>
      <w:r w:rsidR="005327DD">
        <w:rPr>
          <w:rFonts w:ascii="標楷體" w:eastAsia="標楷體" w:hAnsi="標楷體"/>
          <w:sz w:val="28"/>
          <w:szCs w:val="20"/>
        </w:rPr>
        <w:t>（</w:t>
      </w:r>
      <w:r>
        <w:rPr>
          <w:rFonts w:ascii="標楷體" w:eastAsia="標楷體" w:hAnsi="標楷體"/>
          <w:sz w:val="28"/>
          <w:szCs w:val="20"/>
        </w:rPr>
        <w:t>詳附件一</w:t>
      </w:r>
      <w:r w:rsidR="005327DD">
        <w:rPr>
          <w:rFonts w:ascii="標楷體" w:eastAsia="標楷體" w:hAnsi="標楷體"/>
          <w:sz w:val="28"/>
          <w:szCs w:val="20"/>
        </w:rPr>
        <w:t>）</w:t>
      </w:r>
      <w:r>
        <w:rPr>
          <w:rFonts w:ascii="標楷體" w:eastAsia="標楷體" w:hAnsi="標楷體"/>
          <w:sz w:val="28"/>
          <w:szCs w:val="20"/>
        </w:rPr>
        <w:t>：符合本計畫之B型肝炎帶原者或C型肝炎感染者或肝纖維化F3</w:t>
      </w:r>
      <w:r w:rsidR="005327DD">
        <w:rPr>
          <w:rFonts w:ascii="標楷體" w:eastAsia="標楷體" w:hAnsi="標楷體"/>
          <w:sz w:val="28"/>
          <w:szCs w:val="20"/>
        </w:rPr>
        <w:t>（</w:t>
      </w:r>
      <w:r>
        <w:rPr>
          <w:rFonts w:ascii="標楷體" w:eastAsia="標楷體" w:hAnsi="標楷體"/>
          <w:sz w:val="28"/>
          <w:szCs w:val="20"/>
        </w:rPr>
        <w:t>含</w:t>
      </w:r>
      <w:r w:rsidR="005327DD">
        <w:rPr>
          <w:rFonts w:ascii="標楷體" w:eastAsia="標楷體" w:hAnsi="標楷體"/>
          <w:sz w:val="28"/>
          <w:szCs w:val="20"/>
        </w:rPr>
        <w:t>）</w:t>
      </w:r>
      <w:r>
        <w:rPr>
          <w:rFonts w:ascii="標楷體" w:eastAsia="標楷體" w:hAnsi="標楷體"/>
          <w:sz w:val="28"/>
          <w:szCs w:val="20"/>
        </w:rPr>
        <w:t>以上之代謝性、酒精性肝炎病人且個案管理追蹤，接受以醫師為主導之醫療團隊提供常規性追蹤檢查之完整性照護，醫療院所得定期申報管理照護費。</w:t>
      </w:r>
    </w:p>
    <w:p w14:paraId="4AAD9D85" w14:textId="0EBA09B0" w:rsidR="00FB4ED1" w:rsidRDefault="00000000">
      <w:pPr>
        <w:numPr>
          <w:ilvl w:val="0"/>
          <w:numId w:val="6"/>
        </w:numPr>
        <w:tabs>
          <w:tab w:val="left" w:pos="1134"/>
          <w:tab w:val="left" w:pos="1412"/>
        </w:tabs>
        <w:snapToGrid w:val="0"/>
        <w:spacing w:line="480" w:lineRule="exact"/>
        <w:ind w:left="1134" w:hanging="850"/>
        <w:textAlignment w:val="auto"/>
        <w:rPr>
          <w:rFonts w:ascii="標楷體" w:eastAsia="標楷體" w:hAnsi="標楷體"/>
          <w:sz w:val="28"/>
          <w:szCs w:val="20"/>
        </w:rPr>
      </w:pPr>
      <w:r>
        <w:rPr>
          <w:rFonts w:ascii="標楷體" w:eastAsia="標楷體" w:hAnsi="標楷體"/>
          <w:sz w:val="28"/>
          <w:szCs w:val="20"/>
        </w:rPr>
        <w:t>肝癌早期發現費</w:t>
      </w:r>
      <w:r w:rsidR="005327DD">
        <w:rPr>
          <w:rFonts w:ascii="標楷體" w:eastAsia="標楷體" w:hAnsi="標楷體"/>
          <w:sz w:val="28"/>
          <w:szCs w:val="20"/>
        </w:rPr>
        <w:t>（</w:t>
      </w:r>
      <w:r>
        <w:rPr>
          <w:rFonts w:ascii="標楷體" w:eastAsia="標楷體" w:hAnsi="標楷體"/>
          <w:sz w:val="28"/>
          <w:szCs w:val="20"/>
        </w:rPr>
        <w:t>詳附件一</w:t>
      </w:r>
      <w:r w:rsidR="005327DD">
        <w:rPr>
          <w:rFonts w:ascii="標楷體" w:eastAsia="標楷體" w:hAnsi="標楷體"/>
          <w:sz w:val="28"/>
          <w:szCs w:val="20"/>
        </w:rPr>
        <w:t>）</w:t>
      </w:r>
      <w:r w:rsidR="00B749BF">
        <w:rPr>
          <w:rFonts w:ascii="標楷體" w:eastAsia="標楷體" w:hAnsi="標楷體" w:hint="eastAsia"/>
          <w:sz w:val="28"/>
          <w:szCs w:val="20"/>
        </w:rPr>
        <w:t>：</w:t>
      </w:r>
      <w:r>
        <w:rPr>
          <w:rFonts w:ascii="標楷體" w:eastAsia="標楷體" w:hAnsi="標楷體"/>
          <w:sz w:val="28"/>
          <w:szCs w:val="20"/>
        </w:rPr>
        <w:t>首次被診斷肝癌</w:t>
      </w:r>
      <w:r w:rsidR="005327DD">
        <w:rPr>
          <w:rFonts w:ascii="標楷體" w:eastAsia="標楷體" w:hAnsi="標楷體"/>
          <w:sz w:val="28"/>
          <w:szCs w:val="20"/>
        </w:rPr>
        <w:t>（</w:t>
      </w:r>
      <w:r>
        <w:rPr>
          <w:rFonts w:ascii="標楷體" w:eastAsia="標楷體" w:hAnsi="標楷體"/>
          <w:sz w:val="28"/>
          <w:szCs w:val="20"/>
        </w:rPr>
        <w:t>C22</w:t>
      </w:r>
      <w:r w:rsidR="005327DD">
        <w:rPr>
          <w:rFonts w:ascii="標楷體" w:eastAsia="標楷體" w:hAnsi="標楷體"/>
          <w:sz w:val="28"/>
          <w:szCs w:val="20"/>
        </w:rPr>
        <w:t>）</w:t>
      </w:r>
      <w:r>
        <w:rPr>
          <w:rFonts w:ascii="標楷體" w:eastAsia="標楷體" w:hAnsi="標楷體"/>
          <w:sz w:val="28"/>
          <w:szCs w:val="20"/>
        </w:rPr>
        <w:t>且肝癌診斷期別為第1期或第2期，並取得重大傷病卡，醫療院所得申報早期發現費，須將肝癌期別登錄於健保資訊網服務系統</w:t>
      </w:r>
      <w:r w:rsidR="005327DD">
        <w:rPr>
          <w:rFonts w:ascii="標楷體" w:eastAsia="標楷體" w:hAnsi="標楷體"/>
          <w:sz w:val="28"/>
          <w:szCs w:val="20"/>
        </w:rPr>
        <w:t>（</w:t>
      </w:r>
      <w:r>
        <w:rPr>
          <w:rFonts w:ascii="標楷體" w:eastAsia="標楷體" w:hAnsi="標楷體"/>
          <w:sz w:val="28"/>
          <w:szCs w:val="20"/>
        </w:rPr>
        <w:t>VPN系統</w:t>
      </w:r>
      <w:r w:rsidR="005327DD">
        <w:rPr>
          <w:rFonts w:ascii="標楷體" w:eastAsia="標楷體" w:hAnsi="標楷體"/>
          <w:sz w:val="28"/>
          <w:szCs w:val="20"/>
        </w:rPr>
        <w:t>）</w:t>
      </w:r>
      <w:r>
        <w:rPr>
          <w:rFonts w:ascii="標楷體" w:eastAsia="標楷體" w:hAnsi="標楷體"/>
          <w:sz w:val="28"/>
          <w:szCs w:val="20"/>
        </w:rPr>
        <w:t>並記載於病歷備查。</w:t>
      </w:r>
    </w:p>
    <w:p w14:paraId="0180CFE3" w14:textId="77777777" w:rsidR="00FB4ED1" w:rsidRDefault="00000000">
      <w:pPr>
        <w:numPr>
          <w:ilvl w:val="0"/>
          <w:numId w:val="6"/>
        </w:numPr>
        <w:tabs>
          <w:tab w:val="left" w:pos="1134"/>
          <w:tab w:val="left" w:pos="1412"/>
        </w:tabs>
        <w:snapToGrid w:val="0"/>
        <w:spacing w:line="480" w:lineRule="exact"/>
        <w:ind w:left="1134" w:hanging="850"/>
        <w:textAlignment w:val="auto"/>
        <w:rPr>
          <w:rFonts w:ascii="標楷體" w:eastAsia="標楷體" w:hAnsi="標楷體"/>
          <w:sz w:val="28"/>
          <w:szCs w:val="20"/>
        </w:rPr>
      </w:pPr>
      <w:r>
        <w:rPr>
          <w:rFonts w:ascii="標楷體" w:eastAsia="標楷體" w:hAnsi="標楷體"/>
          <w:sz w:val="28"/>
          <w:szCs w:val="20"/>
        </w:rPr>
        <w:t>品質提升獎勵費：醫療院所達成該院所年度品質指標，所完成追蹤照護個案，得給付照護品質提升獎勵費用，每人次支付100點。</w:t>
      </w:r>
    </w:p>
    <w:p w14:paraId="45B3DF67" w14:textId="77777777" w:rsidR="00FB4ED1" w:rsidRDefault="00000000">
      <w:pPr>
        <w:numPr>
          <w:ilvl w:val="0"/>
          <w:numId w:val="6"/>
        </w:numPr>
        <w:tabs>
          <w:tab w:val="left" w:pos="1134"/>
          <w:tab w:val="left" w:pos="1412"/>
        </w:tabs>
        <w:snapToGrid w:val="0"/>
        <w:spacing w:line="480" w:lineRule="exact"/>
        <w:ind w:left="1134" w:hanging="850"/>
        <w:textAlignment w:val="auto"/>
        <w:rPr>
          <w:rFonts w:ascii="標楷體" w:eastAsia="標楷體" w:hAnsi="標楷體"/>
          <w:sz w:val="28"/>
          <w:szCs w:val="20"/>
        </w:rPr>
      </w:pPr>
      <w:r>
        <w:rPr>
          <w:rFonts w:ascii="標楷體" w:eastAsia="標楷體" w:hAnsi="標楷體"/>
          <w:sz w:val="28"/>
          <w:szCs w:val="20"/>
        </w:rPr>
        <w:t>本方案之疾病管理照護費用及相關品質獎勵費用，於全民健康保險醫院總額及西醫基層總額之「醫療給付改善方案」專款項下支應，採浮動點值計算，且每點支付金額不高於1元。</w:t>
      </w:r>
    </w:p>
    <w:p w14:paraId="208E4524" w14:textId="013AD3FF" w:rsidR="00FB4ED1" w:rsidRPr="008C08FA" w:rsidRDefault="00000000" w:rsidP="008C08FA">
      <w:pPr>
        <w:pStyle w:val="a4"/>
        <w:numPr>
          <w:ilvl w:val="0"/>
          <w:numId w:val="25"/>
        </w:numPr>
        <w:snapToGrid w:val="0"/>
        <w:spacing w:line="480" w:lineRule="exact"/>
        <w:rPr>
          <w:rFonts w:ascii="標楷體" w:eastAsia="標楷體" w:hAnsi="標楷體"/>
          <w:sz w:val="28"/>
          <w:szCs w:val="20"/>
        </w:rPr>
      </w:pPr>
      <w:r w:rsidRPr="008C08FA">
        <w:rPr>
          <w:rFonts w:ascii="標楷體" w:eastAsia="標楷體" w:hAnsi="標楷體"/>
          <w:sz w:val="28"/>
          <w:szCs w:val="20"/>
        </w:rPr>
        <w:t>品質資訊之登錄及監測</w:t>
      </w:r>
    </w:p>
    <w:p w14:paraId="0CFF4967" w14:textId="66A5775B" w:rsidR="00FB4ED1" w:rsidRDefault="00000000">
      <w:pPr>
        <w:numPr>
          <w:ilvl w:val="0"/>
          <w:numId w:val="7"/>
        </w:numPr>
        <w:tabs>
          <w:tab w:val="left" w:pos="1134"/>
          <w:tab w:val="left" w:pos="1412"/>
        </w:tabs>
        <w:snapToGrid w:val="0"/>
        <w:spacing w:line="480" w:lineRule="exact"/>
        <w:ind w:left="1134" w:hanging="850"/>
        <w:textAlignment w:val="auto"/>
        <w:rPr>
          <w:rFonts w:ascii="標楷體" w:eastAsia="標楷體" w:hAnsi="標楷體"/>
          <w:sz w:val="28"/>
          <w:szCs w:val="20"/>
        </w:rPr>
      </w:pPr>
      <w:r>
        <w:rPr>
          <w:rFonts w:ascii="標楷體" w:eastAsia="標楷體" w:hAnsi="標楷體"/>
          <w:sz w:val="28"/>
          <w:szCs w:val="20"/>
        </w:rPr>
        <w:t>參與本方案之特約醫療院所應依保險人規定內容</w:t>
      </w:r>
      <w:r w:rsidR="005327DD">
        <w:rPr>
          <w:rFonts w:ascii="標楷體" w:eastAsia="標楷體" w:hAnsi="標楷體"/>
          <w:sz w:val="28"/>
          <w:szCs w:val="20"/>
        </w:rPr>
        <w:t>（</w:t>
      </w:r>
      <w:r>
        <w:rPr>
          <w:rFonts w:ascii="標楷體" w:eastAsia="標楷體" w:hAnsi="標楷體"/>
          <w:sz w:val="28"/>
          <w:szCs w:val="20"/>
        </w:rPr>
        <w:t>如附件二</w:t>
      </w:r>
      <w:r w:rsidR="005327DD">
        <w:rPr>
          <w:rFonts w:ascii="標楷體" w:eastAsia="標楷體" w:hAnsi="標楷體"/>
          <w:sz w:val="28"/>
          <w:szCs w:val="20"/>
        </w:rPr>
        <w:t>）</w:t>
      </w:r>
      <w:r>
        <w:rPr>
          <w:rFonts w:ascii="標楷體" w:eastAsia="標楷體" w:hAnsi="標楷體"/>
          <w:sz w:val="28"/>
          <w:szCs w:val="20"/>
        </w:rPr>
        <w:t>，登錄檢驗、檢查結果資訊。</w:t>
      </w:r>
    </w:p>
    <w:p w14:paraId="38AFA74C" w14:textId="77777777" w:rsidR="00FB4ED1" w:rsidRDefault="00000000">
      <w:pPr>
        <w:numPr>
          <w:ilvl w:val="0"/>
          <w:numId w:val="7"/>
        </w:numPr>
        <w:tabs>
          <w:tab w:val="left" w:pos="1134"/>
          <w:tab w:val="left" w:pos="1412"/>
        </w:tabs>
        <w:snapToGrid w:val="0"/>
        <w:spacing w:line="480" w:lineRule="exact"/>
        <w:ind w:left="1134" w:hanging="850"/>
        <w:textAlignment w:val="auto"/>
        <w:rPr>
          <w:rFonts w:ascii="標楷體" w:eastAsia="標楷體" w:hAnsi="標楷體"/>
          <w:sz w:val="28"/>
          <w:szCs w:val="20"/>
        </w:rPr>
      </w:pPr>
      <w:r>
        <w:rPr>
          <w:rFonts w:ascii="標楷體" w:eastAsia="標楷體" w:hAnsi="標楷體"/>
          <w:sz w:val="28"/>
          <w:szCs w:val="20"/>
        </w:rPr>
        <w:lastRenderedPageBreak/>
        <w:t>保險人視情形舉辦本方案執行概況檢討或發表會，藉以進行執行成果檢討及經驗交流。</w:t>
      </w:r>
    </w:p>
    <w:p w14:paraId="45B1CEE6" w14:textId="12265243" w:rsidR="00FB4ED1" w:rsidRPr="008C08FA" w:rsidRDefault="00000000" w:rsidP="008C08FA">
      <w:pPr>
        <w:pStyle w:val="a4"/>
        <w:numPr>
          <w:ilvl w:val="0"/>
          <w:numId w:val="25"/>
        </w:numPr>
        <w:snapToGrid w:val="0"/>
        <w:spacing w:line="480" w:lineRule="exact"/>
        <w:rPr>
          <w:rFonts w:ascii="標楷體" w:eastAsia="標楷體" w:hAnsi="標楷體"/>
          <w:sz w:val="28"/>
          <w:szCs w:val="20"/>
        </w:rPr>
      </w:pPr>
      <w:r w:rsidRPr="008C08FA">
        <w:rPr>
          <w:rFonts w:ascii="標楷體" w:eastAsia="標楷體" w:hAnsi="標楷體"/>
          <w:sz w:val="28"/>
          <w:szCs w:val="20"/>
        </w:rPr>
        <w:t>醫療費用申報及審查原則</w:t>
      </w:r>
    </w:p>
    <w:p w14:paraId="515B218C" w14:textId="77777777" w:rsidR="00FB4ED1" w:rsidRDefault="00000000">
      <w:pPr>
        <w:numPr>
          <w:ilvl w:val="0"/>
          <w:numId w:val="8"/>
        </w:numPr>
        <w:tabs>
          <w:tab w:val="left" w:pos="-12986"/>
          <w:tab w:val="left" w:pos="-12708"/>
        </w:tabs>
        <w:snapToGrid w:val="0"/>
        <w:spacing w:line="480" w:lineRule="exact"/>
        <w:textAlignment w:val="auto"/>
        <w:rPr>
          <w:rFonts w:ascii="標楷體" w:eastAsia="標楷體" w:hAnsi="標楷體"/>
          <w:sz w:val="28"/>
          <w:szCs w:val="20"/>
        </w:rPr>
      </w:pPr>
      <w:r>
        <w:rPr>
          <w:rFonts w:ascii="標楷體" w:eastAsia="標楷體" w:hAnsi="標楷體"/>
          <w:sz w:val="28"/>
          <w:szCs w:val="20"/>
        </w:rPr>
        <w:t>申報原則：</w:t>
      </w:r>
    </w:p>
    <w:p w14:paraId="3022E974" w14:textId="77777777" w:rsidR="00FB4ED1" w:rsidRDefault="00000000">
      <w:pPr>
        <w:numPr>
          <w:ilvl w:val="0"/>
          <w:numId w:val="9"/>
        </w:numPr>
        <w:spacing w:line="480" w:lineRule="exact"/>
        <w:textAlignment w:val="auto"/>
        <w:rPr>
          <w:rFonts w:ascii="標楷體" w:eastAsia="標楷體" w:hAnsi="標楷體"/>
          <w:sz w:val="28"/>
          <w:szCs w:val="20"/>
        </w:rPr>
      </w:pPr>
      <w:r>
        <w:rPr>
          <w:rFonts w:ascii="標楷體" w:eastAsia="標楷體" w:hAnsi="標楷體"/>
          <w:sz w:val="28"/>
          <w:szCs w:val="20"/>
        </w:rPr>
        <w:t>醫療費用申報、暫付、審查及核付，依全民健康保險醫療費用申報與核付及醫療服務審查辦法規定辦理。</w:t>
      </w:r>
    </w:p>
    <w:p w14:paraId="4662C8B4" w14:textId="77777777" w:rsidR="00FB4ED1" w:rsidRDefault="00000000">
      <w:pPr>
        <w:numPr>
          <w:ilvl w:val="0"/>
          <w:numId w:val="9"/>
        </w:numPr>
        <w:spacing w:line="480" w:lineRule="exact"/>
        <w:textAlignment w:val="auto"/>
        <w:rPr>
          <w:rFonts w:ascii="標楷體" w:eastAsia="標楷體" w:hAnsi="標楷體"/>
          <w:sz w:val="28"/>
          <w:szCs w:val="20"/>
        </w:rPr>
      </w:pPr>
      <w:r>
        <w:rPr>
          <w:rFonts w:ascii="標楷體" w:eastAsia="標楷體" w:hAnsi="標楷體"/>
          <w:sz w:val="28"/>
          <w:szCs w:val="20"/>
        </w:rPr>
        <w:t>門診醫療費用點數申報格式點數清單段醫令清單段填表說明。</w:t>
      </w:r>
    </w:p>
    <w:p w14:paraId="56BA78C2" w14:textId="321F5FDF" w:rsidR="00FB4ED1" w:rsidRDefault="00000000" w:rsidP="005327DD">
      <w:pPr>
        <w:pStyle w:val="a4"/>
        <w:numPr>
          <w:ilvl w:val="0"/>
          <w:numId w:val="36"/>
        </w:numPr>
        <w:snapToGrid w:val="0"/>
        <w:spacing w:line="480" w:lineRule="exact"/>
      </w:pPr>
      <w:r w:rsidRPr="005327DD">
        <w:rPr>
          <w:rFonts w:ascii="標楷體" w:eastAsia="標楷體" w:hAnsi="標楷體"/>
          <w:sz w:val="28"/>
          <w:szCs w:val="20"/>
        </w:rPr>
        <w:t>屬本方案收案之保險對象，其就診當次符合申報P碼者，於申報費用時，</w:t>
      </w:r>
      <w:r w:rsidRPr="005327DD">
        <w:rPr>
          <w:rFonts w:ascii="標楷體" w:eastAsia="標楷體" w:hAnsi="標楷體"/>
          <w:sz w:val="28"/>
          <w:szCs w:val="28"/>
        </w:rPr>
        <w:t>門診醫療費用點數申報格式點數清單段</w:t>
      </w:r>
      <w:r w:rsidRPr="005327DD">
        <w:rPr>
          <w:rFonts w:ascii="標楷體" w:eastAsia="標楷體" w:hAnsi="標楷體"/>
          <w:sz w:val="28"/>
          <w:szCs w:val="20"/>
        </w:rPr>
        <w:t>之案件分類應填『E1』、特定治療項目代號</w:t>
      </w:r>
      <w:r w:rsidR="005327DD" w:rsidRPr="005327DD">
        <w:rPr>
          <w:rFonts w:ascii="標楷體" w:eastAsia="標楷體" w:hAnsi="標楷體"/>
          <w:sz w:val="28"/>
          <w:szCs w:val="20"/>
        </w:rPr>
        <w:t>（</w:t>
      </w:r>
      <w:r w:rsidRPr="005327DD">
        <w:rPr>
          <w:rFonts w:ascii="標楷體" w:eastAsia="標楷體" w:hAnsi="標楷體"/>
          <w:sz w:val="28"/>
          <w:szCs w:val="20"/>
        </w:rPr>
        <w:t>一</w:t>
      </w:r>
      <w:r w:rsidR="005327DD" w:rsidRPr="005327DD">
        <w:rPr>
          <w:rFonts w:ascii="標楷體" w:eastAsia="標楷體" w:hAnsi="標楷體"/>
          <w:sz w:val="28"/>
          <w:szCs w:val="20"/>
        </w:rPr>
        <w:t>）</w:t>
      </w:r>
      <w:r w:rsidRPr="005327DD">
        <w:rPr>
          <w:rFonts w:ascii="標楷體" w:eastAsia="標楷體" w:hAnsi="標楷體"/>
          <w:sz w:val="28"/>
          <w:szCs w:val="20"/>
        </w:rPr>
        <w:t>應填『H7』。未符合申報上述醫令者，依一般費用申報原則辦理。</w:t>
      </w:r>
    </w:p>
    <w:p w14:paraId="4AB77C5F" w14:textId="1994CC17" w:rsidR="00FB4ED1" w:rsidRPr="005327DD" w:rsidRDefault="00000000" w:rsidP="005327DD">
      <w:pPr>
        <w:pStyle w:val="a4"/>
        <w:numPr>
          <w:ilvl w:val="0"/>
          <w:numId w:val="36"/>
        </w:numPr>
        <w:snapToGrid w:val="0"/>
        <w:spacing w:line="480" w:lineRule="exact"/>
        <w:rPr>
          <w:rFonts w:ascii="標楷體" w:eastAsia="標楷體" w:hAnsi="標楷體"/>
          <w:sz w:val="28"/>
          <w:szCs w:val="20"/>
        </w:rPr>
      </w:pPr>
      <w:r w:rsidRPr="005327DD">
        <w:rPr>
          <w:rFonts w:ascii="標楷體" w:eastAsia="標楷體" w:hAnsi="標楷體"/>
          <w:sz w:val="28"/>
          <w:szCs w:val="20"/>
        </w:rPr>
        <w:t>申報方式：併當月份送核費用申報。</w:t>
      </w:r>
    </w:p>
    <w:p w14:paraId="7C2B36CE" w14:textId="77777777" w:rsidR="00FB4ED1" w:rsidRDefault="00000000">
      <w:pPr>
        <w:numPr>
          <w:ilvl w:val="0"/>
          <w:numId w:val="9"/>
        </w:numPr>
        <w:spacing w:line="480" w:lineRule="exact"/>
        <w:textAlignment w:val="auto"/>
        <w:rPr>
          <w:rFonts w:ascii="標楷體" w:eastAsia="標楷體" w:hAnsi="標楷體"/>
          <w:sz w:val="28"/>
          <w:szCs w:val="20"/>
        </w:rPr>
      </w:pPr>
      <w:r>
        <w:rPr>
          <w:rFonts w:ascii="標楷體" w:eastAsia="標楷體" w:hAnsi="標楷體"/>
          <w:sz w:val="28"/>
          <w:szCs w:val="20"/>
        </w:rPr>
        <w:t>醫師視臨床需要依專業判斷提供檢查及診療服務，依一般費用申報規定申報，不以本方案建議檢查項目及次數為限。</w:t>
      </w:r>
    </w:p>
    <w:p w14:paraId="20E26510" w14:textId="77777777" w:rsidR="00FB4ED1" w:rsidRDefault="00000000">
      <w:pPr>
        <w:numPr>
          <w:ilvl w:val="0"/>
          <w:numId w:val="8"/>
        </w:numPr>
        <w:tabs>
          <w:tab w:val="left" w:pos="-12986"/>
          <w:tab w:val="left" w:pos="-12708"/>
        </w:tabs>
        <w:snapToGrid w:val="0"/>
        <w:spacing w:line="480" w:lineRule="exact"/>
        <w:textAlignment w:val="auto"/>
        <w:rPr>
          <w:rFonts w:ascii="標楷體" w:eastAsia="標楷體" w:hAnsi="標楷體"/>
          <w:sz w:val="28"/>
          <w:szCs w:val="20"/>
        </w:rPr>
      </w:pPr>
      <w:r>
        <w:rPr>
          <w:rFonts w:ascii="標楷體" w:eastAsia="標楷體" w:hAnsi="標楷體"/>
          <w:sz w:val="28"/>
          <w:szCs w:val="20"/>
        </w:rPr>
        <w:t>審查原則</w:t>
      </w:r>
    </w:p>
    <w:p w14:paraId="284BE3C4" w14:textId="7AF8C2E2" w:rsidR="00FB4ED1" w:rsidRPr="005327DD" w:rsidRDefault="00000000" w:rsidP="005327DD">
      <w:pPr>
        <w:pStyle w:val="a4"/>
        <w:numPr>
          <w:ilvl w:val="0"/>
          <w:numId w:val="35"/>
        </w:numPr>
        <w:snapToGrid w:val="0"/>
        <w:spacing w:line="480" w:lineRule="exact"/>
        <w:rPr>
          <w:rFonts w:ascii="標楷體" w:eastAsia="標楷體" w:hAnsi="標楷體"/>
          <w:sz w:val="28"/>
          <w:szCs w:val="20"/>
        </w:rPr>
      </w:pPr>
      <w:r w:rsidRPr="005327DD">
        <w:rPr>
          <w:rFonts w:ascii="標楷體" w:eastAsia="標楷體" w:hAnsi="標楷體"/>
          <w:sz w:val="28"/>
          <w:szCs w:val="20"/>
        </w:rPr>
        <w:t>未依保險人規定內容登錄相關資訊，或經保險人審查發現登載不實者，不予支付該筆管理照護費並依相關規定辦理；另該筆疾病管理費被核刪後不得再申報。</w:t>
      </w:r>
    </w:p>
    <w:p w14:paraId="026D9E97" w14:textId="62CB7803" w:rsidR="00FB4ED1" w:rsidRDefault="00000000" w:rsidP="005327DD">
      <w:pPr>
        <w:pStyle w:val="a4"/>
        <w:numPr>
          <w:ilvl w:val="0"/>
          <w:numId w:val="35"/>
        </w:numPr>
        <w:snapToGrid w:val="0"/>
        <w:spacing w:line="480" w:lineRule="exact"/>
      </w:pPr>
      <w:r w:rsidRPr="005327DD">
        <w:rPr>
          <w:rFonts w:ascii="標楷體" w:eastAsia="標楷體" w:hAnsi="標楷體"/>
          <w:sz w:val="28"/>
          <w:szCs w:val="20"/>
        </w:rPr>
        <w:t>其餘未規定事項，依全民健康保險醫</w:t>
      </w:r>
      <w:r w:rsidRPr="005327DD">
        <w:rPr>
          <w:rFonts w:ascii="標楷體" w:eastAsia="標楷體" w:hAnsi="標楷體"/>
          <w:sz w:val="28"/>
          <w:szCs w:val="28"/>
        </w:rPr>
        <w:t>療費用申報與核付及</w:t>
      </w:r>
      <w:r w:rsidRPr="005327DD">
        <w:rPr>
          <w:rFonts w:ascii="標楷體" w:eastAsia="標楷體" w:hAnsi="標楷體"/>
          <w:sz w:val="28"/>
          <w:szCs w:val="20"/>
        </w:rPr>
        <w:t>醫療服務審查辦法規定辦理。</w:t>
      </w:r>
    </w:p>
    <w:p w14:paraId="4269A5CD" w14:textId="0C8BF6E3" w:rsidR="00FB4ED1" w:rsidRPr="008C08FA" w:rsidRDefault="00000000" w:rsidP="008C08FA">
      <w:pPr>
        <w:pStyle w:val="a4"/>
        <w:numPr>
          <w:ilvl w:val="0"/>
          <w:numId w:val="25"/>
        </w:numPr>
        <w:snapToGrid w:val="0"/>
        <w:spacing w:line="460" w:lineRule="exact"/>
        <w:rPr>
          <w:rFonts w:ascii="標楷體" w:eastAsia="標楷體" w:hAnsi="標楷體"/>
          <w:sz w:val="28"/>
          <w:szCs w:val="20"/>
        </w:rPr>
      </w:pPr>
      <w:r w:rsidRPr="008C08FA">
        <w:rPr>
          <w:rFonts w:ascii="標楷體" w:eastAsia="標楷體" w:hAnsi="標楷體"/>
          <w:sz w:val="28"/>
          <w:szCs w:val="20"/>
        </w:rPr>
        <w:t>品質獎勵措施：</w:t>
      </w:r>
    </w:p>
    <w:p w14:paraId="6A0A83FC" w14:textId="77777777" w:rsidR="00FB4ED1" w:rsidRDefault="00000000">
      <w:pPr>
        <w:snapToGrid w:val="0"/>
        <w:spacing w:line="460" w:lineRule="exact"/>
        <w:ind w:left="706" w:firstLine="1"/>
        <w:rPr>
          <w:rFonts w:ascii="標楷體" w:eastAsia="標楷體" w:hAnsi="標楷體"/>
          <w:sz w:val="28"/>
          <w:szCs w:val="20"/>
        </w:rPr>
      </w:pPr>
      <w:r>
        <w:rPr>
          <w:rFonts w:ascii="標楷體" w:eastAsia="標楷體" w:hAnsi="標楷體"/>
          <w:sz w:val="28"/>
          <w:szCs w:val="20"/>
        </w:rPr>
        <w:t>以參與本方案之醫療院所為單位，全部達成下列所有品質指標目標值之院所，依所完成追蹤之個案數每個案給予100點獎勵，品質指標之計算自本方案公告日起起算，相關進步指標之計算自本方案公告日累計兩年執行率後再予核算。未全部達成者，獎勵費用不予給付。</w:t>
      </w:r>
    </w:p>
    <w:p w14:paraId="30765B93" w14:textId="77777777" w:rsidR="00FB4ED1" w:rsidRPr="00D468B6" w:rsidRDefault="00000000" w:rsidP="00D468B6">
      <w:pPr>
        <w:pStyle w:val="a4"/>
        <w:numPr>
          <w:ilvl w:val="0"/>
          <w:numId w:val="33"/>
        </w:numPr>
        <w:tabs>
          <w:tab w:val="left" w:pos="-12986"/>
          <w:tab w:val="left" w:pos="-12708"/>
        </w:tabs>
        <w:snapToGrid w:val="0"/>
        <w:spacing w:line="460" w:lineRule="exact"/>
        <w:textAlignment w:val="auto"/>
        <w:rPr>
          <w:rFonts w:ascii="標楷體" w:eastAsia="標楷體" w:hAnsi="標楷體"/>
          <w:sz w:val="28"/>
          <w:szCs w:val="20"/>
        </w:rPr>
      </w:pPr>
      <w:r w:rsidRPr="00D468B6">
        <w:rPr>
          <w:rFonts w:ascii="標楷體" w:eastAsia="標楷體" w:hAnsi="標楷體"/>
          <w:sz w:val="28"/>
          <w:szCs w:val="20"/>
        </w:rPr>
        <w:t>門檻指標：</w:t>
      </w:r>
    </w:p>
    <w:p w14:paraId="47A3E800" w14:textId="38463BC4" w:rsidR="00FB4ED1" w:rsidRDefault="00000000" w:rsidP="00774798">
      <w:pPr>
        <w:pStyle w:val="a4"/>
        <w:numPr>
          <w:ilvl w:val="0"/>
          <w:numId w:val="26"/>
        </w:numPr>
        <w:snapToGrid w:val="0"/>
        <w:spacing w:line="460" w:lineRule="exact"/>
      </w:pPr>
      <w:r w:rsidRPr="00774798">
        <w:rPr>
          <w:rFonts w:ascii="標楷體" w:eastAsia="標楷體" w:hAnsi="標楷體"/>
          <w:sz w:val="28"/>
          <w:szCs w:val="20"/>
        </w:rPr>
        <w:t>醫學中心及區域醫院當年度收案人數須≧50人以上。</w:t>
      </w:r>
    </w:p>
    <w:p w14:paraId="6074965A" w14:textId="77777777" w:rsidR="00D468B6" w:rsidRDefault="00000000" w:rsidP="00D468B6">
      <w:pPr>
        <w:pStyle w:val="a4"/>
        <w:numPr>
          <w:ilvl w:val="0"/>
          <w:numId w:val="26"/>
        </w:numPr>
        <w:snapToGrid w:val="0"/>
        <w:spacing w:line="460" w:lineRule="exact"/>
        <w:rPr>
          <w:rFonts w:ascii="標楷體" w:eastAsia="標楷體" w:hAnsi="標楷體"/>
          <w:sz w:val="28"/>
          <w:szCs w:val="28"/>
        </w:rPr>
      </w:pPr>
      <w:r w:rsidRPr="00774798">
        <w:rPr>
          <w:rFonts w:ascii="標楷體" w:eastAsia="標楷體" w:hAnsi="標楷體"/>
          <w:sz w:val="28"/>
          <w:szCs w:val="28"/>
        </w:rPr>
        <w:t>地區醫院及基層診所當年度收案人數須≧20人以上。</w:t>
      </w:r>
    </w:p>
    <w:p w14:paraId="2FEA7395" w14:textId="2E8932F4" w:rsidR="00FB4ED1" w:rsidRPr="00D468B6" w:rsidRDefault="00000000" w:rsidP="00D468B6">
      <w:pPr>
        <w:pStyle w:val="a4"/>
        <w:numPr>
          <w:ilvl w:val="0"/>
          <w:numId w:val="33"/>
        </w:numPr>
        <w:snapToGrid w:val="0"/>
        <w:spacing w:line="460" w:lineRule="exact"/>
        <w:rPr>
          <w:rFonts w:ascii="標楷體" w:eastAsia="標楷體" w:hAnsi="標楷體"/>
          <w:sz w:val="28"/>
          <w:szCs w:val="28"/>
        </w:rPr>
      </w:pPr>
      <w:r w:rsidRPr="00D468B6">
        <w:rPr>
          <w:rFonts w:ascii="標楷體" w:eastAsia="標楷體" w:hAnsi="標楷體"/>
          <w:sz w:val="28"/>
          <w:szCs w:val="20"/>
        </w:rPr>
        <w:t>品質指標：</w:t>
      </w:r>
    </w:p>
    <w:p w14:paraId="5060E695" w14:textId="423C2B16" w:rsidR="00FB4ED1" w:rsidRDefault="00000000" w:rsidP="00774798">
      <w:pPr>
        <w:pStyle w:val="a4"/>
        <w:numPr>
          <w:ilvl w:val="0"/>
          <w:numId w:val="28"/>
        </w:numPr>
        <w:snapToGrid w:val="0"/>
        <w:spacing w:line="460" w:lineRule="exact"/>
      </w:pPr>
      <w:r w:rsidRPr="00774798">
        <w:rPr>
          <w:rFonts w:ascii="標楷體" w:eastAsia="標楷體" w:hAnsi="標楷體"/>
          <w:sz w:val="28"/>
          <w:szCs w:val="20"/>
        </w:rPr>
        <w:t>收案率</w:t>
      </w:r>
      <w:r w:rsidRPr="00774798">
        <w:rPr>
          <w:rFonts w:ascii="標楷體" w:eastAsia="標楷體" w:hAnsi="標楷體"/>
          <w:sz w:val="28"/>
          <w:szCs w:val="28"/>
        </w:rPr>
        <w:t>≧</w:t>
      </w:r>
      <w:r w:rsidRPr="00774798">
        <w:rPr>
          <w:rFonts w:ascii="標楷體" w:eastAsia="標楷體" w:hAnsi="標楷體"/>
          <w:sz w:val="28"/>
          <w:szCs w:val="20"/>
        </w:rPr>
        <w:t>30%：</w:t>
      </w:r>
    </w:p>
    <w:p w14:paraId="307AB899" w14:textId="77777777" w:rsidR="00FB4ED1" w:rsidRPr="00774798" w:rsidRDefault="00000000" w:rsidP="00774798">
      <w:pPr>
        <w:pStyle w:val="a4"/>
        <w:numPr>
          <w:ilvl w:val="0"/>
          <w:numId w:val="29"/>
        </w:numPr>
        <w:tabs>
          <w:tab w:val="left" w:pos="1134"/>
          <w:tab w:val="left" w:pos="1738"/>
        </w:tabs>
        <w:snapToGrid w:val="0"/>
        <w:spacing w:line="460" w:lineRule="exact"/>
        <w:textAlignment w:val="auto"/>
        <w:rPr>
          <w:rFonts w:ascii="標楷體" w:eastAsia="標楷體" w:hAnsi="標楷體"/>
          <w:sz w:val="28"/>
          <w:szCs w:val="20"/>
        </w:rPr>
      </w:pPr>
      <w:r w:rsidRPr="00774798">
        <w:rPr>
          <w:rFonts w:ascii="標楷體" w:eastAsia="標楷體" w:hAnsi="標楷體"/>
          <w:sz w:val="28"/>
          <w:szCs w:val="20"/>
        </w:rPr>
        <w:lastRenderedPageBreak/>
        <w:t>定義：</w:t>
      </w:r>
    </w:p>
    <w:p w14:paraId="6F089095" w14:textId="3EC5E957" w:rsidR="00FB4ED1" w:rsidRPr="00774798" w:rsidRDefault="00000000" w:rsidP="00774798">
      <w:pPr>
        <w:pStyle w:val="a4"/>
        <w:numPr>
          <w:ilvl w:val="0"/>
          <w:numId w:val="30"/>
        </w:numPr>
        <w:snapToGrid w:val="0"/>
        <w:spacing w:line="460" w:lineRule="exact"/>
        <w:rPr>
          <w:rFonts w:ascii="標楷體" w:eastAsia="標楷體" w:hAnsi="標楷體"/>
          <w:sz w:val="28"/>
          <w:szCs w:val="20"/>
        </w:rPr>
      </w:pPr>
      <w:r w:rsidRPr="00774798">
        <w:rPr>
          <w:rFonts w:ascii="標楷體" w:eastAsia="標楷體" w:hAnsi="標楷體"/>
          <w:sz w:val="28"/>
          <w:szCs w:val="20"/>
        </w:rPr>
        <w:t>分母：指該院所當年度符合收案條件患者。</w:t>
      </w:r>
    </w:p>
    <w:p w14:paraId="369F9D83" w14:textId="2A43E7D6" w:rsidR="00FB4ED1" w:rsidRPr="00774798" w:rsidRDefault="00000000" w:rsidP="00774798">
      <w:pPr>
        <w:pStyle w:val="a4"/>
        <w:numPr>
          <w:ilvl w:val="0"/>
          <w:numId w:val="30"/>
        </w:numPr>
        <w:snapToGrid w:val="0"/>
        <w:spacing w:line="460" w:lineRule="exact"/>
        <w:rPr>
          <w:rFonts w:ascii="標楷體" w:eastAsia="標楷體" w:hAnsi="標楷體"/>
          <w:sz w:val="28"/>
          <w:szCs w:val="20"/>
        </w:rPr>
      </w:pPr>
      <w:r w:rsidRPr="00774798">
        <w:rPr>
          <w:rFonts w:ascii="標楷體" w:eastAsia="標楷體" w:hAnsi="標楷體"/>
          <w:sz w:val="28"/>
          <w:szCs w:val="20"/>
        </w:rPr>
        <w:t>分子：當年度該院所本方案所收案個案數。</w:t>
      </w:r>
    </w:p>
    <w:p w14:paraId="246A8E52" w14:textId="57A48FA1" w:rsidR="00FB4ED1" w:rsidRPr="00774798" w:rsidRDefault="00000000" w:rsidP="00774798">
      <w:pPr>
        <w:pStyle w:val="a4"/>
        <w:numPr>
          <w:ilvl w:val="0"/>
          <w:numId w:val="28"/>
        </w:numPr>
        <w:snapToGrid w:val="0"/>
        <w:spacing w:line="460" w:lineRule="exact"/>
        <w:rPr>
          <w:rFonts w:ascii="標楷體" w:eastAsia="標楷體" w:hAnsi="標楷體"/>
          <w:sz w:val="28"/>
          <w:szCs w:val="20"/>
        </w:rPr>
      </w:pPr>
      <w:r w:rsidRPr="00774798">
        <w:rPr>
          <w:rFonts w:ascii="標楷體" w:eastAsia="標楷體" w:hAnsi="標楷體"/>
          <w:sz w:val="28"/>
          <w:szCs w:val="20"/>
        </w:rPr>
        <w:t>腹部超音波檢查執行進步率</w:t>
      </w:r>
    </w:p>
    <w:p w14:paraId="587C9C74" w14:textId="77777777" w:rsidR="00774798" w:rsidRDefault="00000000" w:rsidP="00774798">
      <w:pPr>
        <w:pStyle w:val="a4"/>
        <w:numPr>
          <w:ilvl w:val="0"/>
          <w:numId w:val="29"/>
        </w:numPr>
        <w:tabs>
          <w:tab w:val="left" w:pos="1738"/>
        </w:tabs>
        <w:snapToGrid w:val="0"/>
        <w:spacing w:line="460" w:lineRule="exact"/>
        <w:textAlignment w:val="auto"/>
        <w:rPr>
          <w:rFonts w:ascii="標楷體" w:eastAsia="標楷體" w:hAnsi="標楷體"/>
          <w:sz w:val="28"/>
          <w:szCs w:val="20"/>
        </w:rPr>
      </w:pPr>
      <w:r w:rsidRPr="00774798">
        <w:rPr>
          <w:rFonts w:ascii="標楷體" w:eastAsia="標楷體" w:hAnsi="標楷體"/>
          <w:sz w:val="28"/>
          <w:szCs w:val="20"/>
        </w:rPr>
        <w:t>定義：</w:t>
      </w:r>
    </w:p>
    <w:p w14:paraId="619C56CF" w14:textId="7BAA89FD" w:rsidR="00FB4ED1" w:rsidRPr="00774798" w:rsidRDefault="00000000" w:rsidP="00774798">
      <w:pPr>
        <w:pStyle w:val="a4"/>
        <w:numPr>
          <w:ilvl w:val="0"/>
          <w:numId w:val="31"/>
        </w:numPr>
        <w:tabs>
          <w:tab w:val="left" w:pos="1738"/>
        </w:tabs>
        <w:snapToGrid w:val="0"/>
        <w:spacing w:line="460" w:lineRule="exact"/>
        <w:textAlignment w:val="auto"/>
        <w:rPr>
          <w:rFonts w:ascii="標楷體" w:eastAsia="標楷體" w:hAnsi="標楷體"/>
          <w:sz w:val="28"/>
          <w:szCs w:val="20"/>
        </w:rPr>
      </w:pPr>
      <w:r w:rsidRPr="00774798">
        <w:rPr>
          <w:rFonts w:ascii="標楷體" w:eastAsia="標楷體" w:hAnsi="標楷體"/>
          <w:sz w:val="28"/>
          <w:szCs w:val="20"/>
        </w:rPr>
        <w:t>分母：當年度該院所收案之個案數。</w:t>
      </w:r>
    </w:p>
    <w:p w14:paraId="45BB1C84" w14:textId="6EF2AFCA" w:rsidR="00FB4ED1" w:rsidRPr="00774798" w:rsidRDefault="00000000" w:rsidP="00D468B6">
      <w:pPr>
        <w:pStyle w:val="a4"/>
        <w:numPr>
          <w:ilvl w:val="0"/>
          <w:numId w:val="31"/>
        </w:numPr>
        <w:adjustRightInd w:val="0"/>
        <w:snapToGrid w:val="0"/>
        <w:spacing w:line="460" w:lineRule="exact"/>
        <w:ind w:left="2381" w:hanging="1247"/>
        <w:rPr>
          <w:rFonts w:ascii="標楷體" w:eastAsia="標楷體" w:hAnsi="標楷體"/>
          <w:sz w:val="28"/>
          <w:szCs w:val="20"/>
        </w:rPr>
      </w:pPr>
      <w:r w:rsidRPr="00774798">
        <w:rPr>
          <w:rFonts w:ascii="標楷體" w:eastAsia="標楷體" w:hAnsi="標楷體"/>
          <w:sz w:val="28"/>
          <w:szCs w:val="20"/>
        </w:rPr>
        <w:t>分子：當年度該院所之個案，依本方案建議執行腹部超音波檢查個案數。</w:t>
      </w:r>
    </w:p>
    <w:p w14:paraId="3641BB36" w14:textId="365BA9D4" w:rsidR="00FB4ED1" w:rsidRPr="00774798" w:rsidRDefault="00000000" w:rsidP="00D468B6">
      <w:pPr>
        <w:pStyle w:val="a4"/>
        <w:numPr>
          <w:ilvl w:val="0"/>
          <w:numId w:val="31"/>
        </w:numPr>
        <w:snapToGrid w:val="0"/>
        <w:spacing w:line="460" w:lineRule="exact"/>
        <w:ind w:left="2381" w:hanging="1247"/>
        <w:rPr>
          <w:rFonts w:ascii="標楷體" w:eastAsia="標楷體" w:hAnsi="標楷體"/>
          <w:sz w:val="28"/>
          <w:szCs w:val="20"/>
        </w:rPr>
      </w:pPr>
      <w:r w:rsidRPr="00774798">
        <w:rPr>
          <w:rFonts w:ascii="標楷體" w:eastAsia="標楷體" w:hAnsi="標楷體"/>
          <w:sz w:val="28"/>
          <w:szCs w:val="20"/>
        </w:rPr>
        <w:t>基準：當年度腹部超音波檢查執行率</w:t>
      </w:r>
      <w:r w:rsidR="007668B3">
        <w:rPr>
          <w:rFonts w:ascii="標楷體" w:eastAsia="標楷體" w:hAnsi="標楷體" w:hint="eastAsia"/>
          <w:sz w:val="28"/>
          <w:szCs w:val="20"/>
        </w:rPr>
        <w:t>＞</w:t>
      </w:r>
      <w:r w:rsidRPr="00774798">
        <w:rPr>
          <w:rFonts w:ascii="標楷體" w:eastAsia="標楷體" w:hAnsi="標楷體"/>
          <w:sz w:val="28"/>
          <w:szCs w:val="20"/>
        </w:rPr>
        <w:t>上年度該院所個案腹部超音波檢查執行率。</w:t>
      </w:r>
      <w:r w:rsidR="005327DD">
        <w:rPr>
          <w:rFonts w:ascii="標楷體" w:eastAsia="標楷體" w:hAnsi="標楷體"/>
          <w:sz w:val="28"/>
          <w:szCs w:val="20"/>
        </w:rPr>
        <w:t>（</w:t>
      </w:r>
      <w:r w:rsidRPr="00774798">
        <w:rPr>
          <w:rFonts w:ascii="標楷體" w:eastAsia="標楷體" w:hAnsi="標楷體"/>
          <w:sz w:val="28"/>
          <w:szCs w:val="20"/>
        </w:rPr>
        <w:t>當年度執行率90%亦屬達成</w:t>
      </w:r>
      <w:r w:rsidR="005327DD">
        <w:rPr>
          <w:rFonts w:ascii="標楷體" w:eastAsia="標楷體" w:hAnsi="標楷體"/>
          <w:sz w:val="28"/>
          <w:szCs w:val="20"/>
        </w:rPr>
        <w:t>）</w:t>
      </w:r>
      <w:r w:rsidRPr="00774798">
        <w:rPr>
          <w:rFonts w:ascii="標楷體" w:eastAsia="標楷體" w:hAnsi="標楷體"/>
          <w:sz w:val="28"/>
          <w:szCs w:val="20"/>
        </w:rPr>
        <w:t>。</w:t>
      </w:r>
    </w:p>
    <w:p w14:paraId="12B7D67E" w14:textId="724EEDFD" w:rsidR="00FB4ED1" w:rsidRPr="00774798" w:rsidRDefault="00000000" w:rsidP="00774798">
      <w:pPr>
        <w:pStyle w:val="a4"/>
        <w:numPr>
          <w:ilvl w:val="0"/>
          <w:numId w:val="28"/>
        </w:numPr>
        <w:snapToGrid w:val="0"/>
        <w:spacing w:line="460" w:lineRule="exact"/>
        <w:rPr>
          <w:rFonts w:ascii="標楷體" w:eastAsia="標楷體" w:hAnsi="標楷體"/>
          <w:sz w:val="28"/>
          <w:szCs w:val="20"/>
        </w:rPr>
      </w:pPr>
      <w:r w:rsidRPr="00774798">
        <w:rPr>
          <w:rFonts w:ascii="標楷體" w:eastAsia="標楷體" w:hAnsi="標楷體"/>
          <w:sz w:val="28"/>
          <w:szCs w:val="20"/>
        </w:rPr>
        <w:t>年度完整追蹤率≧50%</w:t>
      </w:r>
    </w:p>
    <w:p w14:paraId="31AC6B61" w14:textId="77777777" w:rsidR="00FB4ED1" w:rsidRPr="00774798" w:rsidRDefault="00000000" w:rsidP="00774798">
      <w:pPr>
        <w:pStyle w:val="a4"/>
        <w:numPr>
          <w:ilvl w:val="0"/>
          <w:numId w:val="29"/>
        </w:numPr>
        <w:tabs>
          <w:tab w:val="left" w:pos="1738"/>
        </w:tabs>
        <w:snapToGrid w:val="0"/>
        <w:spacing w:line="460" w:lineRule="exact"/>
        <w:textAlignment w:val="auto"/>
        <w:rPr>
          <w:rFonts w:ascii="標楷體" w:eastAsia="標楷體" w:hAnsi="標楷體"/>
          <w:sz w:val="28"/>
          <w:szCs w:val="20"/>
        </w:rPr>
      </w:pPr>
      <w:r w:rsidRPr="00774798">
        <w:rPr>
          <w:rFonts w:ascii="標楷體" w:eastAsia="標楷體" w:hAnsi="標楷體"/>
          <w:sz w:val="28"/>
          <w:szCs w:val="20"/>
        </w:rPr>
        <w:t>定義：</w:t>
      </w:r>
    </w:p>
    <w:p w14:paraId="3EA02648" w14:textId="38C89FCC" w:rsidR="00FB4ED1" w:rsidRPr="00D468B6" w:rsidRDefault="00000000" w:rsidP="00D468B6">
      <w:pPr>
        <w:pStyle w:val="a4"/>
        <w:numPr>
          <w:ilvl w:val="0"/>
          <w:numId w:val="32"/>
        </w:numPr>
        <w:snapToGrid w:val="0"/>
        <w:spacing w:line="460" w:lineRule="exact"/>
        <w:rPr>
          <w:rFonts w:ascii="標楷體" w:eastAsia="標楷體" w:hAnsi="標楷體"/>
          <w:sz w:val="28"/>
          <w:szCs w:val="20"/>
        </w:rPr>
      </w:pPr>
      <w:r w:rsidRPr="00D468B6">
        <w:rPr>
          <w:rFonts w:ascii="標楷體" w:eastAsia="標楷體" w:hAnsi="標楷體"/>
          <w:sz w:val="28"/>
          <w:szCs w:val="20"/>
        </w:rPr>
        <w:t>分母：當年度該院所收案個案數，排除最後1季新收個案。</w:t>
      </w:r>
    </w:p>
    <w:p w14:paraId="20E95AEB" w14:textId="625A2479" w:rsidR="00FB4ED1" w:rsidRPr="00D468B6" w:rsidRDefault="00000000" w:rsidP="00D468B6">
      <w:pPr>
        <w:pStyle w:val="a4"/>
        <w:numPr>
          <w:ilvl w:val="0"/>
          <w:numId w:val="32"/>
        </w:numPr>
        <w:snapToGrid w:val="0"/>
        <w:spacing w:line="460" w:lineRule="exact"/>
        <w:rPr>
          <w:rFonts w:ascii="標楷體" w:eastAsia="標楷體" w:hAnsi="標楷體"/>
          <w:sz w:val="28"/>
          <w:szCs w:val="20"/>
        </w:rPr>
      </w:pPr>
      <w:r w:rsidRPr="00D468B6">
        <w:rPr>
          <w:rFonts w:ascii="標楷體" w:eastAsia="標楷體" w:hAnsi="標楷體"/>
          <w:sz w:val="28"/>
          <w:szCs w:val="20"/>
        </w:rPr>
        <w:t>分子</w:t>
      </w:r>
      <w:bookmarkStart w:id="1" w:name="_Hlk215679201"/>
      <w:r w:rsidRPr="00D468B6">
        <w:rPr>
          <w:rFonts w:ascii="標楷體" w:eastAsia="標楷體" w:hAnsi="標楷體"/>
          <w:sz w:val="28"/>
          <w:szCs w:val="20"/>
        </w:rPr>
        <w:t>：</w:t>
      </w:r>
      <w:bookmarkEnd w:id="1"/>
      <w:r w:rsidRPr="00D468B6">
        <w:rPr>
          <w:rFonts w:ascii="標楷體" w:eastAsia="標楷體" w:hAnsi="標楷體"/>
          <w:sz w:val="28"/>
          <w:szCs w:val="20"/>
        </w:rPr>
        <w:t>當年度該院所之個案，申報追蹤管理照護個案數。</w:t>
      </w:r>
    </w:p>
    <w:p w14:paraId="2914CA4B" w14:textId="77777777" w:rsidR="00D468B6" w:rsidRDefault="00000000" w:rsidP="00D468B6">
      <w:pPr>
        <w:pStyle w:val="a4"/>
        <w:numPr>
          <w:ilvl w:val="0"/>
          <w:numId w:val="33"/>
        </w:numPr>
        <w:snapToGrid w:val="0"/>
        <w:spacing w:line="460" w:lineRule="exact"/>
        <w:rPr>
          <w:rFonts w:ascii="標楷體" w:eastAsia="標楷體" w:hAnsi="標楷體"/>
          <w:sz w:val="28"/>
          <w:szCs w:val="20"/>
        </w:rPr>
      </w:pPr>
      <w:r w:rsidRPr="00D468B6">
        <w:rPr>
          <w:rFonts w:ascii="標楷體" w:eastAsia="標楷體" w:hAnsi="標楷體"/>
          <w:sz w:val="28"/>
          <w:szCs w:val="20"/>
        </w:rPr>
        <w:t>觀察指標：失聯率</w:t>
      </w:r>
    </w:p>
    <w:p w14:paraId="61D1EAC3" w14:textId="646F9E32" w:rsidR="00FB4ED1" w:rsidRPr="0051041C" w:rsidRDefault="00000000" w:rsidP="0051041C">
      <w:pPr>
        <w:pStyle w:val="a4"/>
        <w:numPr>
          <w:ilvl w:val="0"/>
          <w:numId w:val="34"/>
        </w:numPr>
        <w:snapToGrid w:val="0"/>
        <w:spacing w:line="460" w:lineRule="exact"/>
        <w:rPr>
          <w:rFonts w:ascii="標楷體" w:eastAsia="標楷體" w:hAnsi="標楷體"/>
          <w:sz w:val="28"/>
          <w:szCs w:val="20"/>
        </w:rPr>
      </w:pPr>
      <w:r w:rsidRPr="0051041C">
        <w:rPr>
          <w:rFonts w:ascii="標楷體" w:eastAsia="標楷體" w:hAnsi="標楷體"/>
          <w:sz w:val="28"/>
          <w:szCs w:val="20"/>
        </w:rPr>
        <w:t>分子</w:t>
      </w:r>
      <w:r w:rsidR="00954578" w:rsidRPr="0051041C">
        <w:rPr>
          <w:rFonts w:ascii="標楷體" w:eastAsia="標楷體" w:hAnsi="標楷體" w:hint="eastAsia"/>
          <w:sz w:val="28"/>
          <w:szCs w:val="20"/>
        </w:rPr>
        <w:t>：</w:t>
      </w:r>
      <w:r w:rsidRPr="0051041C">
        <w:rPr>
          <w:rFonts w:ascii="標楷體" w:eastAsia="標楷體" w:hAnsi="標楷體"/>
          <w:sz w:val="28"/>
          <w:szCs w:val="20"/>
        </w:rPr>
        <w:t xml:space="preserve">分母個案於今年度未追蹤管理照護之個案數。 </w:t>
      </w:r>
    </w:p>
    <w:p w14:paraId="4D282F21" w14:textId="0B824F80" w:rsidR="00FB4ED1" w:rsidRPr="0051041C" w:rsidRDefault="00000000" w:rsidP="0051041C">
      <w:pPr>
        <w:pStyle w:val="a4"/>
        <w:numPr>
          <w:ilvl w:val="0"/>
          <w:numId w:val="34"/>
        </w:numPr>
        <w:snapToGrid w:val="0"/>
        <w:spacing w:line="460" w:lineRule="exact"/>
        <w:rPr>
          <w:rFonts w:ascii="標楷體" w:eastAsia="標楷體" w:hAnsi="標楷體"/>
          <w:sz w:val="28"/>
          <w:szCs w:val="20"/>
        </w:rPr>
      </w:pPr>
      <w:r w:rsidRPr="0051041C">
        <w:rPr>
          <w:rFonts w:ascii="標楷體" w:eastAsia="標楷體" w:hAnsi="標楷體"/>
          <w:sz w:val="28"/>
          <w:szCs w:val="20"/>
        </w:rPr>
        <w:t>分母：去年度該院所照護個案數</w:t>
      </w:r>
      <w:r w:rsidR="005327DD">
        <w:rPr>
          <w:rFonts w:ascii="標楷體" w:eastAsia="標楷體" w:hAnsi="標楷體"/>
          <w:sz w:val="28"/>
          <w:szCs w:val="20"/>
        </w:rPr>
        <w:t>（</w:t>
      </w:r>
      <w:r w:rsidRPr="0051041C">
        <w:rPr>
          <w:rFonts w:ascii="標楷體" w:eastAsia="標楷體" w:hAnsi="標楷體"/>
          <w:sz w:val="28"/>
          <w:szCs w:val="20"/>
        </w:rPr>
        <w:t>申報P4201C、P4202C者</w:t>
      </w:r>
      <w:r w:rsidR="005327DD">
        <w:rPr>
          <w:rFonts w:ascii="標楷體" w:eastAsia="標楷體" w:hAnsi="標楷體"/>
          <w:sz w:val="28"/>
          <w:szCs w:val="20"/>
        </w:rPr>
        <w:t>）</w:t>
      </w:r>
      <w:r w:rsidRPr="0051041C">
        <w:rPr>
          <w:rFonts w:ascii="標楷體" w:eastAsia="標楷體" w:hAnsi="標楷體"/>
          <w:sz w:val="28"/>
          <w:szCs w:val="20"/>
        </w:rPr>
        <w:t>。</w:t>
      </w:r>
    </w:p>
    <w:p w14:paraId="19A4DB3C" w14:textId="14B8F288" w:rsidR="00FB4ED1" w:rsidRPr="008C08FA" w:rsidRDefault="00000000" w:rsidP="00050397">
      <w:pPr>
        <w:pStyle w:val="a4"/>
        <w:numPr>
          <w:ilvl w:val="0"/>
          <w:numId w:val="25"/>
        </w:numPr>
        <w:autoSpaceDE w:val="0"/>
        <w:snapToGrid w:val="0"/>
        <w:spacing w:beforeLines="50" w:before="120" w:line="500" w:lineRule="exact"/>
        <w:ind w:left="851"/>
        <w:jc w:val="both"/>
        <w:rPr>
          <w:rFonts w:ascii="標楷體" w:eastAsia="標楷體" w:hAnsi="標楷體"/>
          <w:sz w:val="28"/>
          <w:szCs w:val="20"/>
        </w:rPr>
      </w:pPr>
      <w:r w:rsidRPr="008C08FA">
        <w:rPr>
          <w:rFonts w:ascii="標楷體" w:eastAsia="標楷體" w:hAnsi="標楷體"/>
          <w:sz w:val="28"/>
          <w:szCs w:val="20"/>
        </w:rPr>
        <w:t>資訊公開：保險人得公開參與本方案之醫療院所名單及相關品質資訊供民眾參考。</w:t>
      </w:r>
    </w:p>
    <w:p w14:paraId="647B42E5" w14:textId="022E1E67" w:rsidR="00FB4ED1" w:rsidRDefault="00000000" w:rsidP="0005699B">
      <w:pPr>
        <w:pStyle w:val="a4"/>
        <w:numPr>
          <w:ilvl w:val="0"/>
          <w:numId w:val="18"/>
        </w:numPr>
        <w:autoSpaceDE w:val="0"/>
        <w:snapToGrid w:val="0"/>
        <w:spacing w:before="100" w:line="500" w:lineRule="exact"/>
      </w:pPr>
      <w:r w:rsidRPr="00AB3961">
        <w:rPr>
          <w:rFonts w:ascii="標楷體" w:eastAsia="標楷體" w:hAnsi="標楷體"/>
          <w:sz w:val="28"/>
          <w:szCs w:val="20"/>
        </w:rPr>
        <w:t>方案修正程序：本方案之修訂，屬給付項目及支付標準者，依全民健康保險法第四十一條第一項程序辦理，餘屬執行面之規定，由保險人逕行修正公告。</w:t>
      </w:r>
    </w:p>
    <w:p w14:paraId="67C22A93" w14:textId="77777777" w:rsidR="00FB4ED1" w:rsidRDefault="00FB4ED1">
      <w:pPr>
        <w:spacing w:before="120" w:after="120" w:line="360" w:lineRule="exact"/>
        <w:rPr>
          <w:rFonts w:ascii="標楷體" w:eastAsia="標楷體" w:hAnsi="標楷體"/>
          <w:sz w:val="28"/>
          <w:szCs w:val="20"/>
        </w:rPr>
      </w:pPr>
    </w:p>
    <w:p w14:paraId="61053B7E" w14:textId="3FCC97B6" w:rsidR="00440476" w:rsidRDefault="00440476">
      <w:pPr>
        <w:widowControl/>
        <w:suppressAutoHyphens w:val="0"/>
        <w:rPr>
          <w:rFonts w:ascii="標楷體" w:eastAsia="標楷體" w:hAnsi="標楷體"/>
          <w:sz w:val="28"/>
          <w:szCs w:val="20"/>
        </w:rPr>
      </w:pPr>
      <w:r>
        <w:rPr>
          <w:rFonts w:ascii="標楷體" w:eastAsia="標楷體" w:hAnsi="標楷體"/>
          <w:sz w:val="28"/>
          <w:szCs w:val="20"/>
        </w:rPr>
        <w:br w:type="page"/>
      </w:r>
    </w:p>
    <w:p w14:paraId="0C9546FD" w14:textId="48759302" w:rsidR="00FB4ED1" w:rsidRDefault="00000000">
      <w:pPr>
        <w:spacing w:before="120" w:after="120" w:line="360" w:lineRule="exact"/>
        <w:rPr>
          <w:rFonts w:eastAsia="標楷體"/>
          <w:b/>
          <w:sz w:val="36"/>
          <w:szCs w:val="32"/>
        </w:rPr>
      </w:pPr>
      <w:bookmarkStart w:id="2" w:name="_Hlk224062110"/>
      <w:r>
        <w:rPr>
          <w:rFonts w:eastAsia="標楷體"/>
          <w:b/>
          <w:sz w:val="36"/>
          <w:szCs w:val="32"/>
        </w:rPr>
        <w:lastRenderedPageBreak/>
        <w:t>附件一</w:t>
      </w:r>
    </w:p>
    <w:bookmarkEnd w:id="2"/>
    <w:p w14:paraId="55D10F6E" w14:textId="77777777" w:rsidR="00FB4ED1" w:rsidRDefault="00000000">
      <w:pPr>
        <w:spacing w:before="120" w:after="120" w:line="340" w:lineRule="exact"/>
        <w:jc w:val="center"/>
        <w:rPr>
          <w:rFonts w:eastAsia="標楷體"/>
          <w:b/>
          <w:sz w:val="32"/>
          <w:szCs w:val="32"/>
        </w:rPr>
      </w:pPr>
      <w:r>
        <w:rPr>
          <w:rFonts w:eastAsia="標楷體"/>
          <w:b/>
          <w:sz w:val="32"/>
          <w:szCs w:val="32"/>
        </w:rPr>
        <w:t>全民健康保險肝炎醫療給付改善方案</w:t>
      </w:r>
    </w:p>
    <w:p w14:paraId="5049DFA7" w14:textId="77777777" w:rsidR="00FB4ED1" w:rsidRDefault="00000000">
      <w:pPr>
        <w:spacing w:before="120" w:after="120" w:line="340" w:lineRule="exact"/>
        <w:jc w:val="center"/>
        <w:rPr>
          <w:rFonts w:eastAsia="標楷體"/>
          <w:b/>
          <w:sz w:val="32"/>
          <w:szCs w:val="32"/>
        </w:rPr>
      </w:pPr>
      <w:r>
        <w:rPr>
          <w:rFonts w:eastAsia="標楷體"/>
          <w:b/>
          <w:sz w:val="32"/>
          <w:szCs w:val="32"/>
        </w:rPr>
        <w:t>給付項目及支付標準</w:t>
      </w:r>
    </w:p>
    <w:p w14:paraId="3D15EAB3" w14:textId="77777777" w:rsidR="00FB4ED1" w:rsidRDefault="00000000">
      <w:pPr>
        <w:spacing w:before="120" w:after="120" w:line="360" w:lineRule="exact"/>
        <w:rPr>
          <w:rFonts w:eastAsia="標楷體"/>
          <w:sz w:val="28"/>
        </w:rPr>
      </w:pPr>
      <w:r>
        <w:rPr>
          <w:rFonts w:eastAsia="標楷體"/>
          <w:sz w:val="28"/>
        </w:rPr>
        <w:t>通則：</w:t>
      </w:r>
    </w:p>
    <w:p w14:paraId="0CD9B77D" w14:textId="77777777" w:rsidR="00FB4ED1" w:rsidRDefault="00000000">
      <w:pPr>
        <w:numPr>
          <w:ilvl w:val="0"/>
          <w:numId w:val="13"/>
        </w:numPr>
        <w:tabs>
          <w:tab w:val="left" w:pos="570"/>
        </w:tabs>
        <w:spacing w:before="120" w:after="120" w:line="360" w:lineRule="exact"/>
        <w:ind w:left="573" w:hanging="573"/>
        <w:jc w:val="both"/>
        <w:textAlignment w:val="auto"/>
      </w:pPr>
      <w:r>
        <w:rPr>
          <w:rFonts w:eastAsia="標楷體"/>
          <w:bCs/>
          <w:iCs/>
          <w:sz w:val="28"/>
        </w:rPr>
        <w:t>本方案給付項目及支付標準按表訂項目及點數辦理，相關檢驗檢查及未訂項目按現行全民健康保險醫療服務</w:t>
      </w:r>
      <w:r>
        <w:rPr>
          <w:rFonts w:ascii="標楷體" w:eastAsia="標楷體" w:hAnsi="標楷體"/>
          <w:sz w:val="28"/>
          <w:szCs w:val="28"/>
        </w:rPr>
        <w:t>給付項目及</w:t>
      </w:r>
      <w:r>
        <w:rPr>
          <w:rFonts w:eastAsia="標楷體"/>
          <w:bCs/>
          <w:iCs/>
          <w:sz w:val="28"/>
        </w:rPr>
        <w:t>支付標準辦理。</w:t>
      </w:r>
    </w:p>
    <w:p w14:paraId="1760DD73" w14:textId="6FE55C2F" w:rsidR="00FB4ED1" w:rsidRDefault="00000000">
      <w:pPr>
        <w:numPr>
          <w:ilvl w:val="0"/>
          <w:numId w:val="13"/>
        </w:numPr>
        <w:tabs>
          <w:tab w:val="left" w:pos="570"/>
        </w:tabs>
        <w:spacing w:before="120" w:after="120" w:line="360" w:lineRule="exact"/>
        <w:ind w:left="573" w:hanging="573"/>
        <w:jc w:val="both"/>
        <w:textAlignment w:val="auto"/>
      </w:pPr>
      <w:r>
        <w:rPr>
          <w:rFonts w:eastAsia="標楷體"/>
          <w:bCs/>
          <w:iCs/>
          <w:sz w:val="28"/>
        </w:rPr>
        <w:t>符合本方案之</w:t>
      </w:r>
      <w:r>
        <w:rPr>
          <w:rFonts w:eastAsia="標楷體"/>
          <w:bCs/>
          <w:iCs/>
          <w:sz w:val="28"/>
        </w:rPr>
        <w:t>B</w:t>
      </w:r>
      <w:r>
        <w:rPr>
          <w:rFonts w:eastAsia="標楷體"/>
          <w:bCs/>
          <w:iCs/>
          <w:sz w:val="28"/>
        </w:rPr>
        <w:t>型肝炎帶原者及</w:t>
      </w:r>
      <w:r>
        <w:rPr>
          <w:rFonts w:eastAsia="標楷體"/>
          <w:bCs/>
          <w:iCs/>
          <w:sz w:val="28"/>
        </w:rPr>
        <w:t>C</w:t>
      </w:r>
      <w:r>
        <w:rPr>
          <w:rFonts w:eastAsia="標楷體"/>
          <w:bCs/>
          <w:iCs/>
          <w:sz w:val="28"/>
        </w:rPr>
        <w:t>型肝炎感染者或肝纖維化</w:t>
      </w:r>
      <w:r>
        <w:rPr>
          <w:rFonts w:eastAsia="標楷體"/>
          <w:bCs/>
          <w:iCs/>
          <w:sz w:val="28"/>
        </w:rPr>
        <w:t>F3</w:t>
      </w:r>
      <w:r w:rsidR="005327DD">
        <w:rPr>
          <w:rFonts w:eastAsia="標楷體"/>
          <w:bCs/>
          <w:iCs/>
          <w:sz w:val="28"/>
        </w:rPr>
        <w:t>（</w:t>
      </w:r>
      <w:r>
        <w:rPr>
          <w:rFonts w:eastAsia="標楷體"/>
          <w:bCs/>
          <w:iCs/>
          <w:sz w:val="28"/>
        </w:rPr>
        <w:t>含</w:t>
      </w:r>
      <w:r w:rsidR="005327DD">
        <w:rPr>
          <w:rFonts w:eastAsia="標楷體"/>
          <w:bCs/>
          <w:iCs/>
          <w:sz w:val="28"/>
        </w:rPr>
        <w:t>）</w:t>
      </w:r>
      <w:r>
        <w:rPr>
          <w:rFonts w:eastAsia="標楷體"/>
          <w:bCs/>
          <w:iCs/>
          <w:sz w:val="28"/>
        </w:rPr>
        <w:t>以上之代謝性、酒精性肝炎個案，若合併其它疾病且分屬保險人辦理之不同方案收案對象時</w:t>
      </w:r>
      <w:r w:rsidR="005327DD">
        <w:rPr>
          <w:rFonts w:eastAsia="標楷體"/>
          <w:bCs/>
          <w:iCs/>
          <w:sz w:val="28"/>
        </w:rPr>
        <w:t>（</w:t>
      </w:r>
      <w:r>
        <w:rPr>
          <w:rFonts w:eastAsia="標楷體"/>
          <w:bCs/>
          <w:iCs/>
          <w:sz w:val="28"/>
        </w:rPr>
        <w:t>例如：氣喘</w:t>
      </w:r>
      <w:r>
        <w:rPr>
          <w:rFonts w:eastAsia="標楷體"/>
          <w:bCs/>
          <w:iCs/>
          <w:sz w:val="28"/>
        </w:rPr>
        <w:t>….</w:t>
      </w:r>
      <w:r>
        <w:rPr>
          <w:rFonts w:eastAsia="標楷體"/>
          <w:bCs/>
          <w:iCs/>
          <w:sz w:val="28"/>
        </w:rPr>
        <w:t>等</w:t>
      </w:r>
      <w:r w:rsidR="005327DD">
        <w:rPr>
          <w:rFonts w:eastAsia="標楷體"/>
          <w:bCs/>
          <w:iCs/>
          <w:sz w:val="28"/>
        </w:rPr>
        <w:t>）</w:t>
      </w:r>
      <w:r>
        <w:rPr>
          <w:rFonts w:eastAsia="標楷體"/>
          <w:bCs/>
          <w:iCs/>
          <w:sz w:val="28"/>
        </w:rPr>
        <w:t>，除依本方案支付標準申報外，得再依相關方案或計畫申報費用，肝癌、肝昏迷個案不得加入本方案。</w:t>
      </w:r>
    </w:p>
    <w:p w14:paraId="7A1C509A" w14:textId="3FD766F8" w:rsidR="00FB4ED1" w:rsidRDefault="00000000">
      <w:pPr>
        <w:numPr>
          <w:ilvl w:val="0"/>
          <w:numId w:val="13"/>
        </w:numPr>
        <w:tabs>
          <w:tab w:val="left" w:pos="570"/>
        </w:tabs>
        <w:spacing w:before="120" w:after="120" w:line="360" w:lineRule="exact"/>
        <w:ind w:left="573" w:hanging="573"/>
        <w:jc w:val="both"/>
        <w:textAlignment w:val="auto"/>
      </w:pPr>
      <w:r>
        <w:rPr>
          <w:rFonts w:eastAsia="標楷體"/>
          <w:bCs/>
          <w:iCs/>
          <w:sz w:val="28"/>
        </w:rPr>
        <w:t>本方案之管理照護費</w:t>
      </w:r>
      <w:r w:rsidR="005327DD">
        <w:rPr>
          <w:rFonts w:eastAsia="標楷體"/>
          <w:bCs/>
          <w:iCs/>
          <w:sz w:val="28"/>
        </w:rPr>
        <w:t>（</w:t>
      </w:r>
      <w:r>
        <w:rPr>
          <w:rFonts w:eastAsia="標楷體"/>
          <w:bCs/>
          <w:iCs/>
          <w:sz w:val="28"/>
        </w:rPr>
        <w:t>P4201C</w:t>
      </w:r>
      <w:r>
        <w:rPr>
          <w:rFonts w:eastAsia="標楷體"/>
          <w:bCs/>
          <w:iCs/>
          <w:sz w:val="28"/>
        </w:rPr>
        <w:t>、</w:t>
      </w:r>
      <w:r>
        <w:rPr>
          <w:rFonts w:eastAsia="標楷體"/>
          <w:bCs/>
          <w:iCs/>
          <w:sz w:val="28"/>
        </w:rPr>
        <w:t>P4202C</w:t>
      </w:r>
      <w:r w:rsidR="005327DD">
        <w:rPr>
          <w:rFonts w:eastAsia="標楷體"/>
          <w:bCs/>
          <w:iCs/>
          <w:sz w:val="28"/>
        </w:rPr>
        <w:t>）</w:t>
      </w:r>
      <w:r>
        <w:rPr>
          <w:rFonts w:eastAsia="標楷體"/>
          <w:bCs/>
          <w:iCs/>
          <w:sz w:val="28"/>
        </w:rPr>
        <w:t>每一病患全年合計申報上限為</w:t>
      </w:r>
      <w:r>
        <w:rPr>
          <w:rFonts w:eastAsia="標楷體"/>
          <w:bCs/>
          <w:iCs/>
          <w:sz w:val="28"/>
        </w:rPr>
        <w:t>3</w:t>
      </w:r>
      <w:r>
        <w:rPr>
          <w:rFonts w:eastAsia="標楷體"/>
          <w:bCs/>
          <w:iCs/>
          <w:sz w:val="28"/>
        </w:rPr>
        <w:t>次。</w:t>
      </w:r>
    </w:p>
    <w:tbl>
      <w:tblPr>
        <w:tblW w:w="5000" w:type="pct"/>
        <w:tblBorders>
          <w:top w:val="single" w:sz="4" w:space="0" w:color="auto"/>
          <w:left w:val="single" w:sz="4" w:space="0" w:color="auto"/>
          <w:bottom w:val="single" w:sz="4" w:space="0" w:color="auto"/>
          <w:right w:val="single" w:sz="4" w:space="0" w:color="auto"/>
        </w:tblBorders>
        <w:tblCellMar>
          <w:left w:w="10" w:type="dxa"/>
          <w:right w:w="10" w:type="dxa"/>
        </w:tblCellMar>
        <w:tblLook w:val="0000" w:firstRow="0" w:lastRow="0" w:firstColumn="0" w:lastColumn="0" w:noHBand="0" w:noVBand="0"/>
      </w:tblPr>
      <w:tblGrid>
        <w:gridCol w:w="1182"/>
        <w:gridCol w:w="6606"/>
        <w:gridCol w:w="1700"/>
      </w:tblGrid>
      <w:tr w:rsidR="00FB4ED1" w14:paraId="45183794" w14:textId="77777777" w:rsidTr="00646C9E">
        <w:trPr>
          <w:cantSplit/>
          <w:trHeight w:val="271"/>
          <w:tblHeader/>
        </w:trPr>
        <w:tc>
          <w:tcPr>
            <w:tcW w:w="623" w:type="pct"/>
            <w:tcBorders>
              <w:top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B4D1D41" w14:textId="77777777" w:rsidR="00FB4ED1" w:rsidRDefault="00000000">
            <w:pPr>
              <w:autoSpaceDE w:val="0"/>
              <w:jc w:val="center"/>
              <w:rPr>
                <w:rFonts w:ascii="Arial" w:eastAsia="標楷體" w:hAnsi="Arial"/>
              </w:rPr>
            </w:pPr>
            <w:r>
              <w:rPr>
                <w:rFonts w:ascii="Arial" w:eastAsia="標楷體" w:hAnsi="Arial"/>
              </w:rPr>
              <w:t>編號</w:t>
            </w:r>
          </w:p>
        </w:tc>
        <w:tc>
          <w:tcPr>
            <w:tcW w:w="3481"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8682373" w14:textId="77777777" w:rsidR="00FB4ED1" w:rsidRDefault="00000000">
            <w:pPr>
              <w:autoSpaceDE w:val="0"/>
              <w:jc w:val="center"/>
              <w:rPr>
                <w:rFonts w:ascii="Arial" w:eastAsia="標楷體" w:hAnsi="Arial"/>
              </w:rPr>
            </w:pPr>
            <w:r>
              <w:rPr>
                <w:rFonts w:ascii="Arial" w:eastAsia="標楷體" w:hAnsi="Arial"/>
              </w:rPr>
              <w:t>診療項目</w:t>
            </w:r>
          </w:p>
        </w:tc>
        <w:tc>
          <w:tcPr>
            <w:tcW w:w="896" w:type="pct"/>
            <w:tcBorders>
              <w:top w:val="single" w:sz="4" w:space="0" w:color="auto"/>
              <w:left w:val="single" w:sz="4" w:space="0" w:color="auto"/>
              <w:bottom w:val="single" w:sz="4" w:space="0" w:color="auto"/>
            </w:tcBorders>
            <w:shd w:val="clear" w:color="auto" w:fill="auto"/>
            <w:tcMar>
              <w:top w:w="0" w:type="dxa"/>
              <w:left w:w="28" w:type="dxa"/>
              <w:bottom w:w="0" w:type="dxa"/>
              <w:right w:w="28" w:type="dxa"/>
            </w:tcMar>
            <w:vAlign w:val="center"/>
          </w:tcPr>
          <w:p w14:paraId="5E24CEA3" w14:textId="77777777" w:rsidR="00FB4ED1" w:rsidRDefault="00000000">
            <w:pPr>
              <w:autoSpaceDE w:val="0"/>
              <w:jc w:val="center"/>
              <w:rPr>
                <w:rFonts w:ascii="Arial" w:eastAsia="標楷體" w:hAnsi="Arial"/>
              </w:rPr>
            </w:pPr>
            <w:r>
              <w:rPr>
                <w:rFonts w:ascii="Arial" w:eastAsia="標楷體" w:hAnsi="Arial"/>
              </w:rPr>
              <w:t>支付點數</w:t>
            </w:r>
          </w:p>
        </w:tc>
      </w:tr>
      <w:tr w:rsidR="00FB4ED1" w14:paraId="12F77170" w14:textId="77777777" w:rsidTr="00A73970">
        <w:trPr>
          <w:trHeight w:val="1361"/>
        </w:trPr>
        <w:tc>
          <w:tcPr>
            <w:tcW w:w="623" w:type="pct"/>
            <w:tcBorders>
              <w:top w:val="single" w:sz="4" w:space="0" w:color="auto"/>
              <w:bottom w:val="nil"/>
              <w:right w:val="single" w:sz="4" w:space="0" w:color="auto"/>
            </w:tcBorders>
            <w:shd w:val="clear" w:color="auto" w:fill="auto"/>
            <w:tcMar>
              <w:top w:w="0" w:type="dxa"/>
              <w:left w:w="28" w:type="dxa"/>
              <w:bottom w:w="0" w:type="dxa"/>
              <w:right w:w="28" w:type="dxa"/>
            </w:tcMar>
          </w:tcPr>
          <w:p w14:paraId="215722BB" w14:textId="55CA6B32" w:rsidR="00FB4ED1" w:rsidRDefault="00000000" w:rsidP="00BF1BAF">
            <w:pPr>
              <w:autoSpaceDE w:val="0"/>
              <w:spacing w:line="280" w:lineRule="exact"/>
              <w:jc w:val="center"/>
              <w:rPr>
                <w:rFonts w:ascii="Arial" w:eastAsia="標楷體" w:hAnsi="Arial"/>
                <w:sz w:val="22"/>
              </w:rPr>
            </w:pPr>
            <w:r>
              <w:rPr>
                <w:rFonts w:ascii="Arial" w:eastAsia="標楷體" w:hAnsi="Arial"/>
                <w:sz w:val="22"/>
              </w:rPr>
              <w:t>P4201C</w:t>
            </w:r>
          </w:p>
        </w:tc>
        <w:tc>
          <w:tcPr>
            <w:tcW w:w="3481" w:type="pct"/>
            <w:tcBorders>
              <w:top w:val="single" w:sz="4" w:space="0" w:color="auto"/>
              <w:left w:val="single" w:sz="4" w:space="0" w:color="auto"/>
              <w:bottom w:val="nil"/>
              <w:right w:val="single" w:sz="4" w:space="0" w:color="auto"/>
            </w:tcBorders>
            <w:shd w:val="clear" w:color="auto" w:fill="auto"/>
            <w:tcMar>
              <w:top w:w="0" w:type="dxa"/>
              <w:left w:w="28" w:type="dxa"/>
              <w:bottom w:w="0" w:type="dxa"/>
              <w:right w:w="28" w:type="dxa"/>
            </w:tcMar>
          </w:tcPr>
          <w:p w14:paraId="26DC1390" w14:textId="77777777" w:rsidR="00FB4ED1" w:rsidRDefault="00000000">
            <w:pPr>
              <w:autoSpaceDE w:val="0"/>
              <w:spacing w:line="280" w:lineRule="exact"/>
              <w:rPr>
                <w:rFonts w:ascii="Arial" w:eastAsia="標楷體" w:hAnsi="Arial"/>
              </w:rPr>
            </w:pPr>
            <w:r>
              <w:rPr>
                <w:rFonts w:ascii="Arial" w:eastAsia="標楷體" w:hAnsi="Arial"/>
              </w:rPr>
              <w:t>新收案管理照護費</w:t>
            </w:r>
          </w:p>
          <w:p w14:paraId="63E7348E" w14:textId="2A7FA0E2" w:rsidR="00FB4ED1" w:rsidRDefault="00000000" w:rsidP="00A73970">
            <w:pPr>
              <w:tabs>
                <w:tab w:val="left" w:pos="489"/>
                <w:tab w:val="left" w:pos="1020"/>
              </w:tabs>
              <w:autoSpaceDE w:val="0"/>
              <w:spacing w:line="280" w:lineRule="exact"/>
              <w:ind w:left="680" w:hanging="680"/>
            </w:pPr>
            <w:r>
              <w:rPr>
                <w:rFonts w:ascii="Arial" w:eastAsia="標楷體" w:hAnsi="Arial"/>
              </w:rPr>
              <w:t>註：</w:t>
            </w:r>
            <w:r>
              <w:rPr>
                <w:rFonts w:ascii="Arial" w:eastAsia="標楷體" w:hAnsi="Arial"/>
              </w:rPr>
              <w:t>1.</w:t>
            </w:r>
            <w:r>
              <w:rPr>
                <w:rFonts w:ascii="標楷體" w:eastAsia="標楷體" w:hAnsi="標楷體"/>
              </w:rPr>
              <w:t>限新收案或結案再收案者申報，惟須符合本方案之收案對象</w:t>
            </w:r>
            <w:r w:rsidR="005327DD">
              <w:rPr>
                <w:rFonts w:ascii="標楷體" w:eastAsia="標楷體" w:hAnsi="標楷體"/>
              </w:rPr>
              <w:t>（</w:t>
            </w:r>
            <w:r>
              <w:rPr>
                <w:rFonts w:ascii="標楷體" w:eastAsia="標楷體" w:hAnsi="標楷體"/>
              </w:rPr>
              <w:t>二</w:t>
            </w:r>
            <w:r w:rsidR="005327DD">
              <w:rPr>
                <w:rFonts w:ascii="標楷體" w:eastAsia="標楷體" w:hAnsi="標楷體"/>
              </w:rPr>
              <w:t>）</w:t>
            </w:r>
            <w:r>
              <w:rPr>
                <w:rFonts w:ascii="標楷體" w:eastAsia="標楷體" w:hAnsi="標楷體"/>
              </w:rPr>
              <w:t>之規定。</w:t>
            </w:r>
          </w:p>
          <w:p w14:paraId="6405FFCA" w14:textId="15B05199" w:rsidR="00FB4ED1" w:rsidRPr="00646C9E" w:rsidRDefault="00000000" w:rsidP="00646C9E">
            <w:pPr>
              <w:autoSpaceDE w:val="0"/>
              <w:spacing w:line="280" w:lineRule="exact"/>
              <w:ind w:firstLine="480"/>
              <w:rPr>
                <w:rFonts w:ascii="Arial" w:eastAsia="標楷體" w:hAnsi="Arial"/>
              </w:rPr>
            </w:pPr>
            <w:r>
              <w:rPr>
                <w:rFonts w:ascii="Arial" w:eastAsia="標楷體" w:hAnsi="Arial"/>
              </w:rPr>
              <w:t>2.</w:t>
            </w:r>
            <w:r>
              <w:rPr>
                <w:rFonts w:ascii="Arial" w:eastAsia="標楷體" w:hAnsi="Arial"/>
              </w:rPr>
              <w:t>跨院所不得重複收案。</w:t>
            </w:r>
          </w:p>
        </w:tc>
        <w:tc>
          <w:tcPr>
            <w:tcW w:w="896" w:type="pct"/>
            <w:tcBorders>
              <w:top w:val="single" w:sz="4" w:space="0" w:color="auto"/>
              <w:left w:val="single" w:sz="4" w:space="0" w:color="auto"/>
            </w:tcBorders>
            <w:shd w:val="clear" w:color="auto" w:fill="auto"/>
            <w:tcMar>
              <w:top w:w="0" w:type="dxa"/>
              <w:left w:w="28" w:type="dxa"/>
              <w:bottom w:w="0" w:type="dxa"/>
              <w:right w:w="28" w:type="dxa"/>
            </w:tcMar>
          </w:tcPr>
          <w:p w14:paraId="3D0F6737" w14:textId="28F20FA5" w:rsidR="00FB4ED1" w:rsidRDefault="00000000" w:rsidP="00646C9E">
            <w:pPr>
              <w:autoSpaceDE w:val="0"/>
              <w:spacing w:line="280" w:lineRule="exact"/>
              <w:jc w:val="both"/>
              <w:rPr>
                <w:rFonts w:ascii="Arial" w:eastAsia="標楷體" w:hAnsi="Arial"/>
              </w:rPr>
            </w:pPr>
            <w:r>
              <w:rPr>
                <w:rFonts w:ascii="Arial" w:eastAsia="標楷體" w:hAnsi="Arial"/>
              </w:rPr>
              <w:t xml:space="preserve">150 </w:t>
            </w:r>
            <w:r>
              <w:rPr>
                <w:rFonts w:ascii="Arial" w:eastAsia="標楷體" w:hAnsi="Arial"/>
              </w:rPr>
              <w:t>點</w:t>
            </w:r>
            <w:r>
              <w:rPr>
                <w:rFonts w:ascii="Arial" w:eastAsia="標楷體" w:hAnsi="Arial"/>
              </w:rPr>
              <w:t>/</w:t>
            </w:r>
            <w:r>
              <w:rPr>
                <w:rFonts w:ascii="Arial" w:eastAsia="標楷體" w:hAnsi="Arial"/>
              </w:rPr>
              <w:t>次</w:t>
            </w:r>
          </w:p>
        </w:tc>
      </w:tr>
      <w:tr w:rsidR="00646C9E" w14:paraId="602FA770" w14:textId="77777777" w:rsidTr="00A73970">
        <w:trPr>
          <w:trHeight w:val="1361"/>
        </w:trPr>
        <w:tc>
          <w:tcPr>
            <w:tcW w:w="623" w:type="pct"/>
            <w:tcBorders>
              <w:top w:val="nil"/>
              <w:bottom w:val="nil"/>
              <w:right w:val="single" w:sz="4" w:space="0" w:color="auto"/>
            </w:tcBorders>
            <w:shd w:val="clear" w:color="auto" w:fill="auto"/>
            <w:tcMar>
              <w:top w:w="0" w:type="dxa"/>
              <w:left w:w="28" w:type="dxa"/>
              <w:bottom w:w="0" w:type="dxa"/>
              <w:right w:w="28" w:type="dxa"/>
            </w:tcMar>
          </w:tcPr>
          <w:p w14:paraId="644A29FD" w14:textId="517F4D98" w:rsidR="00646C9E" w:rsidRDefault="00646C9E" w:rsidP="00BF1BAF">
            <w:pPr>
              <w:autoSpaceDE w:val="0"/>
              <w:spacing w:line="280" w:lineRule="exact"/>
              <w:jc w:val="center"/>
              <w:rPr>
                <w:rFonts w:ascii="Arial" w:eastAsia="標楷體" w:hAnsi="Arial"/>
                <w:sz w:val="22"/>
              </w:rPr>
            </w:pPr>
            <w:r>
              <w:rPr>
                <w:rFonts w:ascii="Arial" w:eastAsia="標楷體" w:hAnsi="Arial"/>
                <w:sz w:val="22"/>
              </w:rPr>
              <w:t>P4202C</w:t>
            </w:r>
          </w:p>
        </w:tc>
        <w:tc>
          <w:tcPr>
            <w:tcW w:w="3481" w:type="pct"/>
            <w:tcBorders>
              <w:top w:val="nil"/>
              <w:left w:val="single" w:sz="4" w:space="0" w:color="auto"/>
              <w:bottom w:val="nil"/>
              <w:right w:val="single" w:sz="4" w:space="0" w:color="auto"/>
            </w:tcBorders>
            <w:shd w:val="clear" w:color="auto" w:fill="auto"/>
            <w:tcMar>
              <w:top w:w="0" w:type="dxa"/>
              <w:left w:w="28" w:type="dxa"/>
              <w:bottom w:w="0" w:type="dxa"/>
              <w:right w:w="28" w:type="dxa"/>
            </w:tcMar>
          </w:tcPr>
          <w:p w14:paraId="4921EE21" w14:textId="77777777" w:rsidR="00646C9E" w:rsidRDefault="00646C9E" w:rsidP="00646C9E">
            <w:pPr>
              <w:autoSpaceDE w:val="0"/>
              <w:spacing w:line="280" w:lineRule="exact"/>
              <w:rPr>
                <w:rFonts w:ascii="Arial" w:eastAsia="標楷體" w:hAnsi="Arial"/>
              </w:rPr>
            </w:pPr>
            <w:r>
              <w:rPr>
                <w:rFonts w:ascii="Arial" w:eastAsia="標楷體" w:hAnsi="Arial"/>
              </w:rPr>
              <w:t>追蹤管理照護費</w:t>
            </w:r>
          </w:p>
          <w:p w14:paraId="35B9395D" w14:textId="77777777" w:rsidR="00646C9E" w:rsidRDefault="00646C9E" w:rsidP="00646C9E">
            <w:pPr>
              <w:autoSpaceDE w:val="0"/>
              <w:spacing w:line="280" w:lineRule="exact"/>
              <w:ind w:left="490" w:hanging="492"/>
              <w:rPr>
                <w:rFonts w:ascii="Arial" w:eastAsia="標楷體" w:hAnsi="Arial"/>
              </w:rPr>
            </w:pPr>
            <w:r>
              <w:rPr>
                <w:rFonts w:ascii="Arial" w:eastAsia="標楷體" w:hAnsi="Arial"/>
              </w:rPr>
              <w:t>註</w:t>
            </w:r>
            <w:bookmarkStart w:id="3" w:name="_Hlk237435837"/>
            <w:r>
              <w:rPr>
                <w:rFonts w:ascii="Arial" w:eastAsia="標楷體" w:hAnsi="Arial"/>
              </w:rPr>
              <w:t>：</w:t>
            </w:r>
            <w:bookmarkEnd w:id="3"/>
            <w:r>
              <w:rPr>
                <w:rFonts w:ascii="Arial" w:eastAsia="標楷體" w:hAnsi="Arial"/>
              </w:rPr>
              <w:t>1.</w:t>
            </w:r>
            <w:r>
              <w:rPr>
                <w:rFonts w:ascii="Arial" w:eastAsia="標楷體" w:hAnsi="Arial"/>
              </w:rPr>
              <w:t>申報新收案後至少須間隔</w:t>
            </w:r>
            <w:r>
              <w:rPr>
                <w:rFonts w:ascii="Arial" w:eastAsia="標楷體" w:hAnsi="Arial"/>
              </w:rPr>
              <w:t>10</w:t>
            </w:r>
            <w:r>
              <w:rPr>
                <w:rFonts w:ascii="Arial" w:eastAsia="標楷體" w:hAnsi="Arial"/>
              </w:rPr>
              <w:t>週才能申報本項。</w:t>
            </w:r>
          </w:p>
          <w:p w14:paraId="0C39CB25" w14:textId="7E65BC15" w:rsidR="00646C9E" w:rsidRPr="00646C9E" w:rsidRDefault="00646C9E" w:rsidP="00646C9E">
            <w:pPr>
              <w:autoSpaceDE w:val="0"/>
              <w:spacing w:line="280" w:lineRule="exact"/>
              <w:ind w:left="490" w:hanging="12"/>
              <w:rPr>
                <w:rFonts w:ascii="Arial" w:eastAsia="標楷體" w:hAnsi="Arial"/>
              </w:rPr>
            </w:pPr>
            <w:r>
              <w:rPr>
                <w:rFonts w:ascii="Arial" w:eastAsia="標楷體" w:hAnsi="Arial"/>
              </w:rPr>
              <w:t>2.</w:t>
            </w:r>
            <w:r>
              <w:rPr>
                <w:rFonts w:ascii="Arial" w:eastAsia="標楷體" w:hAnsi="Arial"/>
              </w:rPr>
              <w:t>本項每年最多申報</w:t>
            </w:r>
            <w:r>
              <w:rPr>
                <w:rFonts w:ascii="Arial" w:eastAsia="標楷體" w:hAnsi="Arial"/>
              </w:rPr>
              <w:t>3</w:t>
            </w:r>
            <w:r>
              <w:rPr>
                <w:rFonts w:ascii="Arial" w:eastAsia="標楷體" w:hAnsi="Arial"/>
              </w:rPr>
              <w:t>次，每次間隔至少</w:t>
            </w:r>
            <w:r>
              <w:rPr>
                <w:rFonts w:ascii="Arial" w:eastAsia="標楷體" w:hAnsi="Arial"/>
              </w:rPr>
              <w:t>23</w:t>
            </w:r>
            <w:r>
              <w:rPr>
                <w:rFonts w:ascii="Arial" w:eastAsia="標楷體" w:hAnsi="Arial"/>
              </w:rPr>
              <w:t>週。</w:t>
            </w:r>
          </w:p>
        </w:tc>
        <w:tc>
          <w:tcPr>
            <w:tcW w:w="896" w:type="pct"/>
            <w:tcBorders>
              <w:left w:val="single" w:sz="4" w:space="0" w:color="auto"/>
            </w:tcBorders>
            <w:shd w:val="clear" w:color="auto" w:fill="auto"/>
            <w:tcMar>
              <w:top w:w="0" w:type="dxa"/>
              <w:left w:w="28" w:type="dxa"/>
              <w:bottom w:w="0" w:type="dxa"/>
              <w:right w:w="28" w:type="dxa"/>
            </w:tcMar>
          </w:tcPr>
          <w:p w14:paraId="20330410" w14:textId="6A430A61" w:rsidR="00646C9E" w:rsidRDefault="00646C9E">
            <w:pPr>
              <w:autoSpaceDE w:val="0"/>
              <w:spacing w:line="280" w:lineRule="exact"/>
              <w:jc w:val="both"/>
              <w:rPr>
                <w:rFonts w:ascii="Arial" w:eastAsia="標楷體" w:hAnsi="Arial"/>
              </w:rPr>
            </w:pPr>
            <w:r>
              <w:rPr>
                <w:rFonts w:ascii="Arial" w:eastAsia="標楷體" w:hAnsi="Arial"/>
              </w:rPr>
              <w:t xml:space="preserve">150 </w:t>
            </w:r>
            <w:r>
              <w:rPr>
                <w:rFonts w:ascii="Arial" w:eastAsia="標楷體" w:hAnsi="Arial"/>
              </w:rPr>
              <w:t>點</w:t>
            </w:r>
            <w:r>
              <w:rPr>
                <w:rFonts w:ascii="Arial" w:eastAsia="標楷體" w:hAnsi="Arial"/>
              </w:rPr>
              <w:t>/</w:t>
            </w:r>
            <w:r>
              <w:rPr>
                <w:rFonts w:ascii="Arial" w:eastAsia="標楷體" w:hAnsi="Arial"/>
              </w:rPr>
              <w:t>次</w:t>
            </w:r>
          </w:p>
        </w:tc>
      </w:tr>
      <w:tr w:rsidR="00646C9E" w14:paraId="13513D19" w14:textId="77777777" w:rsidTr="00BF1BAF">
        <w:trPr>
          <w:trHeight w:val="1417"/>
        </w:trPr>
        <w:tc>
          <w:tcPr>
            <w:tcW w:w="623" w:type="pct"/>
            <w:tcBorders>
              <w:top w:val="nil"/>
              <w:bottom w:val="nil"/>
              <w:right w:val="single" w:sz="4" w:space="0" w:color="auto"/>
            </w:tcBorders>
            <w:shd w:val="clear" w:color="auto" w:fill="auto"/>
            <w:tcMar>
              <w:top w:w="0" w:type="dxa"/>
              <w:left w:w="28" w:type="dxa"/>
              <w:bottom w:w="0" w:type="dxa"/>
              <w:right w:w="28" w:type="dxa"/>
            </w:tcMar>
          </w:tcPr>
          <w:p w14:paraId="2987AB7D" w14:textId="1BD0B303" w:rsidR="00646C9E" w:rsidRDefault="00646C9E" w:rsidP="00BF1BAF">
            <w:pPr>
              <w:autoSpaceDE w:val="0"/>
              <w:spacing w:line="280" w:lineRule="exact"/>
              <w:jc w:val="center"/>
              <w:rPr>
                <w:rFonts w:ascii="Arial" w:eastAsia="標楷體" w:hAnsi="Arial"/>
                <w:sz w:val="22"/>
              </w:rPr>
            </w:pPr>
            <w:r>
              <w:rPr>
                <w:rFonts w:ascii="Arial" w:eastAsia="標楷體" w:hAnsi="Arial"/>
                <w:sz w:val="22"/>
              </w:rPr>
              <w:t>P4203C</w:t>
            </w:r>
          </w:p>
        </w:tc>
        <w:tc>
          <w:tcPr>
            <w:tcW w:w="3481" w:type="pct"/>
            <w:tcBorders>
              <w:top w:val="nil"/>
              <w:left w:val="single" w:sz="4" w:space="0" w:color="auto"/>
              <w:bottom w:val="nil"/>
              <w:right w:val="single" w:sz="4" w:space="0" w:color="auto"/>
            </w:tcBorders>
            <w:shd w:val="clear" w:color="auto" w:fill="auto"/>
            <w:tcMar>
              <w:top w:w="0" w:type="dxa"/>
              <w:left w:w="28" w:type="dxa"/>
              <w:bottom w:w="0" w:type="dxa"/>
              <w:right w:w="28" w:type="dxa"/>
            </w:tcMar>
          </w:tcPr>
          <w:p w14:paraId="7C68AB11" w14:textId="77777777" w:rsidR="00646C9E" w:rsidRDefault="00646C9E" w:rsidP="00646C9E">
            <w:pPr>
              <w:autoSpaceDE w:val="0"/>
              <w:spacing w:line="280" w:lineRule="exact"/>
              <w:ind w:left="631" w:hanging="631"/>
              <w:rPr>
                <w:rFonts w:ascii="Arial" w:eastAsia="標楷體" w:hAnsi="Arial"/>
              </w:rPr>
            </w:pPr>
            <w:r>
              <w:rPr>
                <w:rFonts w:ascii="Arial" w:eastAsia="標楷體" w:hAnsi="Arial"/>
              </w:rPr>
              <w:t>超音波檢查早期肝癌病兆</w:t>
            </w:r>
            <w:r>
              <w:rPr>
                <w:rFonts w:ascii="Arial" w:eastAsia="標楷體" w:hAnsi="Arial"/>
              </w:rPr>
              <w:t>-</w:t>
            </w:r>
            <w:r>
              <w:rPr>
                <w:rFonts w:ascii="Arial" w:eastAsia="標楷體" w:hAnsi="Arial"/>
              </w:rPr>
              <w:t>篩檢異常及轉介費</w:t>
            </w:r>
          </w:p>
          <w:p w14:paraId="51E92A0A" w14:textId="77777777" w:rsidR="00646C9E" w:rsidRDefault="00646C9E" w:rsidP="00646C9E">
            <w:pPr>
              <w:autoSpaceDE w:val="0"/>
              <w:spacing w:line="280" w:lineRule="exact"/>
              <w:ind w:left="490" w:hanging="492"/>
              <w:rPr>
                <w:rFonts w:ascii="Arial" w:eastAsia="標楷體" w:hAnsi="Arial"/>
              </w:rPr>
            </w:pPr>
            <w:r>
              <w:rPr>
                <w:rFonts w:ascii="Arial" w:eastAsia="標楷體" w:hAnsi="Arial"/>
              </w:rPr>
              <w:t>註：同時符合下列條件申報本項費用。</w:t>
            </w:r>
          </w:p>
          <w:p w14:paraId="4464631C" w14:textId="60CAB42E" w:rsidR="00646C9E" w:rsidRPr="00646C9E" w:rsidRDefault="00646C9E" w:rsidP="00BF1BAF">
            <w:pPr>
              <w:autoSpaceDE w:val="0"/>
              <w:adjustRightInd w:val="0"/>
              <w:snapToGrid w:val="0"/>
              <w:spacing w:line="280" w:lineRule="exact"/>
              <w:ind w:leftChars="200" w:left="660" w:hangingChars="75" w:hanging="180"/>
              <w:rPr>
                <w:rFonts w:ascii="Arial" w:eastAsia="標楷體" w:hAnsi="Arial"/>
              </w:rPr>
            </w:pPr>
            <w:r>
              <w:rPr>
                <w:rFonts w:ascii="Arial" w:eastAsia="標楷體" w:hAnsi="Arial"/>
              </w:rPr>
              <w:t>1.</w:t>
            </w:r>
            <w:r>
              <w:rPr>
                <w:rFonts w:ascii="Arial" w:eastAsia="標楷體" w:hAnsi="Arial"/>
              </w:rPr>
              <w:t>限收案之院所申報，且須將病患確診檢查之肝癌期別登錄</w:t>
            </w:r>
            <w:r>
              <w:rPr>
                <w:rFonts w:ascii="Arial" w:eastAsia="標楷體" w:hAnsi="Arial" w:hint="eastAsia"/>
              </w:rPr>
              <w:t>於</w:t>
            </w:r>
            <w:r>
              <w:rPr>
                <w:rFonts w:ascii="Arial" w:eastAsia="標楷體" w:hAnsi="Arial"/>
              </w:rPr>
              <w:t>健保</w:t>
            </w:r>
            <w:r>
              <w:rPr>
                <w:rFonts w:ascii="標楷體" w:eastAsia="標楷體" w:hAnsi="標楷體"/>
                <w:szCs w:val="20"/>
              </w:rPr>
              <w:t>資訊網服務系統</w:t>
            </w:r>
            <w:r w:rsidR="005327DD">
              <w:rPr>
                <w:rFonts w:ascii="標楷體" w:eastAsia="標楷體" w:hAnsi="標楷體"/>
                <w:szCs w:val="20"/>
              </w:rPr>
              <w:t>（</w:t>
            </w:r>
            <w:r>
              <w:rPr>
                <w:rFonts w:ascii="標楷體" w:eastAsia="標楷體" w:hAnsi="標楷體"/>
                <w:szCs w:val="20"/>
              </w:rPr>
              <w:t>VPN系統</w:t>
            </w:r>
            <w:r w:rsidR="005327DD">
              <w:rPr>
                <w:rFonts w:ascii="標楷體" w:eastAsia="標楷體" w:hAnsi="標楷體"/>
                <w:szCs w:val="20"/>
              </w:rPr>
              <w:t>）</w:t>
            </w:r>
            <w:r>
              <w:rPr>
                <w:rFonts w:ascii="Arial" w:eastAsia="標楷體" w:hAnsi="Arial"/>
              </w:rPr>
              <w:t>，並記載於病歷備查。</w:t>
            </w:r>
          </w:p>
          <w:p w14:paraId="1826905E" w14:textId="77777777" w:rsidR="00646C9E" w:rsidRDefault="00646C9E" w:rsidP="00BF1BAF">
            <w:pPr>
              <w:autoSpaceDE w:val="0"/>
              <w:adjustRightInd w:val="0"/>
              <w:snapToGrid w:val="0"/>
              <w:spacing w:line="280" w:lineRule="exact"/>
              <w:ind w:leftChars="200" w:left="660" w:hangingChars="75" w:hanging="180"/>
              <w:rPr>
                <w:rFonts w:ascii="Arial" w:eastAsia="標楷體" w:hAnsi="Arial"/>
              </w:rPr>
            </w:pPr>
            <w:r>
              <w:rPr>
                <w:rFonts w:ascii="Arial" w:eastAsia="標楷體" w:hAnsi="Arial"/>
              </w:rPr>
              <w:t>2.</w:t>
            </w:r>
            <w:r>
              <w:rPr>
                <w:rFonts w:ascii="Arial" w:eastAsia="標楷體" w:hAnsi="Arial"/>
              </w:rPr>
              <w:t>經後送醫院肝癌診斷期別為第</w:t>
            </w:r>
            <w:r>
              <w:rPr>
                <w:rFonts w:ascii="Arial" w:eastAsia="標楷體" w:hAnsi="Arial"/>
              </w:rPr>
              <w:t>1</w:t>
            </w:r>
            <w:r>
              <w:rPr>
                <w:rFonts w:ascii="Arial" w:eastAsia="標楷體" w:hAnsi="Arial"/>
              </w:rPr>
              <w:t>期或第</w:t>
            </w:r>
            <w:r>
              <w:rPr>
                <w:rFonts w:ascii="Arial" w:eastAsia="標楷體" w:hAnsi="Arial"/>
              </w:rPr>
              <w:t>2</w:t>
            </w:r>
            <w:r>
              <w:rPr>
                <w:rFonts w:ascii="Arial" w:eastAsia="標楷體" w:hAnsi="Arial"/>
              </w:rPr>
              <w:t>期且取得重大傷病卡之個案。</w:t>
            </w:r>
          </w:p>
          <w:p w14:paraId="54CA9B99" w14:textId="5DA6FECB" w:rsidR="00BF1BAF" w:rsidRPr="00646C9E" w:rsidRDefault="00BF1BAF" w:rsidP="00BF1BAF">
            <w:pPr>
              <w:autoSpaceDE w:val="0"/>
              <w:adjustRightInd w:val="0"/>
              <w:snapToGrid w:val="0"/>
              <w:spacing w:line="280" w:lineRule="exact"/>
              <w:ind w:leftChars="200" w:left="660" w:hangingChars="75" w:hanging="180"/>
              <w:rPr>
                <w:rFonts w:ascii="Arial" w:eastAsia="標楷體" w:hAnsi="Arial"/>
              </w:rPr>
            </w:pPr>
          </w:p>
        </w:tc>
        <w:tc>
          <w:tcPr>
            <w:tcW w:w="896" w:type="pct"/>
            <w:tcBorders>
              <w:left w:val="single" w:sz="4" w:space="0" w:color="auto"/>
            </w:tcBorders>
            <w:shd w:val="clear" w:color="auto" w:fill="auto"/>
            <w:tcMar>
              <w:top w:w="0" w:type="dxa"/>
              <w:left w:w="28" w:type="dxa"/>
              <w:bottom w:w="0" w:type="dxa"/>
              <w:right w:w="28" w:type="dxa"/>
            </w:tcMar>
          </w:tcPr>
          <w:p w14:paraId="7BC01777" w14:textId="5502DF72" w:rsidR="00646C9E" w:rsidRDefault="00646C9E" w:rsidP="00646C9E">
            <w:pPr>
              <w:autoSpaceDE w:val="0"/>
              <w:spacing w:line="280" w:lineRule="exact"/>
              <w:jc w:val="both"/>
              <w:rPr>
                <w:rFonts w:ascii="Arial" w:eastAsia="標楷體" w:hAnsi="Arial"/>
              </w:rPr>
            </w:pPr>
            <w:r>
              <w:rPr>
                <w:rFonts w:ascii="Arial" w:eastAsia="標楷體" w:hAnsi="Arial"/>
              </w:rPr>
              <w:t xml:space="preserve">500 </w:t>
            </w:r>
            <w:r>
              <w:rPr>
                <w:rFonts w:ascii="Arial" w:eastAsia="標楷體" w:hAnsi="Arial"/>
              </w:rPr>
              <w:t>點</w:t>
            </w:r>
            <w:r>
              <w:rPr>
                <w:rFonts w:ascii="Arial" w:eastAsia="標楷體" w:hAnsi="Arial"/>
              </w:rPr>
              <w:t>/</w:t>
            </w:r>
            <w:r>
              <w:rPr>
                <w:rFonts w:ascii="Arial" w:eastAsia="標楷體" w:hAnsi="Arial"/>
              </w:rPr>
              <w:t>次</w:t>
            </w:r>
          </w:p>
        </w:tc>
      </w:tr>
      <w:tr w:rsidR="00646C9E" w14:paraId="09648F85" w14:textId="77777777" w:rsidTr="00BF1BAF">
        <w:trPr>
          <w:trHeight w:val="1417"/>
        </w:trPr>
        <w:tc>
          <w:tcPr>
            <w:tcW w:w="623" w:type="pct"/>
            <w:tcBorders>
              <w:top w:val="nil"/>
              <w:bottom w:val="nil"/>
              <w:right w:val="single" w:sz="4" w:space="0" w:color="auto"/>
            </w:tcBorders>
            <w:shd w:val="clear" w:color="auto" w:fill="auto"/>
            <w:tcMar>
              <w:top w:w="0" w:type="dxa"/>
              <w:left w:w="28" w:type="dxa"/>
              <w:bottom w:w="0" w:type="dxa"/>
              <w:right w:w="28" w:type="dxa"/>
            </w:tcMar>
          </w:tcPr>
          <w:p w14:paraId="1DA7AFAE" w14:textId="3070380F" w:rsidR="00646C9E" w:rsidRDefault="00646C9E" w:rsidP="00BF1BAF">
            <w:pPr>
              <w:autoSpaceDE w:val="0"/>
              <w:spacing w:line="280" w:lineRule="exact"/>
              <w:jc w:val="center"/>
              <w:rPr>
                <w:rFonts w:ascii="Arial" w:eastAsia="標楷體" w:hAnsi="Arial"/>
                <w:sz w:val="22"/>
              </w:rPr>
            </w:pPr>
            <w:r>
              <w:rPr>
                <w:rFonts w:ascii="Arial" w:eastAsia="標楷體" w:hAnsi="Arial"/>
                <w:sz w:val="22"/>
              </w:rPr>
              <w:t>P4204C</w:t>
            </w:r>
          </w:p>
        </w:tc>
        <w:tc>
          <w:tcPr>
            <w:tcW w:w="3481" w:type="pct"/>
            <w:tcBorders>
              <w:top w:val="nil"/>
              <w:left w:val="single" w:sz="4" w:space="0" w:color="auto"/>
              <w:bottom w:val="nil"/>
              <w:right w:val="single" w:sz="4" w:space="0" w:color="auto"/>
            </w:tcBorders>
            <w:shd w:val="clear" w:color="auto" w:fill="auto"/>
            <w:tcMar>
              <w:top w:w="0" w:type="dxa"/>
              <w:left w:w="28" w:type="dxa"/>
              <w:bottom w:w="0" w:type="dxa"/>
              <w:right w:w="28" w:type="dxa"/>
            </w:tcMar>
          </w:tcPr>
          <w:p w14:paraId="56C01DF8" w14:textId="77777777" w:rsidR="00646C9E" w:rsidRDefault="00646C9E" w:rsidP="00646C9E">
            <w:pPr>
              <w:autoSpaceDE w:val="0"/>
              <w:spacing w:line="280" w:lineRule="exact"/>
              <w:ind w:left="631" w:hanging="631"/>
              <w:rPr>
                <w:rFonts w:ascii="Arial" w:eastAsia="標楷體" w:hAnsi="Arial"/>
              </w:rPr>
            </w:pPr>
            <w:r>
              <w:rPr>
                <w:rFonts w:ascii="Arial" w:eastAsia="標楷體" w:hAnsi="Arial"/>
              </w:rPr>
              <w:t>肝癌早期發現費</w:t>
            </w:r>
            <w:r>
              <w:rPr>
                <w:rFonts w:ascii="Arial" w:eastAsia="標楷體" w:hAnsi="Arial"/>
              </w:rPr>
              <w:t>-</w:t>
            </w:r>
            <w:r>
              <w:rPr>
                <w:rFonts w:ascii="Arial" w:eastAsia="標楷體" w:hAnsi="Arial"/>
              </w:rPr>
              <w:t>確診</w:t>
            </w:r>
          </w:p>
          <w:p w14:paraId="234AA925" w14:textId="77777777" w:rsidR="00646C9E" w:rsidRDefault="00646C9E" w:rsidP="00BF1BAF">
            <w:pPr>
              <w:autoSpaceDE w:val="0"/>
              <w:spacing w:line="280" w:lineRule="exact"/>
              <w:ind w:left="684" w:hangingChars="285" w:hanging="684"/>
              <w:rPr>
                <w:rFonts w:ascii="Arial" w:eastAsia="標楷體" w:hAnsi="Arial"/>
              </w:rPr>
            </w:pPr>
            <w:r>
              <w:rPr>
                <w:rFonts w:ascii="Arial" w:eastAsia="標楷體" w:hAnsi="Arial"/>
              </w:rPr>
              <w:t>註：</w:t>
            </w:r>
            <w:r>
              <w:rPr>
                <w:rFonts w:ascii="Arial" w:eastAsia="標楷體" w:hAnsi="Arial"/>
              </w:rPr>
              <w:t>1.</w:t>
            </w:r>
            <w:r>
              <w:rPr>
                <w:rFonts w:ascii="Arial" w:eastAsia="標楷體" w:hAnsi="Arial"/>
              </w:rPr>
              <w:t>限參加本計畫且承接前項院所轉介案經執行確診檢查之院所申報。</w:t>
            </w:r>
          </w:p>
          <w:p w14:paraId="4C5E2005" w14:textId="530E7B90" w:rsidR="00646C9E" w:rsidRDefault="00646C9E" w:rsidP="00BF1BAF">
            <w:pPr>
              <w:autoSpaceDE w:val="0"/>
              <w:spacing w:line="280" w:lineRule="exact"/>
              <w:ind w:leftChars="200" w:left="660" w:hangingChars="75" w:hanging="180"/>
              <w:rPr>
                <w:rFonts w:ascii="Arial" w:eastAsia="標楷體" w:hAnsi="Arial"/>
              </w:rPr>
            </w:pPr>
            <w:r>
              <w:rPr>
                <w:rFonts w:ascii="Arial" w:eastAsia="標楷體" w:hAnsi="Arial"/>
              </w:rPr>
              <w:t>2.</w:t>
            </w:r>
            <w:r>
              <w:rPr>
                <w:rFonts w:ascii="Arial" w:eastAsia="標楷體" w:hAnsi="Arial"/>
              </w:rPr>
              <w:t>申報此項醫院需協助病人首次被診斷肝癌</w:t>
            </w:r>
            <w:r w:rsidR="005327DD">
              <w:rPr>
                <w:rFonts w:ascii="Arial" w:eastAsia="標楷體" w:hAnsi="Arial"/>
              </w:rPr>
              <w:t>（</w:t>
            </w:r>
            <w:r>
              <w:rPr>
                <w:rFonts w:ascii="Arial" w:eastAsia="標楷體" w:hAnsi="Arial"/>
              </w:rPr>
              <w:t>C22</w:t>
            </w:r>
            <w:r w:rsidR="005327DD">
              <w:rPr>
                <w:rFonts w:ascii="Arial" w:eastAsia="標楷體" w:hAnsi="Arial"/>
              </w:rPr>
              <w:t>）</w:t>
            </w:r>
            <w:r>
              <w:rPr>
                <w:rFonts w:ascii="Arial" w:eastAsia="標楷體" w:hAnsi="Arial"/>
              </w:rPr>
              <w:t>且取得重大傷病卡，其肝癌診斷期別為第</w:t>
            </w:r>
            <w:r>
              <w:rPr>
                <w:rFonts w:ascii="Arial" w:eastAsia="標楷體" w:hAnsi="Arial"/>
              </w:rPr>
              <w:t>1</w:t>
            </w:r>
            <w:r>
              <w:rPr>
                <w:rFonts w:ascii="Arial" w:eastAsia="標楷體" w:hAnsi="Arial"/>
              </w:rPr>
              <w:t>期或第</w:t>
            </w:r>
            <w:r>
              <w:rPr>
                <w:rFonts w:ascii="Arial" w:eastAsia="標楷體" w:hAnsi="Arial"/>
              </w:rPr>
              <w:t>2</w:t>
            </w:r>
            <w:r>
              <w:rPr>
                <w:rFonts w:ascii="Arial" w:eastAsia="標楷體" w:hAnsi="Arial"/>
              </w:rPr>
              <w:t>期。</w:t>
            </w:r>
          </w:p>
          <w:p w14:paraId="450B7AF4" w14:textId="37E54BFB" w:rsidR="00BF1BAF" w:rsidRPr="00646C9E" w:rsidRDefault="00BF1BAF" w:rsidP="00BF1BAF">
            <w:pPr>
              <w:autoSpaceDE w:val="0"/>
              <w:spacing w:line="280" w:lineRule="exact"/>
              <w:ind w:leftChars="200" w:left="660" w:hangingChars="75" w:hanging="180"/>
              <w:rPr>
                <w:rFonts w:ascii="Arial" w:eastAsia="標楷體" w:hAnsi="Arial"/>
              </w:rPr>
            </w:pPr>
          </w:p>
        </w:tc>
        <w:tc>
          <w:tcPr>
            <w:tcW w:w="896" w:type="pct"/>
            <w:tcBorders>
              <w:left w:val="single" w:sz="4" w:space="0" w:color="auto"/>
            </w:tcBorders>
            <w:shd w:val="clear" w:color="auto" w:fill="auto"/>
            <w:tcMar>
              <w:top w:w="0" w:type="dxa"/>
              <w:left w:w="28" w:type="dxa"/>
              <w:bottom w:w="0" w:type="dxa"/>
              <w:right w:w="28" w:type="dxa"/>
            </w:tcMar>
          </w:tcPr>
          <w:p w14:paraId="6478CD30" w14:textId="3D21CEAF" w:rsidR="00646C9E" w:rsidRDefault="00646C9E" w:rsidP="00646C9E">
            <w:pPr>
              <w:autoSpaceDE w:val="0"/>
              <w:spacing w:line="280" w:lineRule="exact"/>
              <w:jc w:val="both"/>
              <w:rPr>
                <w:rFonts w:ascii="Arial" w:eastAsia="標楷體" w:hAnsi="Arial"/>
              </w:rPr>
            </w:pPr>
            <w:r>
              <w:rPr>
                <w:rFonts w:ascii="Arial" w:eastAsia="標楷體" w:hAnsi="Arial"/>
              </w:rPr>
              <w:t xml:space="preserve">500 </w:t>
            </w:r>
            <w:r>
              <w:rPr>
                <w:rFonts w:ascii="Arial" w:eastAsia="標楷體" w:hAnsi="Arial"/>
              </w:rPr>
              <w:t>點</w:t>
            </w:r>
            <w:r>
              <w:rPr>
                <w:rFonts w:ascii="Arial" w:eastAsia="標楷體" w:hAnsi="Arial"/>
              </w:rPr>
              <w:t>/</w:t>
            </w:r>
            <w:r>
              <w:rPr>
                <w:rFonts w:ascii="Arial" w:eastAsia="標楷體" w:hAnsi="Arial"/>
              </w:rPr>
              <w:t>次</w:t>
            </w:r>
          </w:p>
        </w:tc>
      </w:tr>
      <w:tr w:rsidR="00646C9E" w14:paraId="2853F9F0" w14:textId="77777777" w:rsidTr="00A73970">
        <w:trPr>
          <w:trHeight w:val="1725"/>
        </w:trPr>
        <w:tc>
          <w:tcPr>
            <w:tcW w:w="623" w:type="pct"/>
            <w:tcBorders>
              <w:top w:val="nil"/>
              <w:bottom w:val="single" w:sz="4" w:space="0" w:color="auto"/>
              <w:right w:val="single" w:sz="4" w:space="0" w:color="auto"/>
            </w:tcBorders>
            <w:shd w:val="clear" w:color="auto" w:fill="auto"/>
            <w:tcMar>
              <w:top w:w="0" w:type="dxa"/>
              <w:left w:w="28" w:type="dxa"/>
              <w:bottom w:w="0" w:type="dxa"/>
              <w:right w:w="28" w:type="dxa"/>
            </w:tcMar>
          </w:tcPr>
          <w:p w14:paraId="733DEEE1" w14:textId="5C23533E" w:rsidR="00646C9E" w:rsidRDefault="00646C9E" w:rsidP="00BF1BAF">
            <w:pPr>
              <w:autoSpaceDE w:val="0"/>
              <w:spacing w:line="280" w:lineRule="exact"/>
              <w:jc w:val="center"/>
              <w:rPr>
                <w:rFonts w:ascii="Arial" w:eastAsia="標楷體" w:hAnsi="Arial"/>
                <w:sz w:val="22"/>
              </w:rPr>
            </w:pPr>
            <w:r>
              <w:rPr>
                <w:rFonts w:ascii="Arial" w:eastAsia="標楷體" w:hAnsi="Arial"/>
                <w:sz w:val="22"/>
              </w:rPr>
              <w:t>P4205C</w:t>
            </w:r>
          </w:p>
        </w:tc>
        <w:tc>
          <w:tcPr>
            <w:tcW w:w="3481" w:type="pct"/>
            <w:tcBorders>
              <w:top w:val="nil"/>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B0A70B7" w14:textId="77777777" w:rsidR="00646C9E" w:rsidRDefault="00646C9E" w:rsidP="00646C9E">
            <w:pPr>
              <w:autoSpaceDE w:val="0"/>
              <w:spacing w:line="280" w:lineRule="exact"/>
              <w:rPr>
                <w:rFonts w:ascii="Arial" w:eastAsia="標楷體" w:hAnsi="Arial"/>
              </w:rPr>
            </w:pPr>
            <w:r>
              <w:rPr>
                <w:rFonts w:ascii="Arial" w:eastAsia="標楷體" w:hAnsi="Arial"/>
              </w:rPr>
              <w:t>肝癌早期發現費</w:t>
            </w:r>
            <w:r>
              <w:rPr>
                <w:rFonts w:ascii="Arial" w:eastAsia="標楷體" w:hAnsi="Arial"/>
              </w:rPr>
              <w:t>-</w:t>
            </w:r>
            <w:r>
              <w:rPr>
                <w:rFonts w:ascii="Arial" w:eastAsia="標楷體" w:hAnsi="Arial"/>
              </w:rPr>
              <w:t>篩檢及確診</w:t>
            </w:r>
          </w:p>
          <w:p w14:paraId="5A931DBB" w14:textId="77777777" w:rsidR="00646C9E" w:rsidRDefault="00646C9E" w:rsidP="00A73970">
            <w:pPr>
              <w:autoSpaceDE w:val="0"/>
              <w:spacing w:line="280" w:lineRule="exact"/>
              <w:ind w:left="680" w:hanging="680"/>
              <w:rPr>
                <w:rFonts w:ascii="Arial" w:eastAsia="標楷體" w:hAnsi="Arial"/>
              </w:rPr>
            </w:pPr>
            <w:r>
              <w:rPr>
                <w:rFonts w:ascii="Arial" w:eastAsia="標楷體" w:hAnsi="Arial"/>
              </w:rPr>
              <w:t>註：</w:t>
            </w:r>
            <w:r>
              <w:rPr>
                <w:rFonts w:ascii="Arial" w:eastAsia="標楷體" w:hAnsi="Arial"/>
              </w:rPr>
              <w:t>1.</w:t>
            </w:r>
            <w:r>
              <w:rPr>
                <w:rFonts w:ascii="Arial" w:eastAsia="標楷體" w:hAnsi="Arial"/>
              </w:rPr>
              <w:t>限收案及早期肝癌確診之同院所申報，同一收案對象不得與</w:t>
            </w:r>
            <w:r>
              <w:rPr>
                <w:rFonts w:ascii="Arial" w:eastAsia="標楷體" w:hAnsi="Arial"/>
              </w:rPr>
              <w:t>P4203C</w:t>
            </w:r>
            <w:r>
              <w:rPr>
                <w:rFonts w:ascii="Arial" w:eastAsia="標楷體" w:hAnsi="Arial"/>
              </w:rPr>
              <w:t>及</w:t>
            </w:r>
            <w:r>
              <w:rPr>
                <w:rFonts w:ascii="Arial" w:eastAsia="標楷體" w:hAnsi="Arial"/>
              </w:rPr>
              <w:t>P4204C</w:t>
            </w:r>
            <w:r>
              <w:rPr>
                <w:rFonts w:ascii="Arial" w:eastAsia="標楷體" w:hAnsi="Arial"/>
              </w:rPr>
              <w:t>併同申報。</w:t>
            </w:r>
          </w:p>
          <w:p w14:paraId="2A022C98" w14:textId="4F0142BE" w:rsidR="00646C9E" w:rsidRDefault="00646C9E" w:rsidP="00A73970">
            <w:pPr>
              <w:autoSpaceDE w:val="0"/>
              <w:spacing w:line="280" w:lineRule="exact"/>
              <w:ind w:leftChars="200" w:left="660" w:hangingChars="75" w:hanging="180"/>
              <w:rPr>
                <w:rFonts w:ascii="Arial" w:eastAsia="標楷體" w:hAnsi="Arial"/>
              </w:rPr>
            </w:pPr>
            <w:r>
              <w:rPr>
                <w:rFonts w:ascii="Arial" w:eastAsia="標楷體" w:hAnsi="Arial"/>
              </w:rPr>
              <w:t>2.</w:t>
            </w:r>
            <w:r>
              <w:rPr>
                <w:rFonts w:ascii="Arial" w:eastAsia="標楷體" w:hAnsi="Arial"/>
              </w:rPr>
              <w:t>申報此項係首次被診斷肝癌</w:t>
            </w:r>
            <w:r w:rsidR="005327DD">
              <w:rPr>
                <w:rFonts w:ascii="Arial" w:eastAsia="標楷體" w:hAnsi="Arial"/>
              </w:rPr>
              <w:t>（</w:t>
            </w:r>
            <w:r>
              <w:rPr>
                <w:rFonts w:ascii="Arial" w:eastAsia="標楷體" w:hAnsi="Arial"/>
              </w:rPr>
              <w:t>C22</w:t>
            </w:r>
            <w:r w:rsidR="005327DD">
              <w:rPr>
                <w:rFonts w:ascii="Arial" w:eastAsia="標楷體" w:hAnsi="Arial"/>
              </w:rPr>
              <w:t>）</w:t>
            </w:r>
            <w:r>
              <w:rPr>
                <w:rFonts w:ascii="Arial" w:eastAsia="標楷體" w:hAnsi="Arial"/>
              </w:rPr>
              <w:t>且取得重大傷病卡，其肝癌期別為第</w:t>
            </w:r>
            <w:r>
              <w:rPr>
                <w:rFonts w:ascii="Arial" w:eastAsia="標楷體" w:hAnsi="Arial"/>
              </w:rPr>
              <w:t>1</w:t>
            </w:r>
            <w:r>
              <w:rPr>
                <w:rFonts w:ascii="Arial" w:eastAsia="標楷體" w:hAnsi="Arial"/>
              </w:rPr>
              <w:t>期或第</w:t>
            </w:r>
            <w:r>
              <w:rPr>
                <w:rFonts w:ascii="Arial" w:eastAsia="標楷體" w:hAnsi="Arial"/>
              </w:rPr>
              <w:t>2</w:t>
            </w:r>
            <w:r>
              <w:rPr>
                <w:rFonts w:ascii="Arial" w:eastAsia="標楷體" w:hAnsi="Arial"/>
              </w:rPr>
              <w:t>期之病人，須將肝癌期別登錄於健保</w:t>
            </w:r>
            <w:r>
              <w:rPr>
                <w:rFonts w:ascii="標楷體" w:eastAsia="標楷體" w:hAnsi="標楷體"/>
                <w:szCs w:val="20"/>
              </w:rPr>
              <w:t>資訊網服務系統</w:t>
            </w:r>
            <w:r w:rsidR="005327DD">
              <w:rPr>
                <w:rFonts w:ascii="標楷體" w:eastAsia="標楷體" w:hAnsi="標楷體"/>
                <w:szCs w:val="20"/>
              </w:rPr>
              <w:t>（</w:t>
            </w:r>
            <w:r>
              <w:rPr>
                <w:rFonts w:ascii="標楷體" w:eastAsia="標楷體" w:hAnsi="標楷體"/>
                <w:szCs w:val="20"/>
              </w:rPr>
              <w:t>VPN系統</w:t>
            </w:r>
            <w:r w:rsidR="005327DD">
              <w:rPr>
                <w:rFonts w:ascii="標楷體" w:eastAsia="標楷體" w:hAnsi="標楷體"/>
                <w:szCs w:val="20"/>
              </w:rPr>
              <w:t>）</w:t>
            </w:r>
            <w:r>
              <w:rPr>
                <w:rFonts w:ascii="Arial" w:eastAsia="標楷體" w:hAnsi="Arial"/>
              </w:rPr>
              <w:t>，並記載於病歷備查。</w:t>
            </w:r>
          </w:p>
        </w:tc>
        <w:tc>
          <w:tcPr>
            <w:tcW w:w="896" w:type="pct"/>
            <w:tcBorders>
              <w:left w:val="single" w:sz="4" w:space="0" w:color="auto"/>
            </w:tcBorders>
            <w:shd w:val="clear" w:color="auto" w:fill="auto"/>
            <w:tcMar>
              <w:top w:w="0" w:type="dxa"/>
              <w:left w:w="28" w:type="dxa"/>
              <w:bottom w:w="0" w:type="dxa"/>
              <w:right w:w="28" w:type="dxa"/>
            </w:tcMar>
          </w:tcPr>
          <w:p w14:paraId="30758AA0" w14:textId="23563451" w:rsidR="00646C9E" w:rsidRDefault="00646C9E" w:rsidP="00646C9E">
            <w:pPr>
              <w:autoSpaceDE w:val="0"/>
              <w:spacing w:line="280" w:lineRule="exact"/>
              <w:jc w:val="both"/>
              <w:rPr>
                <w:rFonts w:ascii="Arial" w:eastAsia="標楷體" w:hAnsi="Arial"/>
              </w:rPr>
            </w:pPr>
            <w:r>
              <w:rPr>
                <w:rFonts w:ascii="Arial" w:eastAsia="標楷體" w:hAnsi="Arial"/>
              </w:rPr>
              <w:t xml:space="preserve">1000 </w:t>
            </w:r>
            <w:r>
              <w:rPr>
                <w:rFonts w:ascii="Arial" w:eastAsia="標楷體" w:hAnsi="Arial"/>
              </w:rPr>
              <w:t>點</w:t>
            </w:r>
            <w:r>
              <w:rPr>
                <w:rFonts w:ascii="Arial" w:eastAsia="標楷體" w:hAnsi="Arial"/>
              </w:rPr>
              <w:t>/</w:t>
            </w:r>
            <w:r>
              <w:rPr>
                <w:rFonts w:ascii="Arial" w:eastAsia="標楷體" w:hAnsi="Arial"/>
              </w:rPr>
              <w:t>次</w:t>
            </w:r>
          </w:p>
        </w:tc>
      </w:tr>
    </w:tbl>
    <w:p w14:paraId="474220F8" w14:textId="77777777" w:rsidR="00440476" w:rsidRPr="006E52DD" w:rsidRDefault="00440476" w:rsidP="006E52DD">
      <w:pPr>
        <w:widowControl/>
        <w:suppressAutoHyphens w:val="0"/>
        <w:spacing w:line="240" w:lineRule="atLeast"/>
        <w:rPr>
          <w:rFonts w:eastAsia="標楷體"/>
          <w:b/>
          <w:sz w:val="16"/>
          <w:szCs w:val="16"/>
        </w:rPr>
      </w:pPr>
      <w:r w:rsidRPr="006E52DD">
        <w:rPr>
          <w:rFonts w:eastAsia="標楷體"/>
          <w:b/>
          <w:sz w:val="16"/>
          <w:szCs w:val="16"/>
        </w:rPr>
        <w:br w:type="page"/>
      </w:r>
    </w:p>
    <w:p w14:paraId="41242AA9" w14:textId="3F6CAD53" w:rsidR="00FB4ED1" w:rsidRDefault="00000000">
      <w:pPr>
        <w:spacing w:line="480" w:lineRule="exact"/>
        <w:rPr>
          <w:rFonts w:eastAsia="標楷體"/>
          <w:b/>
          <w:sz w:val="32"/>
        </w:rPr>
      </w:pPr>
      <w:r>
        <w:rPr>
          <w:rFonts w:eastAsia="標楷體"/>
          <w:b/>
          <w:sz w:val="32"/>
        </w:rPr>
        <w:lastRenderedPageBreak/>
        <w:t>附件二</w:t>
      </w:r>
    </w:p>
    <w:p w14:paraId="23856C8A" w14:textId="77777777" w:rsidR="00FB4ED1" w:rsidRDefault="00000000">
      <w:pPr>
        <w:spacing w:line="480" w:lineRule="exact"/>
        <w:ind w:left="560"/>
        <w:jc w:val="center"/>
      </w:pPr>
      <w:r>
        <w:rPr>
          <w:rFonts w:ascii="標楷體" w:eastAsia="標楷體" w:hAnsi="標楷體"/>
          <w:b/>
          <w:sz w:val="32"/>
          <w:szCs w:val="32"/>
        </w:rPr>
        <w:t>全民健康保險肝炎</w:t>
      </w:r>
      <w:r>
        <w:rPr>
          <w:rFonts w:eastAsia="標楷體"/>
          <w:b/>
          <w:sz w:val="30"/>
          <w:szCs w:val="30"/>
        </w:rPr>
        <w:t>醫療給付改善方案</w:t>
      </w:r>
    </w:p>
    <w:p w14:paraId="50A1A720" w14:textId="77777777" w:rsidR="00FB4ED1" w:rsidRDefault="00000000">
      <w:pPr>
        <w:spacing w:line="480" w:lineRule="exact"/>
        <w:ind w:left="560"/>
        <w:jc w:val="center"/>
      </w:pPr>
      <w:r>
        <w:rPr>
          <w:rFonts w:ascii="標楷體" w:eastAsia="標楷體" w:hAnsi="標楷體"/>
          <w:b/>
          <w:sz w:val="30"/>
          <w:szCs w:val="30"/>
        </w:rPr>
        <w:t>個案登錄系統必要欄位簡化表</w:t>
      </w:r>
    </w:p>
    <w:p w14:paraId="64954AEB" w14:textId="77777777" w:rsidR="00FB4ED1" w:rsidRDefault="00FB4ED1">
      <w:pPr>
        <w:spacing w:line="260" w:lineRule="exact"/>
        <w:ind w:left="561"/>
        <w:jc w:val="center"/>
        <w:rPr>
          <w:rFonts w:ascii="標楷體" w:eastAsia="標楷體" w:hAnsi="標楷體"/>
          <w:sz w:val="20"/>
          <w:szCs w:val="20"/>
        </w:rPr>
      </w:pPr>
    </w:p>
    <w:p w14:paraId="4E680079" w14:textId="5204AA13" w:rsidR="00FB4ED1" w:rsidRDefault="00000000">
      <w:pPr>
        <w:pStyle w:val="a4"/>
        <w:numPr>
          <w:ilvl w:val="0"/>
          <w:numId w:val="14"/>
        </w:numPr>
        <w:spacing w:line="480" w:lineRule="exact"/>
        <w:textAlignment w:val="auto"/>
        <w:rPr>
          <w:rFonts w:ascii="標楷體" w:eastAsia="標楷體" w:hAnsi="標楷體"/>
          <w:sz w:val="28"/>
          <w:szCs w:val="20"/>
        </w:rPr>
      </w:pPr>
      <w:r>
        <w:rPr>
          <w:rFonts w:ascii="標楷體" w:eastAsia="標楷體" w:hAnsi="標楷體"/>
          <w:sz w:val="28"/>
          <w:szCs w:val="20"/>
        </w:rPr>
        <w:t>新收案</w:t>
      </w:r>
      <w:r w:rsidR="005327DD">
        <w:rPr>
          <w:rFonts w:ascii="標楷體" w:eastAsia="標楷體" w:hAnsi="標楷體"/>
          <w:sz w:val="28"/>
          <w:szCs w:val="20"/>
        </w:rPr>
        <w:t>（</w:t>
      </w:r>
      <w:r>
        <w:rPr>
          <w:rFonts w:ascii="標楷體" w:eastAsia="標楷體" w:hAnsi="標楷體"/>
          <w:sz w:val="28"/>
          <w:szCs w:val="20"/>
        </w:rPr>
        <w:t>身分證號、病人姓名、病人生日等欄位</w:t>
      </w:r>
      <w:r w:rsidR="005327DD">
        <w:rPr>
          <w:rFonts w:ascii="標楷體" w:eastAsia="標楷體" w:hAnsi="標楷體"/>
          <w:sz w:val="28"/>
          <w:szCs w:val="20"/>
        </w:rPr>
        <w:t>）</w:t>
      </w:r>
    </w:p>
    <w:p w14:paraId="06E6F967" w14:textId="6853851A" w:rsidR="00FB4ED1" w:rsidRDefault="00000000">
      <w:pPr>
        <w:spacing w:line="480" w:lineRule="exact"/>
        <w:ind w:left="1119" w:hanging="560"/>
        <w:rPr>
          <w:rFonts w:ascii="標楷體" w:eastAsia="標楷體" w:hAnsi="標楷體"/>
          <w:sz w:val="28"/>
          <w:szCs w:val="20"/>
        </w:rPr>
      </w:pPr>
      <w:r>
        <w:rPr>
          <w:rFonts w:ascii="標楷體" w:eastAsia="標楷體" w:hAnsi="標楷體"/>
          <w:sz w:val="28"/>
          <w:szCs w:val="20"/>
        </w:rPr>
        <w:t xml:space="preserve"> 必填欄位</w:t>
      </w:r>
      <w:r w:rsidR="00380348">
        <w:rPr>
          <w:rFonts w:ascii="標楷體" w:eastAsia="標楷體" w:hAnsi="標楷體" w:hint="eastAsia"/>
          <w:sz w:val="28"/>
          <w:szCs w:val="20"/>
        </w:rPr>
        <w:t>：</w:t>
      </w:r>
    </w:p>
    <w:p w14:paraId="65FA96EB" w14:textId="77777777" w:rsidR="00FB4ED1" w:rsidRDefault="00000000">
      <w:pPr>
        <w:numPr>
          <w:ilvl w:val="0"/>
          <w:numId w:val="15"/>
        </w:numPr>
        <w:spacing w:line="480" w:lineRule="exact"/>
        <w:textAlignment w:val="auto"/>
        <w:rPr>
          <w:rFonts w:ascii="標楷體" w:eastAsia="標楷體" w:hAnsi="標楷體"/>
          <w:sz w:val="28"/>
          <w:szCs w:val="20"/>
        </w:rPr>
      </w:pPr>
      <w:r>
        <w:rPr>
          <w:rFonts w:ascii="標楷體" w:eastAsia="標楷體" w:hAnsi="標楷體"/>
          <w:sz w:val="28"/>
          <w:szCs w:val="20"/>
        </w:rPr>
        <w:t>新收案日期、肝炎類型</w:t>
      </w:r>
    </w:p>
    <w:p w14:paraId="597C9F8B" w14:textId="6A15E32A" w:rsidR="00FB4ED1" w:rsidRDefault="00000000">
      <w:pPr>
        <w:numPr>
          <w:ilvl w:val="0"/>
          <w:numId w:val="15"/>
        </w:numPr>
        <w:spacing w:line="480" w:lineRule="exact"/>
        <w:textAlignment w:val="auto"/>
        <w:rPr>
          <w:rFonts w:ascii="標楷體" w:eastAsia="標楷體" w:hAnsi="標楷體"/>
          <w:sz w:val="28"/>
          <w:szCs w:val="20"/>
        </w:rPr>
      </w:pPr>
      <w:r>
        <w:rPr>
          <w:rFonts w:ascii="標楷體" w:eastAsia="標楷體" w:hAnsi="標楷體"/>
          <w:sz w:val="28"/>
          <w:szCs w:val="20"/>
        </w:rPr>
        <w:t>Blood檢驗：HBsAg、HBeAg、Anti-HCV、肝功能檢查（GOT、GPT）及AFP檢查結果</w:t>
      </w:r>
      <w:r w:rsidR="005327DD">
        <w:rPr>
          <w:rFonts w:ascii="標楷體" w:eastAsia="標楷體" w:hAnsi="標楷體"/>
          <w:sz w:val="28"/>
          <w:szCs w:val="20"/>
        </w:rPr>
        <w:t>（</w:t>
      </w:r>
      <w:r>
        <w:rPr>
          <w:rFonts w:ascii="標楷體" w:eastAsia="標楷體" w:hAnsi="標楷體"/>
          <w:sz w:val="28"/>
          <w:szCs w:val="20"/>
        </w:rPr>
        <w:t>屬肝纖維化F3</w:t>
      </w:r>
      <w:r w:rsidR="005327DD">
        <w:rPr>
          <w:rFonts w:ascii="標楷體" w:eastAsia="標楷體" w:hAnsi="標楷體"/>
          <w:sz w:val="28"/>
          <w:szCs w:val="20"/>
        </w:rPr>
        <w:t>（</w:t>
      </w:r>
      <w:r>
        <w:rPr>
          <w:rFonts w:ascii="標楷體" w:eastAsia="標楷體" w:hAnsi="標楷體"/>
          <w:sz w:val="28"/>
          <w:szCs w:val="20"/>
        </w:rPr>
        <w:t>含</w:t>
      </w:r>
      <w:r w:rsidR="005327DD">
        <w:rPr>
          <w:rFonts w:ascii="標楷體" w:eastAsia="標楷體" w:hAnsi="標楷體"/>
          <w:sz w:val="28"/>
          <w:szCs w:val="20"/>
        </w:rPr>
        <w:t>）</w:t>
      </w:r>
      <w:r>
        <w:rPr>
          <w:rFonts w:ascii="標楷體" w:eastAsia="標楷體" w:hAnsi="標楷體"/>
          <w:sz w:val="28"/>
          <w:szCs w:val="20"/>
        </w:rPr>
        <w:t>以上之代謝性、酒精性肝炎病人，HBsAg、HBeAg、Anti-HCV非必填</w:t>
      </w:r>
      <w:r w:rsidR="005327DD">
        <w:rPr>
          <w:rFonts w:ascii="標楷體" w:eastAsia="標楷體" w:hAnsi="標楷體"/>
          <w:sz w:val="28"/>
          <w:szCs w:val="20"/>
        </w:rPr>
        <w:t>）</w:t>
      </w:r>
    </w:p>
    <w:p w14:paraId="1D018019" w14:textId="77777777" w:rsidR="00FB4ED1" w:rsidRDefault="00000000">
      <w:pPr>
        <w:numPr>
          <w:ilvl w:val="0"/>
          <w:numId w:val="15"/>
        </w:numPr>
        <w:spacing w:line="480" w:lineRule="exact"/>
        <w:textAlignment w:val="auto"/>
        <w:rPr>
          <w:rFonts w:ascii="標楷體" w:eastAsia="標楷體" w:hAnsi="標楷體"/>
          <w:sz w:val="28"/>
          <w:szCs w:val="20"/>
        </w:rPr>
      </w:pPr>
      <w:r>
        <w:rPr>
          <w:rFonts w:ascii="標楷體" w:eastAsia="標楷體" w:hAnsi="標楷體"/>
          <w:sz w:val="28"/>
          <w:szCs w:val="20"/>
        </w:rPr>
        <w:t>腹部超音波檢查結果</w:t>
      </w:r>
    </w:p>
    <w:p w14:paraId="5D9C086F" w14:textId="1A321248" w:rsidR="00FB4ED1" w:rsidRDefault="00000000">
      <w:pPr>
        <w:numPr>
          <w:ilvl w:val="0"/>
          <w:numId w:val="15"/>
        </w:numPr>
        <w:spacing w:line="480" w:lineRule="exact"/>
        <w:textAlignment w:val="auto"/>
        <w:rPr>
          <w:rFonts w:ascii="標楷體" w:eastAsia="標楷體" w:hAnsi="標楷體"/>
          <w:sz w:val="28"/>
          <w:szCs w:val="20"/>
        </w:rPr>
      </w:pPr>
      <w:r>
        <w:rPr>
          <w:rFonts w:ascii="標楷體" w:eastAsia="標楷體" w:hAnsi="標楷體"/>
          <w:sz w:val="28"/>
          <w:szCs w:val="20"/>
        </w:rPr>
        <w:t>肝纖維化期別：屬肝纖維化F3</w:t>
      </w:r>
      <w:r w:rsidR="005327DD">
        <w:rPr>
          <w:rFonts w:ascii="標楷體" w:eastAsia="標楷體" w:hAnsi="標楷體"/>
          <w:sz w:val="28"/>
          <w:szCs w:val="20"/>
        </w:rPr>
        <w:t>（</w:t>
      </w:r>
      <w:r>
        <w:rPr>
          <w:rFonts w:ascii="標楷體" w:eastAsia="標楷體" w:hAnsi="標楷體"/>
          <w:sz w:val="28"/>
          <w:szCs w:val="20"/>
        </w:rPr>
        <w:t>含</w:t>
      </w:r>
      <w:r w:rsidR="005327DD">
        <w:rPr>
          <w:rFonts w:ascii="標楷體" w:eastAsia="標楷體" w:hAnsi="標楷體"/>
          <w:sz w:val="28"/>
          <w:szCs w:val="20"/>
        </w:rPr>
        <w:t>）</w:t>
      </w:r>
      <w:r>
        <w:rPr>
          <w:rFonts w:ascii="標楷體" w:eastAsia="標楷體" w:hAnsi="標楷體"/>
          <w:sz w:val="28"/>
          <w:szCs w:val="20"/>
        </w:rPr>
        <w:t>以上之代謝性、酒精性肝炎病人需填報。</w:t>
      </w:r>
    </w:p>
    <w:p w14:paraId="45FC83DC" w14:textId="77777777" w:rsidR="00FB4ED1" w:rsidRDefault="00FB4ED1">
      <w:pPr>
        <w:spacing w:line="480" w:lineRule="exact"/>
        <w:ind w:left="1520"/>
        <w:rPr>
          <w:rFonts w:ascii="標楷體" w:eastAsia="標楷體" w:hAnsi="標楷體"/>
          <w:sz w:val="28"/>
          <w:szCs w:val="20"/>
        </w:rPr>
      </w:pPr>
    </w:p>
    <w:p w14:paraId="035B5A3B" w14:textId="677C3083" w:rsidR="00FB4ED1" w:rsidRDefault="00000000">
      <w:pPr>
        <w:pStyle w:val="a4"/>
        <w:numPr>
          <w:ilvl w:val="0"/>
          <w:numId w:val="14"/>
        </w:numPr>
        <w:spacing w:line="480" w:lineRule="exact"/>
        <w:textAlignment w:val="auto"/>
        <w:rPr>
          <w:rFonts w:ascii="標楷體" w:eastAsia="標楷體" w:hAnsi="標楷體"/>
          <w:sz w:val="28"/>
          <w:szCs w:val="20"/>
        </w:rPr>
      </w:pPr>
      <w:r>
        <w:rPr>
          <w:rFonts w:ascii="標楷體" w:eastAsia="標楷體" w:hAnsi="標楷體"/>
          <w:sz w:val="28"/>
          <w:szCs w:val="20"/>
        </w:rPr>
        <w:t>追蹤管理</w:t>
      </w:r>
      <w:r w:rsidR="005327DD">
        <w:rPr>
          <w:rFonts w:ascii="標楷體" w:eastAsia="標楷體" w:hAnsi="標楷體"/>
          <w:sz w:val="28"/>
          <w:szCs w:val="20"/>
        </w:rPr>
        <w:t>（</w:t>
      </w:r>
      <w:r>
        <w:rPr>
          <w:rFonts w:ascii="標楷體" w:eastAsia="標楷體" w:hAnsi="標楷體"/>
          <w:sz w:val="28"/>
          <w:szCs w:val="20"/>
        </w:rPr>
        <w:t>身分證號、病人姓名、病人生日等欄位會自動帶出</w:t>
      </w:r>
      <w:r w:rsidR="005327DD">
        <w:rPr>
          <w:rFonts w:ascii="標楷體" w:eastAsia="標楷體" w:hAnsi="標楷體"/>
          <w:sz w:val="28"/>
          <w:szCs w:val="20"/>
        </w:rPr>
        <w:t>）</w:t>
      </w:r>
    </w:p>
    <w:p w14:paraId="62A12B99" w14:textId="5B15B6C3" w:rsidR="00FB4ED1" w:rsidRDefault="00000000">
      <w:pPr>
        <w:spacing w:line="480" w:lineRule="exact"/>
        <w:ind w:left="560"/>
        <w:rPr>
          <w:rFonts w:ascii="標楷體" w:eastAsia="標楷體" w:hAnsi="標楷體"/>
          <w:sz w:val="28"/>
          <w:szCs w:val="20"/>
        </w:rPr>
      </w:pPr>
      <w:r>
        <w:rPr>
          <w:rFonts w:ascii="標楷體" w:eastAsia="標楷體" w:hAnsi="標楷體"/>
          <w:sz w:val="28"/>
          <w:szCs w:val="20"/>
        </w:rPr>
        <w:t xml:space="preserve"> 必填欄位</w:t>
      </w:r>
      <w:r w:rsidR="00380348">
        <w:rPr>
          <w:rFonts w:ascii="標楷體" w:eastAsia="標楷體" w:hAnsi="標楷體" w:hint="eastAsia"/>
          <w:sz w:val="28"/>
          <w:szCs w:val="20"/>
        </w:rPr>
        <w:t>：</w:t>
      </w:r>
    </w:p>
    <w:p w14:paraId="5C128630" w14:textId="77777777" w:rsidR="00FB4ED1" w:rsidRDefault="00000000">
      <w:pPr>
        <w:numPr>
          <w:ilvl w:val="0"/>
          <w:numId w:val="16"/>
        </w:numPr>
        <w:spacing w:line="480" w:lineRule="exact"/>
        <w:textAlignment w:val="auto"/>
        <w:rPr>
          <w:rFonts w:ascii="標楷體" w:eastAsia="標楷體" w:hAnsi="標楷體"/>
          <w:sz w:val="28"/>
          <w:szCs w:val="20"/>
        </w:rPr>
      </w:pPr>
      <w:r>
        <w:rPr>
          <w:rFonts w:ascii="標楷體" w:eastAsia="標楷體" w:hAnsi="標楷體"/>
          <w:sz w:val="28"/>
          <w:szCs w:val="20"/>
        </w:rPr>
        <w:t>追蹤管理日期</w:t>
      </w:r>
    </w:p>
    <w:p w14:paraId="4DB2D812" w14:textId="361EA493" w:rsidR="00FB4ED1" w:rsidRDefault="00000000">
      <w:pPr>
        <w:numPr>
          <w:ilvl w:val="0"/>
          <w:numId w:val="16"/>
        </w:numPr>
        <w:spacing w:line="480" w:lineRule="exact"/>
        <w:textAlignment w:val="auto"/>
      </w:pPr>
      <w:r>
        <w:rPr>
          <w:rFonts w:ascii="標楷體" w:eastAsia="標楷體" w:hAnsi="標楷體"/>
          <w:sz w:val="28"/>
          <w:szCs w:val="20"/>
        </w:rPr>
        <w:t>Blood檢驗</w:t>
      </w:r>
      <w:r w:rsidR="00D34011">
        <w:rPr>
          <w:rFonts w:ascii="標楷體" w:eastAsia="標楷體" w:hAnsi="標楷體" w:hint="eastAsia"/>
          <w:sz w:val="28"/>
          <w:szCs w:val="20"/>
        </w:rPr>
        <w:t>：</w:t>
      </w:r>
      <w:r>
        <w:rPr>
          <w:rFonts w:ascii="標楷體" w:eastAsia="標楷體" w:hAnsi="標楷體"/>
          <w:sz w:val="28"/>
          <w:szCs w:val="20"/>
        </w:rPr>
        <w:t>GOT、GPT、</w:t>
      </w:r>
      <w:r>
        <w:rPr>
          <w:rFonts w:ascii="標楷體" w:eastAsia="標楷體" w:hAnsi="標楷體" w:cs="標楷體"/>
          <w:kern w:val="0"/>
          <w:sz w:val="28"/>
          <w:szCs w:val="28"/>
        </w:rPr>
        <w:t>AFP</w:t>
      </w:r>
      <w:r>
        <w:rPr>
          <w:rFonts w:ascii="標楷體" w:eastAsia="標楷體" w:hAnsi="標楷體"/>
          <w:sz w:val="28"/>
          <w:szCs w:val="20"/>
        </w:rPr>
        <w:t>檢查結果</w:t>
      </w:r>
    </w:p>
    <w:p w14:paraId="6118154F" w14:textId="6C70412A" w:rsidR="00FB4ED1" w:rsidRDefault="00000000">
      <w:pPr>
        <w:numPr>
          <w:ilvl w:val="0"/>
          <w:numId w:val="16"/>
        </w:numPr>
        <w:spacing w:line="480" w:lineRule="exact"/>
        <w:textAlignment w:val="auto"/>
      </w:pPr>
      <w:r>
        <w:rPr>
          <w:rFonts w:ascii="標楷體" w:eastAsia="標楷體" w:hAnsi="標楷體"/>
          <w:sz w:val="28"/>
          <w:szCs w:val="20"/>
        </w:rPr>
        <w:t>腹部超音波檢查結果，追蹤管理期間執行CT、MRI可取代執行腹部超音波檢查，並可參用23週以內之院外CT、MRI或腹部超音波檢查結果</w:t>
      </w:r>
      <w:r w:rsidR="003070E6">
        <w:rPr>
          <w:rFonts w:ascii="標楷體" w:eastAsia="標楷體" w:hAnsi="標楷體" w:hint="eastAsia"/>
          <w:sz w:val="28"/>
          <w:szCs w:val="20"/>
        </w:rPr>
        <w:t>。</w:t>
      </w:r>
    </w:p>
    <w:p w14:paraId="73F671AE" w14:textId="77777777" w:rsidR="00FB4ED1" w:rsidRDefault="00FB4ED1">
      <w:pPr>
        <w:spacing w:line="480" w:lineRule="exact"/>
        <w:rPr>
          <w:rFonts w:ascii="標楷體" w:eastAsia="標楷體" w:hAnsi="標楷體"/>
          <w:sz w:val="28"/>
          <w:szCs w:val="20"/>
        </w:rPr>
      </w:pPr>
    </w:p>
    <w:p w14:paraId="50741553" w14:textId="62B6693A" w:rsidR="00FB4ED1" w:rsidRDefault="00000000">
      <w:pPr>
        <w:pStyle w:val="a4"/>
        <w:numPr>
          <w:ilvl w:val="0"/>
          <w:numId w:val="14"/>
        </w:numPr>
        <w:spacing w:line="480" w:lineRule="exact"/>
        <w:textAlignment w:val="auto"/>
      </w:pPr>
      <w:r>
        <w:rPr>
          <w:rFonts w:ascii="標楷體" w:eastAsia="標楷體" w:hAnsi="標楷體"/>
          <w:sz w:val="28"/>
          <w:szCs w:val="20"/>
        </w:rPr>
        <w:t>肝癌早期發現個案</w:t>
      </w:r>
      <w:r w:rsidR="005327DD">
        <w:rPr>
          <w:rFonts w:ascii="標楷體" w:eastAsia="標楷體" w:hAnsi="標楷體"/>
          <w:sz w:val="28"/>
          <w:szCs w:val="20"/>
        </w:rPr>
        <w:t>（</w:t>
      </w:r>
      <w:r>
        <w:rPr>
          <w:rFonts w:ascii="標楷體" w:eastAsia="標楷體" w:hAnsi="標楷體"/>
          <w:sz w:val="28"/>
          <w:szCs w:val="20"/>
        </w:rPr>
        <w:t>身分證號、病人姓名、病人生日等欄位會自動帶出</w:t>
      </w:r>
      <w:r w:rsidR="005327DD">
        <w:rPr>
          <w:rFonts w:ascii="標楷體" w:eastAsia="標楷體" w:hAnsi="標楷體"/>
          <w:sz w:val="28"/>
          <w:szCs w:val="20"/>
        </w:rPr>
        <w:t>）</w:t>
      </w:r>
    </w:p>
    <w:p w14:paraId="1062E766" w14:textId="62B47F74" w:rsidR="00FB4ED1" w:rsidRDefault="00000000">
      <w:pPr>
        <w:spacing w:line="480" w:lineRule="exact"/>
        <w:ind w:left="560"/>
        <w:rPr>
          <w:rFonts w:ascii="標楷體" w:eastAsia="標楷體" w:hAnsi="標楷體"/>
          <w:sz w:val="28"/>
          <w:szCs w:val="20"/>
        </w:rPr>
      </w:pPr>
      <w:r>
        <w:rPr>
          <w:rFonts w:ascii="標楷體" w:eastAsia="標楷體" w:hAnsi="標楷體"/>
          <w:sz w:val="28"/>
          <w:szCs w:val="20"/>
        </w:rPr>
        <w:t xml:space="preserve"> 必填欄位</w:t>
      </w:r>
      <w:r w:rsidR="00380348">
        <w:rPr>
          <w:rFonts w:ascii="標楷體" w:eastAsia="標楷體" w:hAnsi="標楷體" w:hint="eastAsia"/>
          <w:sz w:val="28"/>
          <w:szCs w:val="20"/>
        </w:rPr>
        <w:t>：</w:t>
      </w:r>
    </w:p>
    <w:p w14:paraId="3D53EA27" w14:textId="77777777" w:rsidR="00FB4ED1" w:rsidRDefault="00000000">
      <w:pPr>
        <w:numPr>
          <w:ilvl w:val="0"/>
          <w:numId w:val="17"/>
        </w:numPr>
        <w:spacing w:line="480" w:lineRule="exact"/>
        <w:textAlignment w:val="auto"/>
        <w:rPr>
          <w:rFonts w:ascii="標楷體" w:eastAsia="標楷體" w:hAnsi="標楷體"/>
          <w:sz w:val="28"/>
          <w:szCs w:val="20"/>
        </w:rPr>
      </w:pPr>
      <w:r>
        <w:rPr>
          <w:rFonts w:ascii="標楷體" w:eastAsia="標楷體" w:hAnsi="標楷體"/>
          <w:sz w:val="28"/>
          <w:szCs w:val="20"/>
        </w:rPr>
        <w:t>篩檢異常日期</w:t>
      </w:r>
    </w:p>
    <w:p w14:paraId="574AB98D" w14:textId="77777777" w:rsidR="00FB4ED1" w:rsidRDefault="00000000">
      <w:pPr>
        <w:numPr>
          <w:ilvl w:val="0"/>
          <w:numId w:val="17"/>
        </w:numPr>
        <w:spacing w:line="480" w:lineRule="exact"/>
        <w:textAlignment w:val="auto"/>
        <w:rPr>
          <w:rFonts w:ascii="標楷體" w:eastAsia="標楷體" w:hAnsi="標楷體"/>
          <w:sz w:val="28"/>
          <w:szCs w:val="20"/>
        </w:rPr>
      </w:pPr>
      <w:r>
        <w:rPr>
          <w:rFonts w:ascii="標楷體" w:eastAsia="標楷體" w:hAnsi="標楷體"/>
          <w:sz w:val="28"/>
          <w:szCs w:val="20"/>
        </w:rPr>
        <w:t>確診肝癌日期</w:t>
      </w:r>
    </w:p>
    <w:p w14:paraId="50F97EA5" w14:textId="77777777" w:rsidR="00FB4ED1" w:rsidRDefault="00FB4ED1"/>
    <w:sectPr w:rsidR="00FB4ED1">
      <w:footerReference w:type="default" r:id="rId7"/>
      <w:pgSz w:w="11906" w:h="16838"/>
      <w:pgMar w:top="1134" w:right="1274" w:bottom="1276" w:left="1134" w:header="720" w:footer="720" w:gutter="0"/>
      <w:cols w:space="720"/>
      <w:docGrid w:type="line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F9499" w14:textId="77777777" w:rsidR="002010FD" w:rsidRDefault="002010FD">
      <w:r>
        <w:separator/>
      </w:r>
    </w:p>
  </w:endnote>
  <w:endnote w:type="continuationSeparator" w:id="0">
    <w:p w14:paraId="2F71FE4D" w14:textId="77777777" w:rsidR="002010FD" w:rsidRDefault="0020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全真楷書">
    <w:charset w:val="00"/>
    <w:family w:val="modern"/>
    <w:pitch w:val="fixed"/>
  </w:font>
  <w:font w:name="DFKaiShu-SB-Estd-BF">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roman"/>
    <w:pitch w:val="default"/>
  </w:font>
  <w:font w:name="Aptos">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56C59" w14:textId="77777777" w:rsidR="00F63DFC" w:rsidRDefault="00000000">
    <w:pPr>
      <w:pStyle w:val="ab"/>
      <w:jc w:val="center"/>
    </w:pPr>
    <w:r>
      <w:rPr>
        <w:lang w:val="zh-TW"/>
      </w:rPr>
      <w:fldChar w:fldCharType="begin"/>
    </w:r>
    <w:r>
      <w:rPr>
        <w:lang w:val="zh-TW"/>
      </w:rPr>
      <w:instrText xml:space="preserve"> PAGE </w:instrText>
    </w:r>
    <w:r>
      <w:rPr>
        <w:lang w:val="zh-TW"/>
      </w:rPr>
      <w:fldChar w:fldCharType="separate"/>
    </w:r>
    <w:r>
      <w:rPr>
        <w:lang w:val="zh-TW"/>
      </w:rPr>
      <w:t>16</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AF239" w14:textId="77777777" w:rsidR="002010FD" w:rsidRDefault="002010FD">
      <w:r>
        <w:rPr>
          <w:color w:val="000000"/>
        </w:rPr>
        <w:separator/>
      </w:r>
    </w:p>
  </w:footnote>
  <w:footnote w:type="continuationSeparator" w:id="0">
    <w:p w14:paraId="49A2FD7E" w14:textId="77777777" w:rsidR="002010FD" w:rsidRDefault="002010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70AAC"/>
    <w:multiLevelType w:val="multilevel"/>
    <w:tmpl w:val="318C3C0A"/>
    <w:lvl w:ilvl="0">
      <w:start w:val="1"/>
      <w:numFmt w:val="taiwaneseCountingThousand"/>
      <w:suff w:val="nothing"/>
      <w:lvlText w:val="（%1）"/>
      <w:lvlJc w:val="left"/>
      <w:pPr>
        <w:ind w:left="1412" w:hanging="1128"/>
      </w:pPr>
    </w:lvl>
    <w:lvl w:ilvl="1">
      <w:start w:val="1"/>
      <w:numFmt w:val="decimal"/>
      <w:lvlText w:val="."/>
      <w:lvlJc w:val="left"/>
      <w:pPr>
        <w:ind w:left="1397" w:hanging="360"/>
      </w:pPr>
    </w:lvl>
    <w:lvl w:ilvl="2">
      <w:start w:val="1"/>
      <w:numFmt w:val="decimal"/>
      <w:lvlText w:val="（）"/>
      <w:lvlJc w:val="left"/>
      <w:pPr>
        <w:ind w:left="2237" w:hanging="720"/>
      </w:pPr>
    </w:lvl>
    <w:lvl w:ilvl="3">
      <w:start w:val="1"/>
      <w:numFmt w:val="decimal"/>
      <w:lvlText w:val="（）"/>
      <w:lvlJc w:val="left"/>
      <w:pPr>
        <w:ind w:left="2717" w:hanging="720"/>
      </w:pPr>
    </w:lvl>
    <w:lvl w:ilvl="4">
      <w:start w:val="1"/>
      <w:numFmt w:val="ideographTraditional"/>
      <w:lvlText w:val="、"/>
      <w:lvlJc w:val="left"/>
      <w:pPr>
        <w:ind w:left="2957" w:hanging="480"/>
      </w:pPr>
    </w:lvl>
    <w:lvl w:ilvl="5">
      <w:start w:val="1"/>
      <w:numFmt w:val="lowerRoman"/>
      <w:lvlText w:val="."/>
      <w:lvlJc w:val="right"/>
      <w:pPr>
        <w:ind w:left="3437" w:hanging="480"/>
      </w:pPr>
    </w:lvl>
    <w:lvl w:ilvl="6">
      <w:start w:val="1"/>
      <w:numFmt w:val="decimal"/>
      <w:lvlText w:val="."/>
      <w:lvlJc w:val="left"/>
      <w:pPr>
        <w:ind w:left="3917" w:hanging="480"/>
      </w:pPr>
    </w:lvl>
    <w:lvl w:ilvl="7">
      <w:start w:val="1"/>
      <w:numFmt w:val="ideographTraditional"/>
      <w:lvlText w:val="、"/>
      <w:lvlJc w:val="left"/>
      <w:pPr>
        <w:ind w:left="4397" w:hanging="480"/>
      </w:pPr>
    </w:lvl>
    <w:lvl w:ilvl="8">
      <w:start w:val="1"/>
      <w:numFmt w:val="lowerRoman"/>
      <w:lvlText w:val="."/>
      <w:lvlJc w:val="right"/>
      <w:pPr>
        <w:ind w:left="4877" w:hanging="480"/>
      </w:pPr>
    </w:lvl>
  </w:abstractNum>
  <w:abstractNum w:abstractNumId="1" w15:restartNumberingAfterBreak="0">
    <w:nsid w:val="07D10D68"/>
    <w:multiLevelType w:val="hybridMultilevel"/>
    <w:tmpl w:val="00226D02"/>
    <w:lvl w:ilvl="0" w:tplc="0EAC1E92">
      <w:start w:val="1"/>
      <w:numFmt w:val="taiwaneseCountingThousand"/>
      <w:suff w:val="nothing"/>
      <w:lvlText w:val="%1、"/>
      <w:lvlJc w:val="left"/>
      <w:pPr>
        <w:ind w:left="822" w:hanging="539"/>
      </w:pPr>
      <w:rPr>
        <w:rFonts w:hint="eastAsia"/>
      </w:rPr>
    </w:lvl>
    <w:lvl w:ilvl="1" w:tplc="04090019">
      <w:start w:val="1"/>
      <w:numFmt w:val="ideographTraditional"/>
      <w:lvlText w:val="%2、"/>
      <w:lvlJc w:val="left"/>
      <w:pPr>
        <w:ind w:left="1525" w:hanging="480"/>
      </w:pPr>
    </w:lvl>
    <w:lvl w:ilvl="2" w:tplc="0409001B" w:tentative="1">
      <w:start w:val="1"/>
      <w:numFmt w:val="lowerRoman"/>
      <w:lvlText w:val="%3."/>
      <w:lvlJc w:val="right"/>
      <w:pPr>
        <w:ind w:left="2005" w:hanging="480"/>
      </w:pPr>
    </w:lvl>
    <w:lvl w:ilvl="3" w:tplc="0409000F" w:tentative="1">
      <w:start w:val="1"/>
      <w:numFmt w:val="decimal"/>
      <w:lvlText w:val="%4."/>
      <w:lvlJc w:val="left"/>
      <w:pPr>
        <w:ind w:left="2485" w:hanging="480"/>
      </w:pPr>
    </w:lvl>
    <w:lvl w:ilvl="4" w:tplc="04090019" w:tentative="1">
      <w:start w:val="1"/>
      <w:numFmt w:val="ideographTraditional"/>
      <w:lvlText w:val="%5、"/>
      <w:lvlJc w:val="left"/>
      <w:pPr>
        <w:ind w:left="2965" w:hanging="480"/>
      </w:pPr>
    </w:lvl>
    <w:lvl w:ilvl="5" w:tplc="0409001B" w:tentative="1">
      <w:start w:val="1"/>
      <w:numFmt w:val="lowerRoman"/>
      <w:lvlText w:val="%6."/>
      <w:lvlJc w:val="right"/>
      <w:pPr>
        <w:ind w:left="3445" w:hanging="480"/>
      </w:pPr>
    </w:lvl>
    <w:lvl w:ilvl="6" w:tplc="0409000F" w:tentative="1">
      <w:start w:val="1"/>
      <w:numFmt w:val="decimal"/>
      <w:lvlText w:val="%7."/>
      <w:lvlJc w:val="left"/>
      <w:pPr>
        <w:ind w:left="3925" w:hanging="480"/>
      </w:pPr>
    </w:lvl>
    <w:lvl w:ilvl="7" w:tplc="04090019" w:tentative="1">
      <w:start w:val="1"/>
      <w:numFmt w:val="ideographTraditional"/>
      <w:lvlText w:val="%8、"/>
      <w:lvlJc w:val="left"/>
      <w:pPr>
        <w:ind w:left="4405" w:hanging="480"/>
      </w:pPr>
    </w:lvl>
    <w:lvl w:ilvl="8" w:tplc="0409001B" w:tentative="1">
      <w:start w:val="1"/>
      <w:numFmt w:val="lowerRoman"/>
      <w:lvlText w:val="%9."/>
      <w:lvlJc w:val="right"/>
      <w:pPr>
        <w:ind w:left="4885" w:hanging="480"/>
      </w:pPr>
    </w:lvl>
  </w:abstractNum>
  <w:abstractNum w:abstractNumId="2" w15:restartNumberingAfterBreak="0">
    <w:nsid w:val="0D5D64C7"/>
    <w:multiLevelType w:val="multilevel"/>
    <w:tmpl w:val="C178925C"/>
    <w:lvl w:ilvl="0">
      <w:start w:val="1"/>
      <w:numFmt w:val="decimal"/>
      <w:lvlText w:val="%1."/>
      <w:lvlJc w:val="left"/>
      <w:pPr>
        <w:ind w:left="1330" w:hanging="480"/>
      </w:pPr>
      <w:rPr>
        <w:rFonts w:ascii="標楷體" w:eastAsia="標楷體" w:hAnsi="標楷體"/>
        <w:color w:val="auto"/>
        <w:sz w:val="28"/>
        <w:szCs w:val="28"/>
      </w:rPr>
    </w:lvl>
    <w:lvl w:ilvl="1">
      <w:start w:val="1"/>
      <w:numFmt w:val="ideographTraditional"/>
      <w:lvlText w:val="、"/>
      <w:lvlJc w:val="left"/>
      <w:pPr>
        <w:ind w:left="1810" w:hanging="480"/>
      </w:pPr>
    </w:lvl>
    <w:lvl w:ilvl="2">
      <w:start w:val="1"/>
      <w:numFmt w:val="lowerRoman"/>
      <w:lvlText w:val="."/>
      <w:lvlJc w:val="right"/>
      <w:pPr>
        <w:ind w:left="2290" w:hanging="480"/>
      </w:pPr>
    </w:lvl>
    <w:lvl w:ilvl="3">
      <w:start w:val="1"/>
      <w:numFmt w:val="decimal"/>
      <w:lvlText w:val="."/>
      <w:lvlJc w:val="left"/>
      <w:pPr>
        <w:ind w:left="2770" w:hanging="480"/>
      </w:pPr>
    </w:lvl>
    <w:lvl w:ilvl="4">
      <w:start w:val="1"/>
      <w:numFmt w:val="ideographTraditional"/>
      <w:lvlText w:val="、"/>
      <w:lvlJc w:val="left"/>
      <w:pPr>
        <w:ind w:left="3250" w:hanging="480"/>
      </w:pPr>
    </w:lvl>
    <w:lvl w:ilvl="5">
      <w:start w:val="1"/>
      <w:numFmt w:val="lowerRoman"/>
      <w:lvlText w:val="."/>
      <w:lvlJc w:val="right"/>
      <w:pPr>
        <w:ind w:left="3730" w:hanging="480"/>
      </w:pPr>
    </w:lvl>
    <w:lvl w:ilvl="6">
      <w:start w:val="1"/>
      <w:numFmt w:val="decimal"/>
      <w:lvlText w:val="."/>
      <w:lvlJc w:val="left"/>
      <w:pPr>
        <w:ind w:left="4210" w:hanging="480"/>
      </w:pPr>
    </w:lvl>
    <w:lvl w:ilvl="7">
      <w:start w:val="1"/>
      <w:numFmt w:val="ideographTraditional"/>
      <w:lvlText w:val="、"/>
      <w:lvlJc w:val="left"/>
      <w:pPr>
        <w:ind w:left="4690" w:hanging="480"/>
      </w:pPr>
    </w:lvl>
    <w:lvl w:ilvl="8">
      <w:start w:val="1"/>
      <w:numFmt w:val="lowerRoman"/>
      <w:lvlText w:val="."/>
      <w:lvlJc w:val="right"/>
      <w:pPr>
        <w:ind w:left="5170" w:hanging="480"/>
      </w:pPr>
    </w:lvl>
  </w:abstractNum>
  <w:abstractNum w:abstractNumId="3" w15:restartNumberingAfterBreak="0">
    <w:nsid w:val="0D6458C6"/>
    <w:multiLevelType w:val="hybridMultilevel"/>
    <w:tmpl w:val="09348BDA"/>
    <w:lvl w:ilvl="0" w:tplc="F7C015B4">
      <w:start w:val="1"/>
      <w:numFmt w:val="decimal"/>
      <w:suff w:val="nothing"/>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4" w15:restartNumberingAfterBreak="0">
    <w:nsid w:val="0F8D3C1C"/>
    <w:multiLevelType w:val="hybridMultilevel"/>
    <w:tmpl w:val="8E48FFCC"/>
    <w:lvl w:ilvl="0" w:tplc="EEA00866">
      <w:start w:val="1"/>
      <w:numFmt w:val="ideographLegalTraditional"/>
      <w:lvlText w:val="%1、"/>
      <w:lvlJc w:val="left"/>
      <w:pPr>
        <w:ind w:left="570" w:hanging="570"/>
      </w:pPr>
      <w:rPr>
        <w:rFonts w:ascii="標楷體" w:eastAsia="標楷體" w:hAnsi="標楷體"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CE5087"/>
    <w:multiLevelType w:val="hybridMultilevel"/>
    <w:tmpl w:val="C5247980"/>
    <w:lvl w:ilvl="0" w:tplc="C4D82DE8">
      <w:start w:val="1"/>
      <w:numFmt w:val="decimal"/>
      <w:suff w:val="nothing"/>
      <w:lvlText w:val="%1."/>
      <w:lvlJc w:val="left"/>
      <w:pPr>
        <w:ind w:left="1330" w:hanging="480"/>
      </w:pPr>
      <w:rPr>
        <w:rFonts w:ascii="標楷體" w:eastAsia="標楷體" w:hAnsi="標楷體" w:hint="eastAsia"/>
        <w:sz w:val="28"/>
        <w:szCs w:val="24"/>
      </w:rPr>
    </w:lvl>
    <w:lvl w:ilvl="1" w:tplc="FFFFFFFF" w:tentative="1">
      <w:start w:val="1"/>
      <w:numFmt w:val="ideographTraditional"/>
      <w:lvlText w:val="%2、"/>
      <w:lvlJc w:val="left"/>
      <w:pPr>
        <w:ind w:left="1810" w:hanging="480"/>
      </w:pPr>
    </w:lvl>
    <w:lvl w:ilvl="2" w:tplc="FFFFFFFF" w:tentative="1">
      <w:start w:val="1"/>
      <w:numFmt w:val="lowerRoman"/>
      <w:lvlText w:val="%3."/>
      <w:lvlJc w:val="right"/>
      <w:pPr>
        <w:ind w:left="2290" w:hanging="480"/>
      </w:pPr>
    </w:lvl>
    <w:lvl w:ilvl="3" w:tplc="FFFFFFFF" w:tentative="1">
      <w:start w:val="1"/>
      <w:numFmt w:val="decimal"/>
      <w:lvlText w:val="%4."/>
      <w:lvlJc w:val="left"/>
      <w:pPr>
        <w:ind w:left="2770" w:hanging="480"/>
      </w:pPr>
    </w:lvl>
    <w:lvl w:ilvl="4" w:tplc="FFFFFFFF" w:tentative="1">
      <w:start w:val="1"/>
      <w:numFmt w:val="ideographTraditional"/>
      <w:lvlText w:val="%5、"/>
      <w:lvlJc w:val="left"/>
      <w:pPr>
        <w:ind w:left="3250" w:hanging="480"/>
      </w:pPr>
    </w:lvl>
    <w:lvl w:ilvl="5" w:tplc="FFFFFFFF" w:tentative="1">
      <w:start w:val="1"/>
      <w:numFmt w:val="lowerRoman"/>
      <w:lvlText w:val="%6."/>
      <w:lvlJc w:val="right"/>
      <w:pPr>
        <w:ind w:left="3730" w:hanging="480"/>
      </w:pPr>
    </w:lvl>
    <w:lvl w:ilvl="6" w:tplc="FFFFFFFF" w:tentative="1">
      <w:start w:val="1"/>
      <w:numFmt w:val="decimal"/>
      <w:lvlText w:val="%7."/>
      <w:lvlJc w:val="left"/>
      <w:pPr>
        <w:ind w:left="4210" w:hanging="480"/>
      </w:pPr>
    </w:lvl>
    <w:lvl w:ilvl="7" w:tplc="FFFFFFFF" w:tentative="1">
      <w:start w:val="1"/>
      <w:numFmt w:val="ideographTraditional"/>
      <w:lvlText w:val="%8、"/>
      <w:lvlJc w:val="left"/>
      <w:pPr>
        <w:ind w:left="4690" w:hanging="480"/>
      </w:pPr>
    </w:lvl>
    <w:lvl w:ilvl="8" w:tplc="FFFFFFFF" w:tentative="1">
      <w:start w:val="1"/>
      <w:numFmt w:val="lowerRoman"/>
      <w:lvlText w:val="%9."/>
      <w:lvlJc w:val="right"/>
      <w:pPr>
        <w:ind w:left="5170" w:hanging="480"/>
      </w:pPr>
    </w:lvl>
  </w:abstractNum>
  <w:abstractNum w:abstractNumId="6" w15:restartNumberingAfterBreak="0">
    <w:nsid w:val="13085C28"/>
    <w:multiLevelType w:val="hybridMultilevel"/>
    <w:tmpl w:val="43600B9E"/>
    <w:lvl w:ilvl="0" w:tplc="BBB213DE">
      <w:start w:val="1"/>
      <w:numFmt w:val="decimal"/>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7" w15:restartNumberingAfterBreak="0">
    <w:nsid w:val="186B7910"/>
    <w:multiLevelType w:val="hybridMultilevel"/>
    <w:tmpl w:val="14B253D6"/>
    <w:lvl w:ilvl="0" w:tplc="F942F2AA">
      <w:start w:val="1"/>
      <w:numFmt w:val="taiwaneseCountingThousand"/>
      <w:lvlText w:val="%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8" w15:restartNumberingAfterBreak="0">
    <w:nsid w:val="18D563AD"/>
    <w:multiLevelType w:val="hybridMultilevel"/>
    <w:tmpl w:val="BE1A9C40"/>
    <w:lvl w:ilvl="0" w:tplc="B0788A5C">
      <w:start w:val="1"/>
      <w:numFmt w:val="decimal"/>
      <w:suff w:val="nothing"/>
      <w:lvlText w:val="%1."/>
      <w:lvlJc w:val="left"/>
      <w:pPr>
        <w:ind w:left="1330"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9" w15:restartNumberingAfterBreak="0">
    <w:nsid w:val="19760A6A"/>
    <w:multiLevelType w:val="multilevel"/>
    <w:tmpl w:val="65B08370"/>
    <w:lvl w:ilvl="0">
      <w:start w:val="1"/>
      <w:numFmt w:val="decimal"/>
      <w:lvlText w:val="%1."/>
      <w:lvlJc w:val="left"/>
      <w:pPr>
        <w:ind w:left="1330" w:hanging="480"/>
      </w:pPr>
      <w:rPr>
        <w:rFonts w:ascii="標楷體" w:eastAsia="標楷體" w:hAnsi="標楷體"/>
        <w:color w:val="auto"/>
        <w:sz w:val="28"/>
        <w:szCs w:val="28"/>
      </w:rPr>
    </w:lvl>
    <w:lvl w:ilvl="1">
      <w:start w:val="1"/>
      <w:numFmt w:val="ideographTraditional"/>
      <w:lvlText w:val="、"/>
      <w:lvlJc w:val="left"/>
      <w:pPr>
        <w:ind w:left="1810" w:hanging="480"/>
      </w:pPr>
    </w:lvl>
    <w:lvl w:ilvl="2">
      <w:start w:val="1"/>
      <w:numFmt w:val="lowerRoman"/>
      <w:lvlText w:val="."/>
      <w:lvlJc w:val="right"/>
      <w:pPr>
        <w:ind w:left="2290" w:hanging="480"/>
      </w:pPr>
    </w:lvl>
    <w:lvl w:ilvl="3">
      <w:start w:val="1"/>
      <w:numFmt w:val="decimal"/>
      <w:lvlText w:val="."/>
      <w:lvlJc w:val="left"/>
      <w:pPr>
        <w:ind w:left="2770" w:hanging="480"/>
      </w:pPr>
    </w:lvl>
    <w:lvl w:ilvl="4">
      <w:start w:val="1"/>
      <w:numFmt w:val="ideographTraditional"/>
      <w:lvlText w:val="、"/>
      <w:lvlJc w:val="left"/>
      <w:pPr>
        <w:ind w:left="3250" w:hanging="480"/>
      </w:pPr>
    </w:lvl>
    <w:lvl w:ilvl="5">
      <w:start w:val="1"/>
      <w:numFmt w:val="lowerRoman"/>
      <w:lvlText w:val="."/>
      <w:lvlJc w:val="right"/>
      <w:pPr>
        <w:ind w:left="3730" w:hanging="480"/>
      </w:pPr>
    </w:lvl>
    <w:lvl w:ilvl="6">
      <w:start w:val="1"/>
      <w:numFmt w:val="decimal"/>
      <w:lvlText w:val="."/>
      <w:lvlJc w:val="left"/>
      <w:pPr>
        <w:ind w:left="4210" w:hanging="480"/>
      </w:pPr>
    </w:lvl>
    <w:lvl w:ilvl="7">
      <w:start w:val="1"/>
      <w:numFmt w:val="ideographTraditional"/>
      <w:lvlText w:val="、"/>
      <w:lvlJc w:val="left"/>
      <w:pPr>
        <w:ind w:left="4690" w:hanging="480"/>
      </w:pPr>
    </w:lvl>
    <w:lvl w:ilvl="8">
      <w:start w:val="1"/>
      <w:numFmt w:val="lowerRoman"/>
      <w:lvlText w:val="."/>
      <w:lvlJc w:val="right"/>
      <w:pPr>
        <w:ind w:left="5170" w:hanging="480"/>
      </w:pPr>
    </w:lvl>
  </w:abstractNum>
  <w:abstractNum w:abstractNumId="10" w15:restartNumberingAfterBreak="0">
    <w:nsid w:val="29F71859"/>
    <w:multiLevelType w:val="multilevel"/>
    <w:tmpl w:val="ABD6E306"/>
    <w:lvl w:ilvl="0">
      <w:start w:val="1"/>
      <w:numFmt w:val="taiwaneseCountingThousand"/>
      <w:lvlText w:val="%1、"/>
      <w:lvlJc w:val="left"/>
      <w:pPr>
        <w:ind w:left="570" w:hanging="57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 w15:restartNumberingAfterBreak="0">
    <w:nsid w:val="2C740AAA"/>
    <w:multiLevelType w:val="hybridMultilevel"/>
    <w:tmpl w:val="51CC6B18"/>
    <w:lvl w:ilvl="0" w:tplc="13223F58">
      <w:start w:val="1"/>
      <w:numFmt w:val="bullet"/>
      <w:suff w:val="nothing"/>
      <w:lvlText w:val=""/>
      <w:lvlJc w:val="left"/>
      <w:pPr>
        <w:ind w:left="1472" w:hanging="480"/>
      </w:pPr>
      <w:rPr>
        <w:rFonts w:ascii="Wingdings" w:hAnsi="Wingdings" w:hint="default"/>
      </w:rPr>
    </w:lvl>
    <w:lvl w:ilvl="1" w:tplc="04090003" w:tentative="1">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12" w15:restartNumberingAfterBreak="0">
    <w:nsid w:val="2CC36935"/>
    <w:multiLevelType w:val="multilevel"/>
    <w:tmpl w:val="BB42516A"/>
    <w:lvl w:ilvl="0">
      <w:start w:val="1"/>
      <w:numFmt w:val="decimal"/>
      <w:lvlText w:val="%1."/>
      <w:lvlJc w:val="left"/>
      <w:pPr>
        <w:ind w:left="1330" w:hanging="480"/>
      </w:pPr>
      <w:rPr>
        <w:rFonts w:ascii="標楷體" w:eastAsia="標楷體" w:hAnsi="標楷體"/>
        <w:color w:val="auto"/>
        <w:sz w:val="28"/>
        <w:szCs w:val="28"/>
      </w:rPr>
    </w:lvl>
    <w:lvl w:ilvl="1">
      <w:start w:val="1"/>
      <w:numFmt w:val="ideographTraditional"/>
      <w:lvlText w:val="、"/>
      <w:lvlJc w:val="left"/>
      <w:pPr>
        <w:ind w:left="1810" w:hanging="480"/>
      </w:pPr>
    </w:lvl>
    <w:lvl w:ilvl="2">
      <w:start w:val="1"/>
      <w:numFmt w:val="lowerRoman"/>
      <w:lvlText w:val="."/>
      <w:lvlJc w:val="right"/>
      <w:pPr>
        <w:ind w:left="2290" w:hanging="480"/>
      </w:pPr>
    </w:lvl>
    <w:lvl w:ilvl="3">
      <w:start w:val="1"/>
      <w:numFmt w:val="decimal"/>
      <w:lvlText w:val="."/>
      <w:lvlJc w:val="left"/>
      <w:pPr>
        <w:ind w:left="2770" w:hanging="480"/>
      </w:pPr>
    </w:lvl>
    <w:lvl w:ilvl="4">
      <w:start w:val="1"/>
      <w:numFmt w:val="ideographTraditional"/>
      <w:lvlText w:val="、"/>
      <w:lvlJc w:val="left"/>
      <w:pPr>
        <w:ind w:left="3250" w:hanging="480"/>
      </w:pPr>
    </w:lvl>
    <w:lvl w:ilvl="5">
      <w:start w:val="1"/>
      <w:numFmt w:val="lowerRoman"/>
      <w:lvlText w:val="."/>
      <w:lvlJc w:val="right"/>
      <w:pPr>
        <w:ind w:left="3730" w:hanging="480"/>
      </w:pPr>
    </w:lvl>
    <w:lvl w:ilvl="6">
      <w:start w:val="1"/>
      <w:numFmt w:val="decimal"/>
      <w:lvlText w:val="."/>
      <w:lvlJc w:val="left"/>
      <w:pPr>
        <w:ind w:left="4210" w:hanging="480"/>
      </w:pPr>
    </w:lvl>
    <w:lvl w:ilvl="7">
      <w:start w:val="1"/>
      <w:numFmt w:val="ideographTraditional"/>
      <w:lvlText w:val="、"/>
      <w:lvlJc w:val="left"/>
      <w:pPr>
        <w:ind w:left="4690" w:hanging="480"/>
      </w:pPr>
    </w:lvl>
    <w:lvl w:ilvl="8">
      <w:start w:val="1"/>
      <w:numFmt w:val="lowerRoman"/>
      <w:lvlText w:val="."/>
      <w:lvlJc w:val="right"/>
      <w:pPr>
        <w:ind w:left="5170" w:hanging="480"/>
      </w:pPr>
    </w:lvl>
  </w:abstractNum>
  <w:abstractNum w:abstractNumId="13" w15:restartNumberingAfterBreak="0">
    <w:nsid w:val="3A99478E"/>
    <w:multiLevelType w:val="multilevel"/>
    <w:tmpl w:val="CB7A81E6"/>
    <w:lvl w:ilvl="0">
      <w:start w:val="1"/>
      <w:numFmt w:val="decimal"/>
      <w:lvlText w:val="%1."/>
      <w:lvlJc w:val="left"/>
      <w:pPr>
        <w:ind w:left="1330" w:hanging="480"/>
      </w:pPr>
      <w:rPr>
        <w:rFonts w:ascii="標楷體" w:eastAsia="標楷體" w:hAnsi="標楷體"/>
        <w:sz w:val="28"/>
        <w:szCs w:val="28"/>
      </w:rPr>
    </w:lvl>
    <w:lvl w:ilvl="1">
      <w:start w:val="1"/>
      <w:numFmt w:val="ideographTraditional"/>
      <w:lvlText w:val="、"/>
      <w:lvlJc w:val="left"/>
      <w:pPr>
        <w:ind w:left="1810" w:hanging="480"/>
      </w:pPr>
    </w:lvl>
    <w:lvl w:ilvl="2">
      <w:start w:val="1"/>
      <w:numFmt w:val="lowerRoman"/>
      <w:lvlText w:val="."/>
      <w:lvlJc w:val="right"/>
      <w:pPr>
        <w:ind w:left="2290" w:hanging="480"/>
      </w:pPr>
    </w:lvl>
    <w:lvl w:ilvl="3">
      <w:start w:val="1"/>
      <w:numFmt w:val="decimal"/>
      <w:lvlText w:val="."/>
      <w:lvlJc w:val="left"/>
      <w:pPr>
        <w:ind w:left="2770" w:hanging="480"/>
      </w:pPr>
    </w:lvl>
    <w:lvl w:ilvl="4">
      <w:start w:val="1"/>
      <w:numFmt w:val="ideographTraditional"/>
      <w:lvlText w:val="、"/>
      <w:lvlJc w:val="left"/>
      <w:pPr>
        <w:ind w:left="3250" w:hanging="480"/>
      </w:pPr>
    </w:lvl>
    <w:lvl w:ilvl="5">
      <w:start w:val="1"/>
      <w:numFmt w:val="lowerRoman"/>
      <w:lvlText w:val="."/>
      <w:lvlJc w:val="right"/>
      <w:pPr>
        <w:ind w:left="3730" w:hanging="480"/>
      </w:pPr>
    </w:lvl>
    <w:lvl w:ilvl="6">
      <w:start w:val="1"/>
      <w:numFmt w:val="decimal"/>
      <w:lvlText w:val="."/>
      <w:lvlJc w:val="left"/>
      <w:pPr>
        <w:ind w:left="4210" w:hanging="480"/>
      </w:pPr>
    </w:lvl>
    <w:lvl w:ilvl="7">
      <w:start w:val="1"/>
      <w:numFmt w:val="ideographTraditional"/>
      <w:lvlText w:val="、"/>
      <w:lvlJc w:val="left"/>
      <w:pPr>
        <w:ind w:left="4690" w:hanging="480"/>
      </w:pPr>
    </w:lvl>
    <w:lvl w:ilvl="8">
      <w:start w:val="1"/>
      <w:numFmt w:val="lowerRoman"/>
      <w:lvlText w:val="."/>
      <w:lvlJc w:val="right"/>
      <w:pPr>
        <w:ind w:left="5170" w:hanging="480"/>
      </w:pPr>
    </w:lvl>
  </w:abstractNum>
  <w:abstractNum w:abstractNumId="14" w15:restartNumberingAfterBreak="0">
    <w:nsid w:val="3EB97844"/>
    <w:multiLevelType w:val="hybridMultilevel"/>
    <w:tmpl w:val="33243218"/>
    <w:lvl w:ilvl="0" w:tplc="959C195E">
      <w:start w:val="1"/>
      <w:numFmt w:val="taiwaneseCountingThousand"/>
      <w:suff w:val="space"/>
      <w:lvlText w:val="(%1)"/>
      <w:lvlJc w:val="left"/>
      <w:pPr>
        <w:ind w:left="1049" w:hanging="624"/>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5" w15:restartNumberingAfterBreak="0">
    <w:nsid w:val="3FCD6D74"/>
    <w:multiLevelType w:val="multilevel"/>
    <w:tmpl w:val="60BA2CDA"/>
    <w:lvl w:ilvl="0">
      <w:start w:val="1"/>
      <w:numFmt w:val="decimal"/>
      <w:suff w:val="nothing"/>
      <w:lvlText w:val="%1."/>
      <w:lvlJc w:val="left"/>
      <w:pPr>
        <w:ind w:left="1134" w:hanging="284"/>
      </w:pPr>
      <w:rPr>
        <w:rFonts w:ascii="標楷體" w:eastAsia="標楷體" w:hAnsi="標楷體" w:hint="eastAsia"/>
        <w:color w:val="auto"/>
        <w:sz w:val="28"/>
        <w:szCs w:val="28"/>
      </w:rPr>
    </w:lvl>
    <w:lvl w:ilvl="1">
      <w:start w:val="1"/>
      <w:numFmt w:val="ideographTraditional"/>
      <w:lvlText w:val="、"/>
      <w:lvlJc w:val="left"/>
      <w:pPr>
        <w:ind w:left="1810" w:hanging="480"/>
      </w:pPr>
      <w:rPr>
        <w:rFonts w:hint="eastAsia"/>
      </w:rPr>
    </w:lvl>
    <w:lvl w:ilvl="2">
      <w:start w:val="1"/>
      <w:numFmt w:val="lowerRoman"/>
      <w:lvlText w:val="."/>
      <w:lvlJc w:val="right"/>
      <w:pPr>
        <w:ind w:left="2290" w:hanging="480"/>
      </w:pPr>
      <w:rPr>
        <w:rFonts w:hint="eastAsia"/>
      </w:rPr>
    </w:lvl>
    <w:lvl w:ilvl="3">
      <w:start w:val="1"/>
      <w:numFmt w:val="decimal"/>
      <w:lvlText w:val="."/>
      <w:lvlJc w:val="left"/>
      <w:pPr>
        <w:ind w:left="2770" w:hanging="480"/>
      </w:pPr>
      <w:rPr>
        <w:rFonts w:hint="eastAsia"/>
      </w:rPr>
    </w:lvl>
    <w:lvl w:ilvl="4">
      <w:start w:val="1"/>
      <w:numFmt w:val="ideographTraditional"/>
      <w:lvlText w:val="、"/>
      <w:lvlJc w:val="left"/>
      <w:pPr>
        <w:ind w:left="3250" w:hanging="480"/>
      </w:pPr>
      <w:rPr>
        <w:rFonts w:hint="eastAsia"/>
      </w:rPr>
    </w:lvl>
    <w:lvl w:ilvl="5">
      <w:start w:val="1"/>
      <w:numFmt w:val="lowerRoman"/>
      <w:lvlText w:val="."/>
      <w:lvlJc w:val="right"/>
      <w:pPr>
        <w:ind w:left="3730" w:hanging="480"/>
      </w:pPr>
      <w:rPr>
        <w:rFonts w:hint="eastAsia"/>
      </w:rPr>
    </w:lvl>
    <w:lvl w:ilvl="6">
      <w:start w:val="1"/>
      <w:numFmt w:val="decimal"/>
      <w:lvlText w:val="."/>
      <w:lvlJc w:val="left"/>
      <w:pPr>
        <w:ind w:left="4210" w:hanging="480"/>
      </w:pPr>
      <w:rPr>
        <w:rFonts w:hint="eastAsia"/>
      </w:rPr>
    </w:lvl>
    <w:lvl w:ilvl="7">
      <w:start w:val="1"/>
      <w:numFmt w:val="ideographTraditional"/>
      <w:lvlText w:val="、"/>
      <w:lvlJc w:val="left"/>
      <w:pPr>
        <w:ind w:left="4690" w:hanging="480"/>
      </w:pPr>
      <w:rPr>
        <w:rFonts w:hint="eastAsia"/>
      </w:rPr>
    </w:lvl>
    <w:lvl w:ilvl="8">
      <w:start w:val="1"/>
      <w:numFmt w:val="lowerRoman"/>
      <w:lvlText w:val="."/>
      <w:lvlJc w:val="right"/>
      <w:pPr>
        <w:ind w:left="5170" w:hanging="480"/>
      </w:pPr>
      <w:rPr>
        <w:rFonts w:hint="eastAsia"/>
      </w:rPr>
    </w:lvl>
  </w:abstractNum>
  <w:abstractNum w:abstractNumId="16" w15:restartNumberingAfterBreak="0">
    <w:nsid w:val="4144022A"/>
    <w:multiLevelType w:val="hybridMultilevel"/>
    <w:tmpl w:val="842C08F6"/>
    <w:lvl w:ilvl="0" w:tplc="1D9A289E">
      <w:start w:val="1"/>
      <w:numFmt w:val="decimal"/>
      <w:suff w:val="nothing"/>
      <w:lvlText w:val="%1."/>
      <w:lvlJc w:val="left"/>
      <w:pPr>
        <w:ind w:left="1330" w:hanging="480"/>
      </w:pPr>
      <w:rPr>
        <w:rFonts w:ascii="標楷體" w:eastAsia="標楷體" w:hAnsi="標楷體" w:hint="eastAsia"/>
        <w:sz w:val="28"/>
        <w:szCs w:val="24"/>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7" w15:restartNumberingAfterBreak="0">
    <w:nsid w:val="47CA585A"/>
    <w:multiLevelType w:val="multilevel"/>
    <w:tmpl w:val="9170F500"/>
    <w:lvl w:ilvl="0">
      <w:start w:val="1"/>
      <w:numFmt w:val="taiwaneseCountingThousand"/>
      <w:suff w:val="nothing"/>
      <w:lvlText w:val="（%1）"/>
      <w:lvlJc w:val="left"/>
      <w:pPr>
        <w:ind w:left="1412" w:hanging="855"/>
      </w:pPr>
    </w:lvl>
    <w:lvl w:ilvl="1">
      <w:start w:val="1"/>
      <w:numFmt w:val="decimal"/>
      <w:lvlText w:val="."/>
      <w:lvlJc w:val="left"/>
      <w:pPr>
        <w:ind w:left="1397" w:hanging="360"/>
      </w:pPr>
    </w:lvl>
    <w:lvl w:ilvl="2">
      <w:start w:val="1"/>
      <w:numFmt w:val="decimal"/>
      <w:lvlText w:val="（）"/>
      <w:lvlJc w:val="left"/>
      <w:pPr>
        <w:ind w:left="2237" w:hanging="720"/>
      </w:pPr>
    </w:lvl>
    <w:lvl w:ilvl="3">
      <w:start w:val="1"/>
      <w:numFmt w:val="decimal"/>
      <w:lvlText w:val="（）"/>
      <w:lvlJc w:val="left"/>
      <w:pPr>
        <w:ind w:left="2717" w:hanging="720"/>
      </w:pPr>
    </w:lvl>
    <w:lvl w:ilvl="4">
      <w:start w:val="1"/>
      <w:numFmt w:val="ideographTraditional"/>
      <w:lvlText w:val="、"/>
      <w:lvlJc w:val="left"/>
      <w:pPr>
        <w:ind w:left="2957" w:hanging="480"/>
      </w:pPr>
    </w:lvl>
    <w:lvl w:ilvl="5">
      <w:start w:val="1"/>
      <w:numFmt w:val="lowerRoman"/>
      <w:lvlText w:val="."/>
      <w:lvlJc w:val="right"/>
      <w:pPr>
        <w:ind w:left="3437" w:hanging="480"/>
      </w:pPr>
    </w:lvl>
    <w:lvl w:ilvl="6">
      <w:start w:val="1"/>
      <w:numFmt w:val="decimal"/>
      <w:lvlText w:val="."/>
      <w:lvlJc w:val="left"/>
      <w:pPr>
        <w:ind w:left="3917" w:hanging="480"/>
      </w:pPr>
    </w:lvl>
    <w:lvl w:ilvl="7">
      <w:start w:val="1"/>
      <w:numFmt w:val="ideographTraditional"/>
      <w:lvlText w:val="、"/>
      <w:lvlJc w:val="left"/>
      <w:pPr>
        <w:ind w:left="4397" w:hanging="480"/>
      </w:pPr>
    </w:lvl>
    <w:lvl w:ilvl="8">
      <w:start w:val="1"/>
      <w:numFmt w:val="lowerRoman"/>
      <w:lvlText w:val="."/>
      <w:lvlJc w:val="right"/>
      <w:pPr>
        <w:ind w:left="4877" w:hanging="480"/>
      </w:pPr>
    </w:lvl>
  </w:abstractNum>
  <w:abstractNum w:abstractNumId="18" w15:restartNumberingAfterBreak="0">
    <w:nsid w:val="4E1B3288"/>
    <w:multiLevelType w:val="hybridMultilevel"/>
    <w:tmpl w:val="43767C38"/>
    <w:lvl w:ilvl="0" w:tplc="D652B6BE">
      <w:start w:val="1"/>
      <w:numFmt w:val="decimal"/>
      <w:suff w:val="nothing"/>
      <w:lvlText w:val="%1."/>
      <w:lvlJc w:val="left"/>
      <w:pPr>
        <w:ind w:left="1134" w:hanging="284"/>
      </w:pPr>
      <w:rPr>
        <w:rFonts w:ascii="標楷體" w:eastAsia="標楷體" w:hAnsi="標楷體" w:hint="eastAsia"/>
        <w:sz w:val="28"/>
        <w:szCs w:val="24"/>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9" w15:restartNumberingAfterBreak="0">
    <w:nsid w:val="589337B6"/>
    <w:multiLevelType w:val="hybridMultilevel"/>
    <w:tmpl w:val="22FA5DEA"/>
    <w:lvl w:ilvl="0" w:tplc="7938D9E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9207265"/>
    <w:multiLevelType w:val="multilevel"/>
    <w:tmpl w:val="99F24DF4"/>
    <w:styleLink w:val="LFO2"/>
    <w:lvl w:ilvl="0">
      <w:start w:val="1"/>
      <w:numFmt w:val="taiwaneseCountingThousand"/>
      <w:pStyle w:val="a"/>
      <w:lvlText w:val="第%1部"/>
      <w:lvlJc w:val="left"/>
      <w:pPr>
        <w:ind w:left="482" w:hanging="482"/>
      </w:pPr>
      <w:rPr>
        <w:rFonts w:ascii="標楷體" w:eastAsia="標楷體" w:hAnsi="標楷體"/>
        <w:b w:val="0"/>
        <w:i w:val="0"/>
        <w:sz w:val="40"/>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1" w15:restartNumberingAfterBreak="0">
    <w:nsid w:val="5F160A32"/>
    <w:multiLevelType w:val="hybridMultilevel"/>
    <w:tmpl w:val="5AF6220A"/>
    <w:lvl w:ilvl="0" w:tplc="1B4A4C2E">
      <w:start w:val="1"/>
      <w:numFmt w:val="ideographLegalTraditional"/>
      <w:suff w:val="nothing"/>
      <w:lvlText w:val="%1、"/>
      <w:lvlJc w:val="left"/>
      <w:pPr>
        <w:ind w:left="539" w:hanging="539"/>
      </w:pPr>
      <w:rPr>
        <w:rFonts w:ascii="標楷體" w:eastAsia="標楷體" w:hAnsi="標楷體" w:hint="eastAsia"/>
        <w:sz w:val="28"/>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F2A0C38"/>
    <w:multiLevelType w:val="multilevel"/>
    <w:tmpl w:val="DC229E60"/>
    <w:lvl w:ilvl="0">
      <w:start w:val="1"/>
      <w:numFmt w:val="taiwaneseCountingThousand"/>
      <w:lvlText w:val="（%1）"/>
      <w:lvlJc w:val="left"/>
      <w:pPr>
        <w:ind w:left="1412" w:hanging="855"/>
      </w:pPr>
    </w:lvl>
    <w:lvl w:ilvl="1">
      <w:start w:val="1"/>
      <w:numFmt w:val="decimal"/>
      <w:lvlText w:val="."/>
      <w:lvlJc w:val="left"/>
      <w:pPr>
        <w:ind w:left="1397" w:hanging="360"/>
      </w:pPr>
    </w:lvl>
    <w:lvl w:ilvl="2">
      <w:start w:val="1"/>
      <w:numFmt w:val="decimal"/>
      <w:lvlText w:val="（）"/>
      <w:lvlJc w:val="left"/>
      <w:pPr>
        <w:ind w:left="2237" w:hanging="720"/>
      </w:pPr>
    </w:lvl>
    <w:lvl w:ilvl="3">
      <w:start w:val="1"/>
      <w:numFmt w:val="decimal"/>
      <w:lvlText w:val="（）"/>
      <w:lvlJc w:val="left"/>
      <w:pPr>
        <w:ind w:left="2717" w:hanging="720"/>
      </w:pPr>
    </w:lvl>
    <w:lvl w:ilvl="4">
      <w:start w:val="1"/>
      <w:numFmt w:val="ideographTraditional"/>
      <w:lvlText w:val="、"/>
      <w:lvlJc w:val="left"/>
      <w:pPr>
        <w:ind w:left="2957" w:hanging="480"/>
      </w:pPr>
    </w:lvl>
    <w:lvl w:ilvl="5">
      <w:start w:val="1"/>
      <w:numFmt w:val="lowerRoman"/>
      <w:lvlText w:val="."/>
      <w:lvlJc w:val="right"/>
      <w:pPr>
        <w:ind w:left="3437" w:hanging="480"/>
      </w:pPr>
    </w:lvl>
    <w:lvl w:ilvl="6">
      <w:start w:val="1"/>
      <w:numFmt w:val="decimal"/>
      <w:lvlText w:val="."/>
      <w:lvlJc w:val="left"/>
      <w:pPr>
        <w:ind w:left="3917" w:hanging="480"/>
      </w:pPr>
    </w:lvl>
    <w:lvl w:ilvl="7">
      <w:start w:val="1"/>
      <w:numFmt w:val="ideographTraditional"/>
      <w:lvlText w:val="、"/>
      <w:lvlJc w:val="left"/>
      <w:pPr>
        <w:ind w:left="4397" w:hanging="480"/>
      </w:pPr>
    </w:lvl>
    <w:lvl w:ilvl="8">
      <w:start w:val="1"/>
      <w:numFmt w:val="lowerRoman"/>
      <w:lvlText w:val="."/>
      <w:lvlJc w:val="right"/>
      <w:pPr>
        <w:ind w:left="4877" w:hanging="480"/>
      </w:pPr>
    </w:lvl>
  </w:abstractNum>
  <w:abstractNum w:abstractNumId="23" w15:restartNumberingAfterBreak="0">
    <w:nsid w:val="607A75D1"/>
    <w:multiLevelType w:val="hybridMultilevel"/>
    <w:tmpl w:val="3F9CB812"/>
    <w:lvl w:ilvl="0" w:tplc="2190DB0E">
      <w:start w:val="1"/>
      <w:numFmt w:val="taiwaneseCountingThousand"/>
      <w:suff w:val="nothing"/>
      <w:lvlText w:val="%1、"/>
      <w:lvlJc w:val="left"/>
      <w:pPr>
        <w:ind w:left="850" w:hanging="567"/>
      </w:pPr>
      <w:rPr>
        <w:rFonts w:hint="eastAsia"/>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4" w15:restartNumberingAfterBreak="0">
    <w:nsid w:val="62005660"/>
    <w:multiLevelType w:val="multilevel"/>
    <w:tmpl w:val="D214CB78"/>
    <w:lvl w:ilvl="0">
      <w:start w:val="1"/>
      <w:numFmt w:val="taiwaneseCountingThousand"/>
      <w:lvlText w:val="（%1）"/>
      <w:lvlJc w:val="left"/>
      <w:pPr>
        <w:ind w:left="1412" w:hanging="855"/>
      </w:pPr>
    </w:lvl>
    <w:lvl w:ilvl="1">
      <w:start w:val="1"/>
      <w:numFmt w:val="decimal"/>
      <w:lvlText w:val="."/>
      <w:lvlJc w:val="left"/>
      <w:pPr>
        <w:ind w:left="1397" w:hanging="360"/>
      </w:pPr>
    </w:lvl>
    <w:lvl w:ilvl="2">
      <w:start w:val="1"/>
      <w:numFmt w:val="decimal"/>
      <w:lvlText w:val="（）"/>
      <w:lvlJc w:val="left"/>
      <w:pPr>
        <w:ind w:left="2237" w:hanging="720"/>
      </w:pPr>
    </w:lvl>
    <w:lvl w:ilvl="3">
      <w:start w:val="1"/>
      <w:numFmt w:val="decimal"/>
      <w:lvlText w:val="（）"/>
      <w:lvlJc w:val="left"/>
      <w:pPr>
        <w:ind w:left="2717" w:hanging="720"/>
      </w:pPr>
    </w:lvl>
    <w:lvl w:ilvl="4">
      <w:start w:val="1"/>
      <w:numFmt w:val="ideographTraditional"/>
      <w:lvlText w:val="、"/>
      <w:lvlJc w:val="left"/>
      <w:pPr>
        <w:ind w:left="2957" w:hanging="480"/>
      </w:pPr>
    </w:lvl>
    <w:lvl w:ilvl="5">
      <w:start w:val="1"/>
      <w:numFmt w:val="lowerRoman"/>
      <w:lvlText w:val="."/>
      <w:lvlJc w:val="right"/>
      <w:pPr>
        <w:ind w:left="3437" w:hanging="480"/>
      </w:pPr>
    </w:lvl>
    <w:lvl w:ilvl="6">
      <w:start w:val="1"/>
      <w:numFmt w:val="decimal"/>
      <w:lvlText w:val="."/>
      <w:lvlJc w:val="left"/>
      <w:pPr>
        <w:ind w:left="3917" w:hanging="480"/>
      </w:pPr>
    </w:lvl>
    <w:lvl w:ilvl="7">
      <w:start w:val="1"/>
      <w:numFmt w:val="ideographTraditional"/>
      <w:lvlText w:val="、"/>
      <w:lvlJc w:val="left"/>
      <w:pPr>
        <w:ind w:left="4397" w:hanging="480"/>
      </w:pPr>
    </w:lvl>
    <w:lvl w:ilvl="8">
      <w:start w:val="1"/>
      <w:numFmt w:val="lowerRoman"/>
      <w:lvlText w:val="."/>
      <w:lvlJc w:val="right"/>
      <w:pPr>
        <w:ind w:left="4877" w:hanging="480"/>
      </w:pPr>
    </w:lvl>
  </w:abstractNum>
  <w:abstractNum w:abstractNumId="25" w15:restartNumberingAfterBreak="0">
    <w:nsid w:val="64B8258C"/>
    <w:multiLevelType w:val="multilevel"/>
    <w:tmpl w:val="448C2F90"/>
    <w:lvl w:ilvl="0">
      <w:start w:val="1"/>
      <w:numFmt w:val="taiwaneseCountingThousand"/>
      <w:lvlText w:val="（%1）"/>
      <w:lvlJc w:val="left"/>
      <w:pPr>
        <w:ind w:left="1280" w:hanging="855"/>
      </w:pPr>
    </w:lvl>
    <w:lvl w:ilvl="1">
      <w:start w:val="1"/>
      <w:numFmt w:val="decimal"/>
      <w:lvlText w:val="."/>
      <w:lvlJc w:val="left"/>
      <w:pPr>
        <w:ind w:left="1341" w:hanging="480"/>
      </w:pPr>
      <w:rPr>
        <w:rFonts w:ascii="標楷體" w:eastAsia="標楷體" w:hAnsi="標楷體"/>
        <w:sz w:val="28"/>
        <w:szCs w:val="28"/>
      </w:rPr>
    </w:lvl>
    <w:lvl w:ilvl="2">
      <w:start w:val="1"/>
      <w:numFmt w:val="decimal"/>
      <w:lvlText w:val="（）"/>
      <w:lvlJc w:val="left"/>
      <w:pPr>
        <w:ind w:left="2105" w:hanging="720"/>
      </w:pPr>
    </w:lvl>
    <w:lvl w:ilvl="3">
      <w:start w:val="1"/>
      <w:numFmt w:val="decimal"/>
      <w:lvlText w:val="（）"/>
      <w:lvlJc w:val="left"/>
      <w:pPr>
        <w:ind w:left="2585" w:hanging="720"/>
      </w:pPr>
    </w:lvl>
    <w:lvl w:ilvl="4">
      <w:start w:val="1"/>
      <w:numFmt w:val="ideographTraditional"/>
      <w:lvlText w:val="、"/>
      <w:lvlJc w:val="left"/>
      <w:pPr>
        <w:ind w:left="2825" w:hanging="480"/>
      </w:pPr>
    </w:lvl>
    <w:lvl w:ilvl="5">
      <w:start w:val="1"/>
      <w:numFmt w:val="lowerRoman"/>
      <w:lvlText w:val="."/>
      <w:lvlJc w:val="right"/>
      <w:pPr>
        <w:ind w:left="3305" w:hanging="480"/>
      </w:pPr>
    </w:lvl>
    <w:lvl w:ilvl="6">
      <w:start w:val="1"/>
      <w:numFmt w:val="decimal"/>
      <w:lvlText w:val="."/>
      <w:lvlJc w:val="left"/>
      <w:pPr>
        <w:ind w:left="3785" w:hanging="480"/>
      </w:pPr>
    </w:lvl>
    <w:lvl w:ilvl="7">
      <w:start w:val="1"/>
      <w:numFmt w:val="ideographTraditional"/>
      <w:lvlText w:val="、"/>
      <w:lvlJc w:val="left"/>
      <w:pPr>
        <w:ind w:left="4265" w:hanging="480"/>
      </w:pPr>
    </w:lvl>
    <w:lvl w:ilvl="8">
      <w:start w:val="1"/>
      <w:numFmt w:val="lowerRoman"/>
      <w:lvlText w:val="."/>
      <w:lvlJc w:val="right"/>
      <w:pPr>
        <w:ind w:left="4745" w:hanging="480"/>
      </w:pPr>
    </w:lvl>
  </w:abstractNum>
  <w:abstractNum w:abstractNumId="26" w15:restartNumberingAfterBreak="0">
    <w:nsid w:val="669C3BD1"/>
    <w:multiLevelType w:val="multilevel"/>
    <w:tmpl w:val="688E87B2"/>
    <w:lvl w:ilvl="0">
      <w:start w:val="1"/>
      <w:numFmt w:val="taiwaneseCountingThousand"/>
      <w:lvlText w:val="（%1）"/>
      <w:lvlJc w:val="left"/>
      <w:pPr>
        <w:ind w:left="1280" w:hanging="883"/>
      </w:pPr>
      <w:rPr>
        <w:rFonts w:hint="eastAsia"/>
      </w:rPr>
    </w:lvl>
    <w:lvl w:ilvl="1">
      <w:start w:val="1"/>
      <w:numFmt w:val="decimal"/>
      <w:lvlText w:val="."/>
      <w:lvlJc w:val="left"/>
      <w:pPr>
        <w:ind w:left="-1712" w:hanging="360"/>
      </w:pPr>
      <w:rPr>
        <w:rFonts w:hint="eastAsia"/>
      </w:rPr>
    </w:lvl>
    <w:lvl w:ilvl="2">
      <w:start w:val="1"/>
      <w:numFmt w:val="decimal"/>
      <w:lvlText w:val="（）"/>
      <w:lvlJc w:val="left"/>
      <w:pPr>
        <w:ind w:left="-872" w:hanging="720"/>
      </w:pPr>
      <w:rPr>
        <w:rFonts w:hint="eastAsia"/>
      </w:rPr>
    </w:lvl>
    <w:lvl w:ilvl="3">
      <w:start w:val="1"/>
      <w:numFmt w:val="decimal"/>
      <w:lvlText w:val="（）"/>
      <w:lvlJc w:val="left"/>
      <w:pPr>
        <w:ind w:left="-392" w:hanging="720"/>
      </w:pPr>
      <w:rPr>
        <w:rFonts w:hint="eastAsia"/>
      </w:rPr>
    </w:lvl>
    <w:lvl w:ilvl="4">
      <w:start w:val="1"/>
      <w:numFmt w:val="ideographTraditional"/>
      <w:lvlText w:val="、"/>
      <w:lvlJc w:val="left"/>
      <w:pPr>
        <w:ind w:left="-152" w:hanging="480"/>
      </w:pPr>
      <w:rPr>
        <w:rFonts w:hint="eastAsia"/>
      </w:rPr>
    </w:lvl>
    <w:lvl w:ilvl="5">
      <w:start w:val="1"/>
      <w:numFmt w:val="lowerRoman"/>
      <w:lvlText w:val="."/>
      <w:lvlJc w:val="right"/>
      <w:pPr>
        <w:ind w:left="328" w:hanging="480"/>
      </w:pPr>
      <w:rPr>
        <w:rFonts w:hint="eastAsia"/>
      </w:rPr>
    </w:lvl>
    <w:lvl w:ilvl="6">
      <w:start w:val="1"/>
      <w:numFmt w:val="decimal"/>
      <w:lvlText w:val="."/>
      <w:lvlJc w:val="left"/>
      <w:pPr>
        <w:ind w:left="808" w:hanging="480"/>
      </w:pPr>
      <w:rPr>
        <w:rFonts w:hint="eastAsia"/>
      </w:rPr>
    </w:lvl>
    <w:lvl w:ilvl="7">
      <w:start w:val="1"/>
      <w:numFmt w:val="ideographTraditional"/>
      <w:lvlText w:val="、"/>
      <w:lvlJc w:val="left"/>
      <w:pPr>
        <w:ind w:left="1288" w:hanging="480"/>
      </w:pPr>
      <w:rPr>
        <w:rFonts w:hint="eastAsia"/>
      </w:rPr>
    </w:lvl>
    <w:lvl w:ilvl="8">
      <w:start w:val="1"/>
      <w:numFmt w:val="lowerRoman"/>
      <w:lvlText w:val="."/>
      <w:lvlJc w:val="right"/>
      <w:pPr>
        <w:ind w:left="1768" w:hanging="480"/>
      </w:pPr>
      <w:rPr>
        <w:rFonts w:hint="eastAsia"/>
      </w:rPr>
    </w:lvl>
  </w:abstractNum>
  <w:abstractNum w:abstractNumId="27" w15:restartNumberingAfterBreak="0">
    <w:nsid w:val="694960B5"/>
    <w:multiLevelType w:val="hybridMultilevel"/>
    <w:tmpl w:val="2176F308"/>
    <w:lvl w:ilvl="0" w:tplc="41F00DE6">
      <w:start w:val="1"/>
      <w:numFmt w:val="decimal"/>
      <w:lvlText w:val="(%1)"/>
      <w:lvlJc w:val="left"/>
      <w:pPr>
        <w:ind w:left="1472" w:hanging="480"/>
      </w:pPr>
      <w:rPr>
        <w:rFonts w:ascii="標楷體" w:eastAsia="標楷體" w:hAnsi="標楷體" w:hint="eastAsia"/>
        <w:sz w:val="28"/>
        <w:szCs w:val="24"/>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8" w15:restartNumberingAfterBreak="0">
    <w:nsid w:val="696F1235"/>
    <w:multiLevelType w:val="multilevel"/>
    <w:tmpl w:val="ED28A5F0"/>
    <w:lvl w:ilvl="0">
      <w:start w:val="1"/>
      <w:numFmt w:val="taiwaneseCountingThousand"/>
      <w:suff w:val="nothing"/>
      <w:lvlText w:val="%1、"/>
      <w:lvlJc w:val="left"/>
      <w:pPr>
        <w:ind w:left="141" w:firstLine="0"/>
      </w:pPr>
      <w:rPr>
        <w:rFonts w:ascii="標楷體" w:eastAsia="標楷體" w:hAnsi="標楷體"/>
        <w:b w:val="0"/>
        <w:bCs w:val="0"/>
      </w:rPr>
    </w:lvl>
    <w:lvl w:ilvl="1">
      <w:start w:val="1"/>
      <w:numFmt w:val="ideographTraditional"/>
      <w:lvlText w:val="、"/>
      <w:lvlJc w:val="left"/>
      <w:pPr>
        <w:ind w:left="1383" w:hanging="480"/>
      </w:pPr>
    </w:lvl>
    <w:lvl w:ilvl="2">
      <w:start w:val="1"/>
      <w:numFmt w:val="lowerRoman"/>
      <w:lvlText w:val="."/>
      <w:lvlJc w:val="right"/>
      <w:pPr>
        <w:ind w:left="1863" w:hanging="480"/>
      </w:pPr>
    </w:lvl>
    <w:lvl w:ilvl="3">
      <w:start w:val="1"/>
      <w:numFmt w:val="decimal"/>
      <w:lvlText w:val="."/>
      <w:lvlJc w:val="left"/>
      <w:pPr>
        <w:ind w:left="2343" w:hanging="480"/>
      </w:pPr>
    </w:lvl>
    <w:lvl w:ilvl="4">
      <w:start w:val="1"/>
      <w:numFmt w:val="ideographTraditional"/>
      <w:lvlText w:val="、"/>
      <w:lvlJc w:val="left"/>
      <w:pPr>
        <w:ind w:left="2823" w:hanging="480"/>
      </w:pPr>
    </w:lvl>
    <w:lvl w:ilvl="5">
      <w:start w:val="1"/>
      <w:numFmt w:val="lowerRoman"/>
      <w:lvlText w:val="."/>
      <w:lvlJc w:val="right"/>
      <w:pPr>
        <w:ind w:left="3303" w:hanging="480"/>
      </w:pPr>
    </w:lvl>
    <w:lvl w:ilvl="6">
      <w:start w:val="1"/>
      <w:numFmt w:val="decimal"/>
      <w:lvlText w:val="."/>
      <w:lvlJc w:val="left"/>
      <w:pPr>
        <w:ind w:left="3783" w:hanging="480"/>
      </w:pPr>
    </w:lvl>
    <w:lvl w:ilvl="7">
      <w:start w:val="1"/>
      <w:numFmt w:val="ideographTraditional"/>
      <w:lvlText w:val="、"/>
      <w:lvlJc w:val="left"/>
      <w:pPr>
        <w:ind w:left="4263" w:hanging="480"/>
      </w:pPr>
    </w:lvl>
    <w:lvl w:ilvl="8">
      <w:start w:val="1"/>
      <w:numFmt w:val="lowerRoman"/>
      <w:lvlText w:val="."/>
      <w:lvlJc w:val="right"/>
      <w:pPr>
        <w:ind w:left="4743" w:hanging="480"/>
      </w:pPr>
    </w:lvl>
  </w:abstractNum>
  <w:abstractNum w:abstractNumId="29" w15:restartNumberingAfterBreak="0">
    <w:nsid w:val="6A44709E"/>
    <w:multiLevelType w:val="hybridMultilevel"/>
    <w:tmpl w:val="3B5A4C5A"/>
    <w:lvl w:ilvl="0" w:tplc="29B0A8D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0B76058"/>
    <w:multiLevelType w:val="hybridMultilevel"/>
    <w:tmpl w:val="31142F56"/>
    <w:lvl w:ilvl="0" w:tplc="56C8CAC6">
      <w:start w:val="1"/>
      <w:numFmt w:val="taiwaneseCountingThousand"/>
      <w:suff w:val="nothing"/>
      <w:lvlText w:val="(%1)"/>
      <w:lvlJc w:val="left"/>
      <w:pPr>
        <w:ind w:left="905"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1" w15:restartNumberingAfterBreak="0">
    <w:nsid w:val="73E724CD"/>
    <w:multiLevelType w:val="hybridMultilevel"/>
    <w:tmpl w:val="FE8E2DE8"/>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2" w15:restartNumberingAfterBreak="0">
    <w:nsid w:val="740A0628"/>
    <w:multiLevelType w:val="multilevel"/>
    <w:tmpl w:val="BA9C99DC"/>
    <w:lvl w:ilvl="0">
      <w:numFmt w:val="bullet"/>
      <w:lvlText w:val=""/>
      <w:lvlJc w:val="left"/>
      <w:pPr>
        <w:ind w:left="1738" w:hanging="480"/>
      </w:pPr>
      <w:rPr>
        <w:rFonts w:ascii="Wingdings" w:hAnsi="Wingdings"/>
      </w:rPr>
    </w:lvl>
    <w:lvl w:ilvl="1">
      <w:numFmt w:val="bullet"/>
      <w:lvlText w:val=""/>
      <w:lvlJc w:val="left"/>
      <w:pPr>
        <w:ind w:left="2218" w:hanging="480"/>
      </w:pPr>
      <w:rPr>
        <w:rFonts w:ascii="Wingdings" w:hAnsi="Wingdings"/>
      </w:rPr>
    </w:lvl>
    <w:lvl w:ilvl="2">
      <w:numFmt w:val="bullet"/>
      <w:lvlText w:val=""/>
      <w:lvlJc w:val="left"/>
      <w:pPr>
        <w:ind w:left="2698" w:hanging="480"/>
      </w:pPr>
      <w:rPr>
        <w:rFonts w:ascii="Wingdings" w:hAnsi="Wingdings"/>
      </w:rPr>
    </w:lvl>
    <w:lvl w:ilvl="3">
      <w:numFmt w:val="bullet"/>
      <w:lvlText w:val=""/>
      <w:lvlJc w:val="left"/>
      <w:pPr>
        <w:ind w:left="3178" w:hanging="480"/>
      </w:pPr>
      <w:rPr>
        <w:rFonts w:ascii="Wingdings" w:hAnsi="Wingdings"/>
      </w:rPr>
    </w:lvl>
    <w:lvl w:ilvl="4">
      <w:numFmt w:val="bullet"/>
      <w:lvlText w:val=""/>
      <w:lvlJc w:val="left"/>
      <w:pPr>
        <w:ind w:left="3658" w:hanging="480"/>
      </w:pPr>
      <w:rPr>
        <w:rFonts w:ascii="Wingdings" w:hAnsi="Wingdings"/>
      </w:rPr>
    </w:lvl>
    <w:lvl w:ilvl="5">
      <w:numFmt w:val="bullet"/>
      <w:lvlText w:val=""/>
      <w:lvlJc w:val="left"/>
      <w:pPr>
        <w:ind w:left="4138" w:hanging="480"/>
      </w:pPr>
      <w:rPr>
        <w:rFonts w:ascii="Wingdings" w:hAnsi="Wingdings"/>
      </w:rPr>
    </w:lvl>
    <w:lvl w:ilvl="6">
      <w:numFmt w:val="bullet"/>
      <w:lvlText w:val=""/>
      <w:lvlJc w:val="left"/>
      <w:pPr>
        <w:ind w:left="4618" w:hanging="480"/>
      </w:pPr>
      <w:rPr>
        <w:rFonts w:ascii="Wingdings" w:hAnsi="Wingdings"/>
      </w:rPr>
    </w:lvl>
    <w:lvl w:ilvl="7">
      <w:numFmt w:val="bullet"/>
      <w:lvlText w:val=""/>
      <w:lvlJc w:val="left"/>
      <w:pPr>
        <w:ind w:left="5098" w:hanging="480"/>
      </w:pPr>
      <w:rPr>
        <w:rFonts w:ascii="Wingdings" w:hAnsi="Wingdings"/>
      </w:rPr>
    </w:lvl>
    <w:lvl w:ilvl="8">
      <w:numFmt w:val="bullet"/>
      <w:lvlText w:val=""/>
      <w:lvlJc w:val="left"/>
      <w:pPr>
        <w:ind w:left="5578" w:hanging="480"/>
      </w:pPr>
      <w:rPr>
        <w:rFonts w:ascii="Wingdings" w:hAnsi="Wingdings"/>
      </w:rPr>
    </w:lvl>
  </w:abstractNum>
  <w:abstractNum w:abstractNumId="33" w15:restartNumberingAfterBreak="0">
    <w:nsid w:val="77AE27F4"/>
    <w:multiLevelType w:val="hybridMultilevel"/>
    <w:tmpl w:val="51CED928"/>
    <w:lvl w:ilvl="0" w:tplc="2C2E5960">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4" w15:restartNumberingAfterBreak="0">
    <w:nsid w:val="792A080D"/>
    <w:multiLevelType w:val="multilevel"/>
    <w:tmpl w:val="28C458C6"/>
    <w:lvl w:ilvl="0">
      <w:start w:val="1"/>
      <w:numFmt w:val="taiwaneseCountingThousand"/>
      <w:lvlText w:val="（%1）"/>
      <w:lvlJc w:val="left"/>
      <w:pPr>
        <w:ind w:left="2556" w:hanging="855"/>
      </w:pPr>
    </w:lvl>
    <w:lvl w:ilvl="1">
      <w:start w:val="1"/>
      <w:numFmt w:val="decimal"/>
      <w:lvlText w:val="."/>
      <w:lvlJc w:val="left"/>
      <w:pPr>
        <w:ind w:left="2541" w:hanging="360"/>
      </w:pPr>
    </w:lvl>
    <w:lvl w:ilvl="2">
      <w:start w:val="1"/>
      <w:numFmt w:val="decimal"/>
      <w:lvlText w:val="（）"/>
      <w:lvlJc w:val="left"/>
      <w:pPr>
        <w:ind w:left="3381" w:hanging="720"/>
      </w:pPr>
    </w:lvl>
    <w:lvl w:ilvl="3">
      <w:start w:val="1"/>
      <w:numFmt w:val="decimal"/>
      <w:lvlText w:val="（）"/>
      <w:lvlJc w:val="left"/>
      <w:pPr>
        <w:ind w:left="3861" w:hanging="720"/>
      </w:pPr>
    </w:lvl>
    <w:lvl w:ilvl="4">
      <w:start w:val="1"/>
      <w:numFmt w:val="ideographTraditional"/>
      <w:lvlText w:val="、"/>
      <w:lvlJc w:val="left"/>
      <w:pPr>
        <w:ind w:left="4101" w:hanging="480"/>
      </w:pPr>
    </w:lvl>
    <w:lvl w:ilvl="5">
      <w:start w:val="1"/>
      <w:numFmt w:val="lowerRoman"/>
      <w:lvlText w:val="."/>
      <w:lvlJc w:val="right"/>
      <w:pPr>
        <w:ind w:left="4581" w:hanging="480"/>
      </w:pPr>
    </w:lvl>
    <w:lvl w:ilvl="6">
      <w:start w:val="1"/>
      <w:numFmt w:val="decimal"/>
      <w:lvlText w:val="."/>
      <w:lvlJc w:val="left"/>
      <w:pPr>
        <w:ind w:left="5061" w:hanging="480"/>
      </w:pPr>
    </w:lvl>
    <w:lvl w:ilvl="7">
      <w:start w:val="1"/>
      <w:numFmt w:val="ideographTraditional"/>
      <w:lvlText w:val="、"/>
      <w:lvlJc w:val="left"/>
      <w:pPr>
        <w:ind w:left="5541" w:hanging="480"/>
      </w:pPr>
    </w:lvl>
    <w:lvl w:ilvl="8">
      <w:start w:val="1"/>
      <w:numFmt w:val="lowerRoman"/>
      <w:lvlText w:val="."/>
      <w:lvlJc w:val="right"/>
      <w:pPr>
        <w:ind w:left="6021" w:hanging="480"/>
      </w:pPr>
    </w:lvl>
  </w:abstractNum>
  <w:abstractNum w:abstractNumId="35" w15:restartNumberingAfterBreak="0">
    <w:nsid w:val="7F437939"/>
    <w:multiLevelType w:val="multilevel"/>
    <w:tmpl w:val="A63021CA"/>
    <w:lvl w:ilvl="0">
      <w:numFmt w:val="bullet"/>
      <w:lvlText w:val=""/>
      <w:lvlJc w:val="left"/>
      <w:pPr>
        <w:ind w:left="993" w:firstLine="0"/>
      </w:pPr>
      <w:rPr>
        <w:rFonts w:ascii="Wingdings" w:hAnsi="Wingdings"/>
      </w:rPr>
    </w:lvl>
    <w:lvl w:ilvl="1">
      <w:numFmt w:val="bullet"/>
      <w:lvlText w:val=""/>
      <w:lvlJc w:val="left"/>
      <w:pPr>
        <w:ind w:left="2218" w:hanging="480"/>
      </w:pPr>
      <w:rPr>
        <w:rFonts w:ascii="Times New Roman" w:hAnsi="Times New Roman"/>
      </w:rPr>
    </w:lvl>
    <w:lvl w:ilvl="2">
      <w:numFmt w:val="bullet"/>
      <w:lvlText w:val=""/>
      <w:lvlJc w:val="left"/>
      <w:pPr>
        <w:ind w:left="2698" w:hanging="480"/>
      </w:pPr>
      <w:rPr>
        <w:rFonts w:ascii="Times New Roman" w:hAnsi="Times New Roman"/>
      </w:rPr>
    </w:lvl>
    <w:lvl w:ilvl="3">
      <w:numFmt w:val="bullet"/>
      <w:lvlText w:val=""/>
      <w:lvlJc w:val="left"/>
      <w:pPr>
        <w:ind w:left="3178" w:hanging="480"/>
      </w:pPr>
      <w:rPr>
        <w:rFonts w:ascii="Times New Roman" w:hAnsi="Times New Roman"/>
      </w:rPr>
    </w:lvl>
    <w:lvl w:ilvl="4">
      <w:numFmt w:val="bullet"/>
      <w:lvlText w:val=""/>
      <w:lvlJc w:val="left"/>
      <w:pPr>
        <w:ind w:left="3658" w:hanging="480"/>
      </w:pPr>
      <w:rPr>
        <w:rFonts w:ascii="Times New Roman" w:hAnsi="Times New Roman"/>
      </w:rPr>
    </w:lvl>
    <w:lvl w:ilvl="5">
      <w:numFmt w:val="bullet"/>
      <w:lvlText w:val=""/>
      <w:lvlJc w:val="left"/>
      <w:pPr>
        <w:ind w:left="4138" w:hanging="480"/>
      </w:pPr>
      <w:rPr>
        <w:rFonts w:ascii="Times New Roman" w:hAnsi="Times New Roman"/>
      </w:rPr>
    </w:lvl>
    <w:lvl w:ilvl="6">
      <w:numFmt w:val="bullet"/>
      <w:lvlText w:val=""/>
      <w:lvlJc w:val="left"/>
      <w:pPr>
        <w:ind w:left="4618" w:hanging="480"/>
      </w:pPr>
      <w:rPr>
        <w:rFonts w:ascii="Times New Roman" w:hAnsi="Times New Roman"/>
      </w:rPr>
    </w:lvl>
    <w:lvl w:ilvl="7">
      <w:numFmt w:val="bullet"/>
      <w:lvlText w:val=""/>
      <w:lvlJc w:val="left"/>
      <w:pPr>
        <w:ind w:left="5098" w:hanging="480"/>
      </w:pPr>
      <w:rPr>
        <w:rFonts w:ascii="Times New Roman" w:hAnsi="Times New Roman"/>
      </w:rPr>
    </w:lvl>
    <w:lvl w:ilvl="8">
      <w:numFmt w:val="bullet"/>
      <w:lvlText w:val=""/>
      <w:lvlJc w:val="left"/>
      <w:pPr>
        <w:ind w:left="5578" w:hanging="480"/>
      </w:pPr>
      <w:rPr>
        <w:rFonts w:ascii="Times New Roman" w:hAnsi="Times New Roman"/>
      </w:rPr>
    </w:lvl>
  </w:abstractNum>
  <w:abstractNum w:abstractNumId="36" w15:restartNumberingAfterBreak="0">
    <w:nsid w:val="7FB644B6"/>
    <w:multiLevelType w:val="hybridMultilevel"/>
    <w:tmpl w:val="8E608E42"/>
    <w:lvl w:ilvl="0" w:tplc="BBB213DE">
      <w:start w:val="1"/>
      <w:numFmt w:val="decimal"/>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num w:numId="1" w16cid:durableId="1921136181">
    <w:abstractNumId w:val="20"/>
  </w:num>
  <w:num w:numId="2" w16cid:durableId="201409628">
    <w:abstractNumId w:val="26"/>
  </w:num>
  <w:num w:numId="3" w16cid:durableId="168371174">
    <w:abstractNumId w:val="25"/>
  </w:num>
  <w:num w:numId="4" w16cid:durableId="1919828825">
    <w:abstractNumId w:val="12"/>
  </w:num>
  <w:num w:numId="5" w16cid:durableId="84226281">
    <w:abstractNumId w:val="34"/>
  </w:num>
  <w:num w:numId="6" w16cid:durableId="760298320">
    <w:abstractNumId w:val="24"/>
  </w:num>
  <w:num w:numId="7" w16cid:durableId="945386140">
    <w:abstractNumId w:val="22"/>
  </w:num>
  <w:num w:numId="8" w16cid:durableId="1557931050">
    <w:abstractNumId w:val="0"/>
  </w:num>
  <w:num w:numId="9" w16cid:durableId="274948535">
    <w:abstractNumId w:val="15"/>
  </w:num>
  <w:num w:numId="10" w16cid:durableId="1475221726">
    <w:abstractNumId w:val="17"/>
  </w:num>
  <w:num w:numId="11" w16cid:durableId="330837919">
    <w:abstractNumId w:val="32"/>
  </w:num>
  <w:num w:numId="12" w16cid:durableId="1251046457">
    <w:abstractNumId w:val="35"/>
  </w:num>
  <w:num w:numId="13" w16cid:durableId="2037735701">
    <w:abstractNumId w:val="10"/>
  </w:num>
  <w:num w:numId="14" w16cid:durableId="99225746">
    <w:abstractNumId w:val="28"/>
  </w:num>
  <w:num w:numId="15" w16cid:durableId="1668483776">
    <w:abstractNumId w:val="9"/>
  </w:num>
  <w:num w:numId="16" w16cid:durableId="477185904">
    <w:abstractNumId w:val="2"/>
  </w:num>
  <w:num w:numId="17" w16cid:durableId="1615288921">
    <w:abstractNumId w:val="13"/>
  </w:num>
  <w:num w:numId="18" w16cid:durableId="199369045">
    <w:abstractNumId w:val="21"/>
  </w:num>
  <w:num w:numId="19" w16cid:durableId="927883319">
    <w:abstractNumId w:val="4"/>
  </w:num>
  <w:num w:numId="20" w16cid:durableId="282153134">
    <w:abstractNumId w:val="31"/>
  </w:num>
  <w:num w:numId="21" w16cid:durableId="1402479934">
    <w:abstractNumId w:val="7"/>
  </w:num>
  <w:num w:numId="22" w16cid:durableId="1904564416">
    <w:abstractNumId w:val="1"/>
  </w:num>
  <w:num w:numId="23" w16cid:durableId="1275867613">
    <w:abstractNumId w:val="33"/>
  </w:num>
  <w:num w:numId="24" w16cid:durableId="2128621616">
    <w:abstractNumId w:val="19"/>
  </w:num>
  <w:num w:numId="25" w16cid:durableId="1022973002">
    <w:abstractNumId w:val="23"/>
  </w:num>
  <w:num w:numId="26" w16cid:durableId="1215507793">
    <w:abstractNumId w:val="16"/>
  </w:num>
  <w:num w:numId="27" w16cid:durableId="1683312317">
    <w:abstractNumId w:val="29"/>
  </w:num>
  <w:num w:numId="28" w16cid:durableId="357123678">
    <w:abstractNumId w:val="5"/>
  </w:num>
  <w:num w:numId="29" w16cid:durableId="191234922">
    <w:abstractNumId w:val="11"/>
  </w:num>
  <w:num w:numId="30" w16cid:durableId="1677070610">
    <w:abstractNumId w:val="36"/>
  </w:num>
  <w:num w:numId="31" w16cid:durableId="73363059">
    <w:abstractNumId w:val="3"/>
  </w:num>
  <w:num w:numId="32" w16cid:durableId="1367950927">
    <w:abstractNumId w:val="6"/>
  </w:num>
  <w:num w:numId="33" w16cid:durableId="308175380">
    <w:abstractNumId w:val="30"/>
  </w:num>
  <w:num w:numId="34" w16cid:durableId="2041514114">
    <w:abstractNumId w:val="8"/>
  </w:num>
  <w:num w:numId="35" w16cid:durableId="2133203277">
    <w:abstractNumId w:val="18"/>
  </w:num>
  <w:num w:numId="36" w16cid:durableId="1916478405">
    <w:abstractNumId w:val="27"/>
  </w:num>
  <w:num w:numId="37" w16cid:durableId="9663952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ED1"/>
    <w:rsid w:val="00050397"/>
    <w:rsid w:val="0005699B"/>
    <w:rsid w:val="00190DFF"/>
    <w:rsid w:val="002010FD"/>
    <w:rsid w:val="002440DB"/>
    <w:rsid w:val="002A5947"/>
    <w:rsid w:val="003070E6"/>
    <w:rsid w:val="00311D71"/>
    <w:rsid w:val="00380348"/>
    <w:rsid w:val="00381797"/>
    <w:rsid w:val="003C0CCB"/>
    <w:rsid w:val="003D661C"/>
    <w:rsid w:val="003E4CD2"/>
    <w:rsid w:val="004011CB"/>
    <w:rsid w:val="00440476"/>
    <w:rsid w:val="004964E2"/>
    <w:rsid w:val="004C0E32"/>
    <w:rsid w:val="004D3DC7"/>
    <w:rsid w:val="0051041C"/>
    <w:rsid w:val="005327DD"/>
    <w:rsid w:val="00534714"/>
    <w:rsid w:val="005C3BF8"/>
    <w:rsid w:val="00646BC1"/>
    <w:rsid w:val="00646C9E"/>
    <w:rsid w:val="0066322B"/>
    <w:rsid w:val="006875E7"/>
    <w:rsid w:val="006E52DD"/>
    <w:rsid w:val="006F6FE1"/>
    <w:rsid w:val="007668B3"/>
    <w:rsid w:val="00774798"/>
    <w:rsid w:val="007B15C6"/>
    <w:rsid w:val="007F0D2A"/>
    <w:rsid w:val="00857D1C"/>
    <w:rsid w:val="008C08FA"/>
    <w:rsid w:val="008F3058"/>
    <w:rsid w:val="00954578"/>
    <w:rsid w:val="009B028C"/>
    <w:rsid w:val="009E1315"/>
    <w:rsid w:val="00A1182E"/>
    <w:rsid w:val="00A11BEF"/>
    <w:rsid w:val="00A73970"/>
    <w:rsid w:val="00AB3961"/>
    <w:rsid w:val="00AE739C"/>
    <w:rsid w:val="00B60F91"/>
    <w:rsid w:val="00B749BF"/>
    <w:rsid w:val="00BF1BAF"/>
    <w:rsid w:val="00C3620C"/>
    <w:rsid w:val="00C82D53"/>
    <w:rsid w:val="00D34011"/>
    <w:rsid w:val="00D35104"/>
    <w:rsid w:val="00D468B6"/>
    <w:rsid w:val="00DB1EEB"/>
    <w:rsid w:val="00E036E1"/>
    <w:rsid w:val="00EA3716"/>
    <w:rsid w:val="00ED1B05"/>
    <w:rsid w:val="00F05F2B"/>
    <w:rsid w:val="00F23A6B"/>
    <w:rsid w:val="00F61388"/>
    <w:rsid w:val="00F63DFC"/>
    <w:rsid w:val="00FB4ED1"/>
    <w:rsid w:val="00FC3F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5CBED"/>
  <w15:docId w15:val="{0456E78A-6114-4161-850F-37B43378E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suppressAutoHyphens/>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pPr>
      <w:ind w:left="480"/>
    </w:pPr>
  </w:style>
  <w:style w:type="paragraph" w:styleId="a5">
    <w:name w:val="Balloon Text"/>
    <w:basedOn w:val="a0"/>
    <w:rPr>
      <w:rFonts w:ascii="Calibri Light" w:hAnsi="Calibri Light"/>
      <w:sz w:val="18"/>
      <w:szCs w:val="18"/>
    </w:rPr>
  </w:style>
  <w:style w:type="character" w:customStyle="1" w:styleId="a6">
    <w:name w:val="註解方塊文字 字元"/>
    <w:basedOn w:val="a1"/>
    <w:rPr>
      <w:rFonts w:ascii="Calibri Light" w:eastAsia="新細明體" w:hAnsi="Calibri Light" w:cs="Times New Roman"/>
      <w:sz w:val="18"/>
      <w:szCs w:val="18"/>
    </w:rPr>
  </w:style>
  <w:style w:type="paragraph" w:customStyle="1" w:styleId="a">
    <w:name w:val="部"/>
    <w:basedOn w:val="a0"/>
    <w:pPr>
      <w:numPr>
        <w:numId w:val="1"/>
      </w:numPr>
      <w:autoSpaceDE w:val="0"/>
    </w:pPr>
    <w:rPr>
      <w:rFonts w:ascii="Times New Roman" w:eastAsia="標楷體" w:hAnsi="Times New Roman"/>
      <w:color w:val="000000"/>
      <w:kern w:val="0"/>
      <w:sz w:val="40"/>
      <w:szCs w:val="20"/>
    </w:rPr>
  </w:style>
  <w:style w:type="paragraph" w:styleId="a7">
    <w:name w:val="Note Heading"/>
    <w:basedOn w:val="a0"/>
    <w:next w:val="a0"/>
    <w:pPr>
      <w:jc w:val="center"/>
    </w:pPr>
    <w:rPr>
      <w:rFonts w:ascii="Times New Roman" w:eastAsia="標楷體" w:hAnsi="Times New Roman"/>
      <w:sz w:val="28"/>
      <w:szCs w:val="28"/>
    </w:rPr>
  </w:style>
  <w:style w:type="character" w:customStyle="1" w:styleId="a8">
    <w:name w:val="註釋標題 字元"/>
    <w:basedOn w:val="a1"/>
    <w:rPr>
      <w:rFonts w:ascii="Times New Roman" w:eastAsia="標楷體" w:hAnsi="Times New Roman" w:cs="Times New Roman"/>
      <w:sz w:val="28"/>
      <w:szCs w:val="28"/>
    </w:rPr>
  </w:style>
  <w:style w:type="paragraph" w:styleId="a9">
    <w:name w:val="Closing"/>
    <w:basedOn w:val="a0"/>
    <w:pPr>
      <w:ind w:left="100"/>
    </w:pPr>
    <w:rPr>
      <w:rFonts w:ascii="Times New Roman" w:eastAsia="標楷體" w:hAnsi="Times New Roman"/>
      <w:sz w:val="28"/>
      <w:szCs w:val="28"/>
    </w:rPr>
  </w:style>
  <w:style w:type="character" w:customStyle="1" w:styleId="aa">
    <w:name w:val="結語 字元"/>
    <w:basedOn w:val="a1"/>
    <w:rPr>
      <w:rFonts w:ascii="Times New Roman" w:eastAsia="標楷體" w:hAnsi="Times New Roman" w:cs="Times New Roman"/>
      <w:sz w:val="28"/>
      <w:szCs w:val="28"/>
    </w:rPr>
  </w:style>
  <w:style w:type="paragraph" w:styleId="Web">
    <w:name w:val="Normal (Web)"/>
    <w:basedOn w:val="a0"/>
    <w:pPr>
      <w:widowControl/>
      <w:spacing w:before="100" w:after="100"/>
    </w:pPr>
    <w:rPr>
      <w:rFonts w:ascii="新細明體" w:hAnsi="新細明體" w:cs="新細明體"/>
      <w:kern w:val="0"/>
      <w:szCs w:val="24"/>
    </w:rPr>
  </w:style>
  <w:style w:type="paragraph" w:styleId="ab">
    <w:name w:val="footer"/>
    <w:basedOn w:val="a0"/>
    <w:pPr>
      <w:tabs>
        <w:tab w:val="center" w:pos="4153"/>
        <w:tab w:val="right" w:pos="8306"/>
      </w:tabs>
      <w:snapToGrid w:val="0"/>
    </w:pPr>
    <w:rPr>
      <w:sz w:val="20"/>
      <w:szCs w:val="20"/>
    </w:rPr>
  </w:style>
  <w:style w:type="character" w:customStyle="1" w:styleId="ac">
    <w:name w:val="頁尾 字元"/>
    <w:basedOn w:val="a1"/>
    <w:rPr>
      <w:rFonts w:ascii="Calibri" w:eastAsia="新細明體" w:hAnsi="Calibri" w:cs="Times New Roman"/>
      <w:kern w:val="3"/>
      <w:sz w:val="20"/>
      <w:szCs w:val="20"/>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character" w:styleId="ad">
    <w:name w:val="Placeholder Text"/>
    <w:basedOn w:val="a1"/>
    <w:rPr>
      <w:color w:val="808080"/>
    </w:rPr>
  </w:style>
  <w:style w:type="paragraph" w:styleId="ae">
    <w:name w:val="header"/>
    <w:basedOn w:val="a0"/>
    <w:pPr>
      <w:tabs>
        <w:tab w:val="center" w:pos="4153"/>
        <w:tab w:val="right" w:pos="8306"/>
      </w:tabs>
      <w:snapToGrid w:val="0"/>
    </w:pPr>
    <w:rPr>
      <w:sz w:val="20"/>
      <w:szCs w:val="20"/>
    </w:rPr>
  </w:style>
  <w:style w:type="character" w:customStyle="1" w:styleId="af">
    <w:name w:val="頁首 字元"/>
    <w:basedOn w:val="a1"/>
    <w:rPr>
      <w:sz w:val="20"/>
      <w:szCs w:val="20"/>
    </w:rPr>
  </w:style>
  <w:style w:type="paragraph" w:customStyle="1" w:styleId="ng-star-inserted">
    <w:name w:val="ng-star-inserted"/>
    <w:basedOn w:val="a0"/>
    <w:pPr>
      <w:widowControl/>
      <w:suppressAutoHyphens w:val="0"/>
      <w:spacing w:before="100" w:after="100"/>
      <w:textAlignment w:val="auto"/>
    </w:pPr>
    <w:rPr>
      <w:rFonts w:ascii="新細明體" w:hAnsi="新細明體" w:cs="新細明體"/>
      <w:kern w:val="0"/>
      <w:szCs w:val="24"/>
    </w:rPr>
  </w:style>
  <w:style w:type="character" w:customStyle="1" w:styleId="ng-star-inserted1">
    <w:name w:val="ng-star-inserted1"/>
    <w:basedOn w:val="a1"/>
  </w:style>
  <w:style w:type="paragraph" w:styleId="af0">
    <w:name w:val="Body Text"/>
    <w:basedOn w:val="a0"/>
    <w:pPr>
      <w:widowControl/>
      <w:spacing w:line="440" w:lineRule="exact"/>
      <w:jc w:val="both"/>
    </w:pPr>
    <w:rPr>
      <w:rFonts w:ascii="全真楷書" w:eastAsia="全真楷書" w:hAnsi="全真楷書"/>
      <w:kern w:val="0"/>
      <w:sz w:val="20"/>
      <w:szCs w:val="20"/>
    </w:rPr>
  </w:style>
  <w:style w:type="character" w:customStyle="1" w:styleId="af1">
    <w:name w:val="本文 字元"/>
    <w:basedOn w:val="a1"/>
    <w:rPr>
      <w:rFonts w:ascii="全真楷書" w:eastAsia="全真楷書" w:hAnsi="全真楷書"/>
      <w:kern w:val="0"/>
      <w:sz w:val="20"/>
      <w:szCs w:val="20"/>
    </w:rPr>
  </w:style>
  <w:style w:type="character" w:customStyle="1" w:styleId="af2">
    <w:name w:val="清單段落 字元"/>
  </w:style>
  <w:style w:type="numbering" w:customStyle="1" w:styleId="LFO2">
    <w:name w:val="LFO2"/>
    <w:basedOn w:val="a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670</Words>
  <Characters>3823</Characters>
  <Application>Microsoft Office Word</Application>
  <DocSecurity>0</DocSecurity>
  <Lines>31</Lines>
  <Paragraphs>8</Paragraphs>
  <ScaleCrop>false</ScaleCrop>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黃胤學</dc:creator>
  <dc:description/>
  <cp:lastModifiedBy>陸品涵</cp:lastModifiedBy>
  <cp:revision>11</cp:revision>
  <cp:lastPrinted>2026-02-03T05:50:00Z</cp:lastPrinted>
  <dcterms:created xsi:type="dcterms:W3CDTF">2026-08-12T08:43:00Z</dcterms:created>
  <dcterms:modified xsi:type="dcterms:W3CDTF">2026-08-19T01:54:00Z</dcterms:modified>
</cp:coreProperties>
</file>