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040" w:rsidRDefault="0035370C">
      <w:pPr>
        <w:spacing w:line="480" w:lineRule="exact"/>
        <w:ind w:left="1314" w:hanging="1314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全民健康保險「人工電子耳」</w:t>
      </w:r>
      <w:proofErr w:type="gramStart"/>
      <w:r>
        <w:rPr>
          <w:rFonts w:eastAsia="標楷體"/>
          <w:b/>
          <w:sz w:val="28"/>
          <w:szCs w:val="28"/>
        </w:rPr>
        <w:t>特</w:t>
      </w:r>
      <w:proofErr w:type="gramEnd"/>
      <w:r>
        <w:rPr>
          <w:rFonts w:eastAsia="標楷體"/>
          <w:b/>
          <w:sz w:val="28"/>
          <w:szCs w:val="28"/>
        </w:rPr>
        <w:t>材事前</w:t>
      </w:r>
      <w:r>
        <w:rPr>
          <w:rFonts w:ascii="標楷體" w:eastAsia="標楷體" w:hAnsi="標楷體"/>
          <w:b/>
          <w:sz w:val="28"/>
          <w:szCs w:val="28"/>
        </w:rPr>
        <w:t>特殊</w:t>
      </w:r>
      <w:r>
        <w:rPr>
          <w:rFonts w:eastAsia="標楷體"/>
          <w:b/>
          <w:sz w:val="28"/>
          <w:szCs w:val="28"/>
        </w:rPr>
        <w:t>專案審查檢附資料查檢表</w:t>
      </w:r>
    </w:p>
    <w:p w:rsidR="008E7F88" w:rsidRDefault="008E7F88">
      <w:pPr>
        <w:spacing w:line="480" w:lineRule="exact"/>
        <w:ind w:left="1314" w:hanging="1314"/>
        <w:jc w:val="center"/>
        <w:rPr>
          <w:rFonts w:hint="eastAsia"/>
        </w:rPr>
      </w:pPr>
    </w:p>
    <w:tbl>
      <w:tblPr>
        <w:tblW w:w="4867" w:type="pct"/>
        <w:tblInd w:w="27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3"/>
        <w:gridCol w:w="2622"/>
        <w:gridCol w:w="2654"/>
        <w:gridCol w:w="1559"/>
      </w:tblGrid>
      <w:tr w:rsidR="00032040" w:rsidTr="008E7F88">
        <w:trPr>
          <w:tblHeader/>
        </w:trPr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35370C">
            <w:pPr>
              <w:snapToGrid w:val="0"/>
              <w:spacing w:line="0" w:lineRule="atLeast"/>
              <w:jc w:val="center"/>
            </w:pPr>
            <w:r>
              <w:rPr>
                <w:rFonts w:eastAsia="標楷體"/>
                <w:b/>
                <w:color w:val="000000"/>
                <w:sz w:val="28"/>
              </w:rPr>
              <w:t>給付規定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040" w:rsidRDefault="0035370C">
            <w:pPr>
              <w:snapToGrid w:val="0"/>
              <w:spacing w:line="0" w:lineRule="atLeast"/>
              <w:jc w:val="center"/>
            </w:pPr>
            <w:r>
              <w:rPr>
                <w:rFonts w:eastAsia="標楷體"/>
                <w:b/>
                <w:color w:val="000000"/>
                <w:sz w:val="28"/>
              </w:rPr>
              <w:t>送審應檢附資料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040" w:rsidRDefault="0035370C">
            <w:pPr>
              <w:snapToGrid w:val="0"/>
              <w:spacing w:line="0" w:lineRule="atLeast"/>
              <w:jc w:val="center"/>
            </w:pPr>
            <w:r>
              <w:rPr>
                <w:rFonts w:eastAsia="標楷體"/>
                <w:b/>
                <w:color w:val="000000"/>
                <w:sz w:val="28"/>
              </w:rPr>
              <w:t>備註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040" w:rsidRDefault="0035370C">
            <w:pPr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資料確認</w:t>
            </w:r>
          </w:p>
        </w:tc>
      </w:tr>
      <w:tr w:rsidR="00032040" w:rsidTr="008E7F88">
        <w:tc>
          <w:tcPr>
            <w:tcW w:w="16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35370C">
            <w:pPr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1、限未滿18歲患者使用，且須符合全民健康保險醫療服務給付項目及支付標準84038B「人工電子耳手術(人工耳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蝸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植入術)」所訂適應症。</w:t>
            </w:r>
          </w:p>
          <w:p w:rsidR="00032040" w:rsidRDefault="00032040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35370C">
            <w:proofErr w:type="gramStart"/>
            <w:r>
              <w:rPr>
                <w:rFonts w:eastAsia="標楷體"/>
                <w:color w:val="000000"/>
                <w:sz w:val="28"/>
              </w:rPr>
              <w:t>純音聽檢</w:t>
            </w:r>
            <w:proofErr w:type="gramEnd"/>
            <w:r>
              <w:rPr>
                <w:rFonts w:eastAsia="標楷體"/>
                <w:color w:val="000000"/>
                <w:sz w:val="28"/>
              </w:rPr>
              <w:t xml:space="preserve">(PTA) 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35370C">
            <w:r>
              <w:rPr>
                <w:rFonts w:eastAsia="標楷體"/>
                <w:color w:val="000000"/>
                <w:sz w:val="28"/>
              </w:rPr>
              <w:t>大於</w:t>
            </w:r>
            <w:r>
              <w:rPr>
                <w:rFonts w:eastAsia="標楷體"/>
                <w:color w:val="000000"/>
                <w:sz w:val="28"/>
              </w:rPr>
              <w:t>2</w:t>
            </w:r>
            <w:r>
              <w:rPr>
                <w:rFonts w:eastAsia="標楷體"/>
                <w:color w:val="000000"/>
                <w:sz w:val="28"/>
              </w:rPr>
              <w:t>歲必須檢附</w:t>
            </w:r>
            <w:r>
              <w:rPr>
                <w:rFonts w:eastAsia="標楷體"/>
                <w:color w:val="000000"/>
                <w:sz w:val="28"/>
              </w:rPr>
              <w:t>(5</w:t>
            </w:r>
            <w:r>
              <w:rPr>
                <w:rFonts w:eastAsia="標楷體"/>
                <w:color w:val="000000"/>
                <w:sz w:val="28"/>
              </w:rPr>
              <w:t>歲以下如無法執行</w:t>
            </w:r>
            <w:r>
              <w:rPr>
                <w:rFonts w:eastAsia="標楷體"/>
                <w:color w:val="000000"/>
                <w:sz w:val="28"/>
              </w:rPr>
              <w:t>PTA</w:t>
            </w:r>
            <w:r>
              <w:rPr>
                <w:rFonts w:eastAsia="標楷體"/>
                <w:color w:val="000000"/>
                <w:sz w:val="28"/>
              </w:rPr>
              <w:t>，可以</w:t>
            </w:r>
            <w:r>
              <w:rPr>
                <w:rFonts w:eastAsia="標楷體"/>
                <w:color w:val="000000"/>
                <w:sz w:val="28"/>
              </w:rPr>
              <w:t>VRA or BOA</w:t>
            </w:r>
            <w:r>
              <w:rPr>
                <w:rFonts w:eastAsia="標楷體"/>
                <w:color w:val="000000"/>
                <w:sz w:val="28"/>
              </w:rPr>
              <w:t>取代</w:t>
            </w:r>
            <w:r>
              <w:rPr>
                <w:rFonts w:eastAsia="標楷體"/>
                <w:color w:val="000000"/>
                <w:sz w:val="28"/>
              </w:rPr>
              <w:t>)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032040" w:rsidTr="008E7F88">
        <w:tc>
          <w:tcPr>
            <w:tcW w:w="16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35370C">
            <w:proofErr w:type="gramStart"/>
            <w:r>
              <w:rPr>
                <w:rFonts w:eastAsia="標楷體"/>
                <w:color w:val="000000"/>
                <w:sz w:val="28"/>
              </w:rPr>
              <w:t>行為聽檢</w:t>
            </w:r>
            <w:proofErr w:type="gramEnd"/>
            <w:r>
              <w:rPr>
                <w:rFonts w:eastAsia="標楷體"/>
                <w:color w:val="000000"/>
                <w:sz w:val="28"/>
              </w:rPr>
              <w:t>(VRA or BOA)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35370C">
            <w:r>
              <w:rPr>
                <w:rFonts w:eastAsia="標楷體"/>
                <w:color w:val="000000"/>
                <w:sz w:val="28"/>
              </w:rPr>
              <w:t>小於</w:t>
            </w:r>
            <w:r>
              <w:rPr>
                <w:rFonts w:eastAsia="標楷體"/>
                <w:color w:val="000000"/>
                <w:sz w:val="28"/>
              </w:rPr>
              <w:t>2</w:t>
            </w:r>
            <w:r>
              <w:rPr>
                <w:rFonts w:eastAsia="標楷體"/>
                <w:color w:val="000000"/>
                <w:sz w:val="28"/>
              </w:rPr>
              <w:t>歲必須檢附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032040" w:rsidTr="008E7F88">
        <w:tc>
          <w:tcPr>
            <w:tcW w:w="16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35370C">
            <w:proofErr w:type="gramStart"/>
            <w:r>
              <w:rPr>
                <w:rFonts w:eastAsia="標楷體"/>
                <w:color w:val="000000"/>
                <w:sz w:val="28"/>
              </w:rPr>
              <w:t>客觀聽檢</w:t>
            </w:r>
            <w:proofErr w:type="gramEnd"/>
            <w:r>
              <w:rPr>
                <w:rFonts w:eastAsia="標楷體"/>
                <w:color w:val="000000"/>
                <w:sz w:val="28"/>
              </w:rPr>
              <w:t>(ABR or ASSR)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color w:val="000000"/>
                <w:sz w:val="28"/>
              </w:rPr>
            </w:pPr>
          </w:p>
        </w:tc>
      </w:tr>
      <w:tr w:rsidR="00032040" w:rsidTr="008E7F88">
        <w:tc>
          <w:tcPr>
            <w:tcW w:w="16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sz w:val="28"/>
              </w:rPr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35370C">
            <w:r>
              <w:rPr>
                <w:rFonts w:eastAsia="標楷體"/>
                <w:sz w:val="28"/>
              </w:rPr>
              <w:t>助聽器配戴時間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sz w:val="28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sz w:val="28"/>
              </w:rPr>
            </w:pPr>
          </w:p>
        </w:tc>
      </w:tr>
      <w:tr w:rsidR="00032040" w:rsidTr="008E7F88">
        <w:tc>
          <w:tcPr>
            <w:tcW w:w="16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sz w:val="28"/>
              </w:rPr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35370C">
            <w:proofErr w:type="gramStart"/>
            <w:r>
              <w:rPr>
                <w:rFonts w:eastAsia="標楷體"/>
                <w:sz w:val="28"/>
              </w:rPr>
              <w:t>助聽後的聲場聽力</w:t>
            </w:r>
            <w:proofErr w:type="gramEnd"/>
            <w:r>
              <w:rPr>
                <w:rFonts w:eastAsia="標楷體"/>
                <w:sz w:val="28"/>
              </w:rPr>
              <w:t>測試</w:t>
            </w:r>
            <w:r>
              <w:rPr>
                <w:rFonts w:eastAsia="標楷體"/>
                <w:sz w:val="28"/>
              </w:rPr>
              <w:t>(Sound field under hearing aid )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sz w:val="28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sz w:val="28"/>
              </w:rPr>
            </w:pPr>
          </w:p>
        </w:tc>
      </w:tr>
      <w:tr w:rsidR="00032040" w:rsidTr="008E7F88">
        <w:tc>
          <w:tcPr>
            <w:tcW w:w="16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sz w:val="28"/>
              </w:rPr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35370C">
            <w:proofErr w:type="gramStart"/>
            <w:r>
              <w:rPr>
                <w:rFonts w:eastAsia="標楷體"/>
                <w:sz w:val="28"/>
              </w:rPr>
              <w:t>助聽後</w:t>
            </w:r>
            <w:proofErr w:type="gramEnd"/>
            <w:r>
              <w:rPr>
                <w:rFonts w:eastAsia="標楷體"/>
                <w:sz w:val="28"/>
              </w:rPr>
              <w:t>的語言測試</w:t>
            </w:r>
            <w:r>
              <w:rPr>
                <w:rFonts w:eastAsia="標楷體"/>
                <w:sz w:val="28"/>
              </w:rPr>
              <w:t>(Word recognition score or speech perception score under hearing aid)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35370C">
            <w:pPr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依照個案語言發育檢附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嬰幼兒配戴助聽器後無效，語言發展明顯落後，無法接受該項檢查時，測試得分為</w:t>
            </w:r>
            <w:r>
              <w:rPr>
                <w:rFonts w:eastAsia="標楷體"/>
                <w:sz w:val="28"/>
              </w:rPr>
              <w:t>0%)</w:t>
            </w:r>
            <w:r w:rsidR="00042E99">
              <w:rPr>
                <w:rFonts w:eastAsia="標楷體"/>
                <w:sz w:val="28"/>
              </w:rPr>
              <w:t>。</w:t>
            </w:r>
            <w:bookmarkStart w:id="0" w:name="_GoBack"/>
            <w:bookmarkEnd w:id="0"/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sz w:val="28"/>
              </w:rPr>
            </w:pPr>
          </w:p>
        </w:tc>
      </w:tr>
      <w:tr w:rsidR="00032040" w:rsidTr="008E7F88">
        <w:tc>
          <w:tcPr>
            <w:tcW w:w="16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sz w:val="28"/>
              </w:rPr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35370C">
            <w:r>
              <w:rPr>
                <w:rFonts w:eastAsia="標楷體"/>
                <w:sz w:val="28"/>
              </w:rPr>
              <w:t>相關門診病歷資料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sz w:val="28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sz w:val="28"/>
              </w:rPr>
            </w:pPr>
          </w:p>
        </w:tc>
      </w:tr>
      <w:tr w:rsidR="00032040" w:rsidTr="008E7F88">
        <w:tc>
          <w:tcPr>
            <w:tcW w:w="16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sz w:val="28"/>
              </w:rPr>
            </w:pP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35370C">
            <w:r>
              <w:rPr>
                <w:rFonts w:eastAsia="標楷體"/>
                <w:sz w:val="28"/>
              </w:rPr>
              <w:t>電腦斷層或核磁共振檢查</w:t>
            </w:r>
            <w:r>
              <w:rPr>
                <w:rFonts w:eastAsia="標楷體"/>
                <w:sz w:val="28"/>
              </w:rPr>
              <w:t>(CT or MRI)</w:t>
            </w: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sz w:val="28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sz w:val="28"/>
              </w:rPr>
            </w:pPr>
          </w:p>
        </w:tc>
      </w:tr>
      <w:tr w:rsidR="008E7F88" w:rsidTr="008E7F88"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F88" w:rsidRDefault="008E7F88">
            <w:pPr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2、</w:t>
            </w:r>
            <w:r w:rsidRPr="008E7F88">
              <w:rPr>
                <w:rFonts w:ascii="標楷體" w:eastAsia="標楷體" w:hAnsi="標楷體" w:hint="eastAsia"/>
                <w:sz w:val="28"/>
              </w:rPr>
              <w:t>可以同時</w:t>
            </w:r>
            <w:proofErr w:type="gramStart"/>
            <w:r w:rsidRPr="008E7F88">
              <w:rPr>
                <w:rFonts w:ascii="標楷體" w:eastAsia="標楷體" w:hAnsi="標楷體" w:hint="eastAsia"/>
                <w:sz w:val="28"/>
              </w:rPr>
              <w:t>兩耳植入</w:t>
            </w:r>
            <w:proofErr w:type="gramEnd"/>
            <w:r w:rsidRPr="008E7F88">
              <w:rPr>
                <w:rFonts w:ascii="標楷體" w:eastAsia="標楷體" w:hAnsi="標楷體" w:hint="eastAsia"/>
                <w:sz w:val="28"/>
              </w:rPr>
              <w:t>或依序植入，如果是採用依序植入，</w:t>
            </w:r>
            <w:proofErr w:type="gramStart"/>
            <w:r w:rsidRPr="008E7F88">
              <w:rPr>
                <w:rFonts w:ascii="標楷體" w:eastAsia="標楷體" w:hAnsi="標楷體" w:hint="eastAsia"/>
                <w:sz w:val="28"/>
              </w:rPr>
              <w:t>第二耳須</w:t>
            </w:r>
            <w:proofErr w:type="gramEnd"/>
            <w:r w:rsidRPr="008E7F88">
              <w:rPr>
                <w:rFonts w:ascii="標楷體" w:eastAsia="標楷體" w:hAnsi="標楷體" w:hint="eastAsia"/>
                <w:sz w:val="28"/>
              </w:rPr>
              <w:t>持續配戴助聽器，如果</w:t>
            </w:r>
            <w:proofErr w:type="gramStart"/>
            <w:r w:rsidRPr="008E7F88">
              <w:rPr>
                <w:rFonts w:ascii="標楷體" w:eastAsia="標楷體" w:hAnsi="標楷體" w:hint="eastAsia"/>
                <w:sz w:val="28"/>
              </w:rPr>
              <w:t>第二耳因為</w:t>
            </w:r>
            <w:proofErr w:type="gramEnd"/>
            <w:r w:rsidRPr="008E7F88">
              <w:rPr>
                <w:rFonts w:ascii="標楷體" w:eastAsia="標楷體" w:hAnsi="標楷體" w:hint="eastAsia"/>
                <w:sz w:val="28"/>
              </w:rPr>
              <w:t>助聽器無效中斷，中斷時間不得超過五年。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F88" w:rsidRDefault="008E7F88">
            <w:pPr>
              <w:rPr>
                <w:rFonts w:eastAsia="標楷體"/>
                <w:sz w:val="28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F88" w:rsidRDefault="008E7F88">
            <w:pPr>
              <w:rPr>
                <w:rFonts w:eastAsia="標楷體"/>
                <w:sz w:val="28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7F88" w:rsidRDefault="008E7F88">
            <w:pPr>
              <w:rPr>
                <w:rFonts w:eastAsia="標楷體"/>
                <w:sz w:val="28"/>
              </w:rPr>
            </w:pPr>
          </w:p>
        </w:tc>
      </w:tr>
      <w:tr w:rsidR="00032040" w:rsidTr="008E7F88"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8E7F88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3、</w:t>
            </w:r>
            <w:r w:rsidR="0035370C">
              <w:rPr>
                <w:rFonts w:ascii="標楷體" w:eastAsia="標楷體" w:hAnsi="標楷體"/>
                <w:sz w:val="28"/>
              </w:rPr>
              <w:t>每人終身</w:t>
            </w:r>
            <w:proofErr w:type="gramStart"/>
            <w:r w:rsidRPr="008E7F88">
              <w:rPr>
                <w:rFonts w:ascii="標楷體" w:eastAsia="標楷體" w:hAnsi="標楷體" w:hint="eastAsia"/>
                <w:sz w:val="28"/>
              </w:rPr>
              <w:t>單側</w:t>
            </w:r>
            <w:r w:rsidR="0035370C">
              <w:rPr>
                <w:rFonts w:ascii="標楷體" w:eastAsia="標楷體" w:hAnsi="標楷體"/>
                <w:sz w:val="28"/>
              </w:rPr>
              <w:t>限申報植入體及</w:t>
            </w:r>
            <w:proofErr w:type="gramEnd"/>
            <w:r w:rsidR="0035370C">
              <w:rPr>
                <w:rFonts w:ascii="標楷體" w:eastAsia="標楷體" w:hAnsi="標楷體"/>
                <w:sz w:val="28"/>
              </w:rPr>
              <w:t>聲音處理器各一組。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sz w:val="28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sz w:val="28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sz w:val="28"/>
              </w:rPr>
            </w:pPr>
          </w:p>
        </w:tc>
      </w:tr>
      <w:tr w:rsidR="00032040" w:rsidTr="008E7F88">
        <w:tc>
          <w:tcPr>
            <w:tcW w:w="1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8E7F88">
            <w:r>
              <w:rPr>
                <w:rFonts w:ascii="標楷體" w:eastAsia="標楷體" w:hAnsi="標楷體" w:hint="eastAsia"/>
                <w:sz w:val="28"/>
              </w:rPr>
              <w:t>4</w:t>
            </w:r>
            <w:r w:rsidR="0035370C">
              <w:rPr>
                <w:rFonts w:ascii="標楷體" w:eastAsia="標楷體" w:hAnsi="標楷體"/>
                <w:sz w:val="28"/>
              </w:rPr>
              <w:t>、應事前審查，申報時應檢附全民健康保險「人工電子耳」</w:t>
            </w:r>
            <w:proofErr w:type="gramStart"/>
            <w:r w:rsidR="0035370C">
              <w:rPr>
                <w:rFonts w:ascii="標楷體" w:eastAsia="標楷體" w:hAnsi="標楷體"/>
                <w:sz w:val="28"/>
              </w:rPr>
              <w:t>特</w:t>
            </w:r>
            <w:proofErr w:type="gramEnd"/>
            <w:r w:rsidR="0035370C">
              <w:rPr>
                <w:rFonts w:ascii="標楷體" w:eastAsia="標楷體" w:hAnsi="標楷體"/>
                <w:sz w:val="28"/>
              </w:rPr>
              <w:t>材事前特殊專案審查檢附資料</w:t>
            </w:r>
            <w:proofErr w:type="gramStart"/>
            <w:r w:rsidR="0035370C">
              <w:rPr>
                <w:rFonts w:ascii="標楷體" w:eastAsia="標楷體" w:hAnsi="標楷體"/>
                <w:sz w:val="28"/>
              </w:rPr>
              <w:t>查檢表等</w:t>
            </w:r>
            <w:proofErr w:type="gramEnd"/>
            <w:r w:rsidR="0035370C">
              <w:rPr>
                <w:rFonts w:ascii="標楷體" w:eastAsia="標楷體" w:hAnsi="標楷體"/>
                <w:sz w:val="28"/>
              </w:rPr>
              <w:t>病人相關資料。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sz w:val="28"/>
              </w:rPr>
            </w:pPr>
          </w:p>
        </w:tc>
        <w:tc>
          <w:tcPr>
            <w:tcW w:w="1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sz w:val="28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040" w:rsidRDefault="00032040">
            <w:pPr>
              <w:rPr>
                <w:rFonts w:eastAsia="標楷體"/>
                <w:sz w:val="28"/>
              </w:rPr>
            </w:pPr>
          </w:p>
        </w:tc>
      </w:tr>
    </w:tbl>
    <w:p w:rsidR="00032040" w:rsidRDefault="00032040">
      <w:pPr>
        <w:spacing w:line="480" w:lineRule="exact"/>
        <w:ind w:left="1131" w:hanging="848"/>
        <w:jc w:val="center"/>
        <w:rPr>
          <w:rFonts w:ascii="Times New Roman" w:eastAsia="標楷體" w:hAnsi="Times New Roman"/>
          <w:sz w:val="28"/>
          <w:szCs w:val="28"/>
        </w:rPr>
      </w:pPr>
    </w:p>
    <w:sectPr w:rsidR="00032040" w:rsidSect="008E7F88">
      <w:footerReference w:type="default" r:id="rId7"/>
      <w:pgSz w:w="11906" w:h="16838"/>
      <w:pgMar w:top="720" w:right="720" w:bottom="720" w:left="720" w:header="851" w:footer="567" w:gutter="0"/>
      <w:cols w:space="720"/>
      <w:docGrid w:type="lines" w:linePitch="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3C0" w:rsidRDefault="0035370C">
      <w:r>
        <w:separator/>
      </w:r>
    </w:p>
  </w:endnote>
  <w:endnote w:type="continuationSeparator" w:id="0">
    <w:p w:rsidR="00F543C0" w:rsidRDefault="0035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866" w:rsidRDefault="00042E99">
    <w:pPr>
      <w:pStyle w:val="a6"/>
      <w:jc w:val="center"/>
    </w:pPr>
  </w:p>
  <w:p w:rsidR="00802866" w:rsidRDefault="00042E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3C0" w:rsidRDefault="0035370C">
      <w:r>
        <w:rPr>
          <w:color w:val="000000"/>
        </w:rPr>
        <w:separator/>
      </w:r>
    </w:p>
  </w:footnote>
  <w:footnote w:type="continuationSeparator" w:id="0">
    <w:p w:rsidR="00F543C0" w:rsidRDefault="00353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61C50"/>
    <w:multiLevelType w:val="multilevel"/>
    <w:tmpl w:val="B59CD97A"/>
    <w:styleLink w:val="LFO23"/>
    <w:lvl w:ilvl="0">
      <w:start w:val="4"/>
      <w:numFmt w:val="taiwaneseCountingThousand"/>
      <w:pStyle w:val="a"/>
      <w:lvlText w:val="%1、"/>
      <w:lvlJc w:val="left"/>
      <w:pPr>
        <w:ind w:left="1759" w:hanging="62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autoHyphenation/>
  <w:drawingGridHorizontalSpacing w:val="120"/>
  <w:drawingGridVerticalSpacing w:val="49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040"/>
    <w:rsid w:val="00032040"/>
    <w:rsid w:val="00042E99"/>
    <w:rsid w:val="0035370C"/>
    <w:rsid w:val="008E7F88"/>
    <w:rsid w:val="00D170F4"/>
    <w:rsid w:val="00F5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DBA42"/>
  <w15:docId w15:val="{E42D6106-5976-4EED-B7D0-D4845B0B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customStyle="1" w:styleId="1">
    <w:name w:val="第1案"/>
    <w:pPr>
      <w:suppressAutoHyphens/>
      <w:snapToGrid w:val="0"/>
      <w:spacing w:line="480" w:lineRule="exact"/>
      <w:ind w:left="1134" w:hanging="1134"/>
    </w:pPr>
    <w:rPr>
      <w:rFonts w:ascii="Times New Roman" w:eastAsia="標楷體" w:hAnsi="Times New Roman"/>
      <w:sz w:val="28"/>
      <w:szCs w:val="28"/>
    </w:rPr>
  </w:style>
  <w:style w:type="paragraph" w:customStyle="1" w:styleId="10">
    <w:name w:val="第1案說明/決定/結論"/>
    <w:basedOn w:val="a0"/>
    <w:pPr>
      <w:snapToGrid w:val="0"/>
      <w:spacing w:line="480" w:lineRule="exact"/>
      <w:ind w:left="1133" w:hanging="843"/>
    </w:pPr>
    <w:rPr>
      <w:rFonts w:ascii="Times New Roman" w:eastAsia="標楷體" w:hAnsi="Times New Roman"/>
      <w:sz w:val="28"/>
      <w:szCs w:val="28"/>
    </w:rPr>
  </w:style>
  <w:style w:type="character" w:customStyle="1" w:styleId="11">
    <w:name w:val="第1案 字元"/>
    <w:basedOn w:val="a1"/>
    <w:rPr>
      <w:rFonts w:ascii="Times New Roman" w:eastAsia="標楷體" w:hAnsi="Times New Roman" w:cs="Times New Roman"/>
      <w:sz w:val="28"/>
      <w:szCs w:val="28"/>
    </w:rPr>
  </w:style>
  <w:style w:type="character" w:customStyle="1" w:styleId="12">
    <w:name w:val="第1案說明/決定/結論 字元"/>
    <w:basedOn w:val="a1"/>
    <w:rPr>
      <w:rFonts w:ascii="Times New Roman" w:eastAsia="標楷體" w:hAnsi="Times New Roman" w:cs="Times New Roman"/>
      <w:sz w:val="28"/>
      <w:szCs w:val="28"/>
    </w:rPr>
  </w:style>
  <w:style w:type="paragraph" w:customStyle="1" w:styleId="13">
    <w:name w:val="第1案(一)"/>
    <w:basedOn w:val="a8"/>
    <w:next w:val="a0"/>
    <w:pPr>
      <w:snapToGrid w:val="0"/>
      <w:spacing w:line="480" w:lineRule="exact"/>
      <w:ind w:left="1134" w:hanging="490"/>
    </w:pPr>
    <w:rPr>
      <w:rFonts w:ascii="Times New Roman" w:eastAsia="標楷體" w:hAnsi="Times New Roman"/>
      <w:sz w:val="28"/>
      <w:szCs w:val="28"/>
    </w:rPr>
  </w:style>
  <w:style w:type="character" w:customStyle="1" w:styleId="14">
    <w:name w:val="第1案(一) 字元"/>
    <w:basedOn w:val="a1"/>
    <w:rPr>
      <w:rFonts w:ascii="Times New Roman" w:eastAsia="標楷體" w:hAnsi="Times New Roman" w:cs="Times New Roman"/>
      <w:sz w:val="28"/>
      <w:szCs w:val="28"/>
    </w:rPr>
  </w:style>
  <w:style w:type="paragraph" w:styleId="a8">
    <w:name w:val="List Paragraph"/>
    <w:basedOn w:val="a0"/>
    <w:pPr>
      <w:ind w:left="480"/>
    </w:pPr>
  </w:style>
  <w:style w:type="paragraph" w:customStyle="1" w:styleId="a9">
    <w:name w:val="壹"/>
    <w:basedOn w:val="a0"/>
    <w:pPr>
      <w:tabs>
        <w:tab w:val="left" w:pos="567"/>
        <w:tab w:val="left" w:pos="1134"/>
        <w:tab w:val="left" w:pos="1276"/>
      </w:tabs>
      <w:snapToGrid w:val="0"/>
      <w:spacing w:line="480" w:lineRule="exact"/>
      <w:jc w:val="both"/>
    </w:pPr>
    <w:rPr>
      <w:rFonts w:ascii="Times New Roman" w:eastAsia="標楷體" w:hAnsi="Times New Roman"/>
      <w:sz w:val="28"/>
      <w:szCs w:val="28"/>
    </w:rPr>
  </w:style>
  <w:style w:type="character" w:customStyle="1" w:styleId="aa">
    <w:name w:val="壹 字元"/>
    <w:basedOn w:val="a1"/>
    <w:rPr>
      <w:rFonts w:ascii="Times New Roman" w:eastAsia="標楷體" w:hAnsi="Times New Roman" w:cs="Times New Roman"/>
      <w:sz w:val="28"/>
      <w:szCs w:val="28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15">
    <w:name w:val="1."/>
    <w:pPr>
      <w:suppressAutoHyphens/>
      <w:snapToGrid w:val="0"/>
      <w:spacing w:line="440" w:lineRule="atLeast"/>
      <w:ind w:left="470" w:hanging="80"/>
      <w:jc w:val="both"/>
    </w:pPr>
    <w:rPr>
      <w:rFonts w:ascii="Times New Roman" w:eastAsia="標楷體" w:hAnsi="Times New Roman"/>
      <w:sz w:val="28"/>
      <w:szCs w:val="28"/>
    </w:rPr>
  </w:style>
  <w:style w:type="character" w:customStyle="1" w:styleId="16">
    <w:name w:val="1. 字元"/>
    <w:basedOn w:val="a1"/>
    <w:rPr>
      <w:rFonts w:ascii="Times New Roman" w:eastAsia="標楷體" w:hAnsi="Times New Roman" w:cs="Times New Roman"/>
      <w:sz w:val="28"/>
      <w:szCs w:val="28"/>
    </w:rPr>
  </w:style>
  <w:style w:type="paragraph" w:customStyle="1" w:styleId="cjk">
    <w:name w:val="cjk"/>
    <w:basedOn w:val="a0"/>
    <w:pPr>
      <w:widowControl/>
      <w:spacing w:before="100"/>
    </w:pPr>
    <w:rPr>
      <w:rFonts w:ascii="新細明體" w:hAnsi="新細明體" w:cs="新細明體"/>
      <w:kern w:val="0"/>
      <w:szCs w:val="24"/>
    </w:rPr>
  </w:style>
  <w:style w:type="paragraph" w:styleId="ab">
    <w:name w:val="Balloon Text"/>
    <w:basedOn w:val="a0"/>
    <w:rPr>
      <w:rFonts w:ascii="Cambria" w:hAnsi="Cambria"/>
      <w:sz w:val="18"/>
      <w:szCs w:val="18"/>
    </w:rPr>
  </w:style>
  <w:style w:type="character" w:customStyle="1" w:styleId="ac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paragraph" w:customStyle="1" w:styleId="ad">
    <w:name w:val="(一)案由"/>
    <w:pPr>
      <w:suppressAutoHyphens/>
      <w:snapToGrid w:val="0"/>
      <w:spacing w:line="440" w:lineRule="atLeast"/>
      <w:ind w:left="570" w:hanging="570"/>
      <w:jc w:val="both"/>
    </w:pPr>
    <w:rPr>
      <w:rFonts w:ascii="Times New Roman" w:eastAsia="標楷體" w:hAnsi="Times New Roman"/>
      <w:sz w:val="28"/>
      <w:szCs w:val="28"/>
    </w:rPr>
  </w:style>
  <w:style w:type="character" w:customStyle="1" w:styleId="ae">
    <w:name w:val="(一)案由 字元"/>
    <w:rPr>
      <w:rFonts w:ascii="Times New Roman" w:eastAsia="標楷體" w:hAnsi="Times New Roman" w:cs="Times New Roman"/>
      <w:sz w:val="28"/>
      <w:szCs w:val="28"/>
    </w:rPr>
  </w:style>
  <w:style w:type="character" w:customStyle="1" w:styleId="af">
    <w:name w:val="清單段落 字元"/>
  </w:style>
  <w:style w:type="character" w:styleId="af0">
    <w:name w:val="annotation reference"/>
    <w:basedOn w:val="a1"/>
    <w:rPr>
      <w:sz w:val="18"/>
      <w:szCs w:val="18"/>
    </w:rPr>
  </w:style>
  <w:style w:type="paragraph" w:styleId="af1">
    <w:name w:val="annotation text"/>
    <w:basedOn w:val="a0"/>
  </w:style>
  <w:style w:type="character" w:customStyle="1" w:styleId="af2">
    <w:name w:val="註解文字 字元"/>
    <w:basedOn w:val="a1"/>
  </w:style>
  <w:style w:type="paragraph" w:styleId="af3">
    <w:name w:val="annotation subject"/>
    <w:basedOn w:val="af1"/>
    <w:next w:val="af1"/>
    <w:rPr>
      <w:b/>
      <w:bCs/>
    </w:rPr>
  </w:style>
  <w:style w:type="character" w:customStyle="1" w:styleId="af4">
    <w:name w:val="註解主旨 字元"/>
    <w:basedOn w:val="af2"/>
    <w:rPr>
      <w:b/>
      <w:bCs/>
    </w:rPr>
  </w:style>
  <w:style w:type="paragraph" w:styleId="af5">
    <w:name w:val="Revision"/>
    <w:pPr>
      <w:textAlignment w:val="auto"/>
    </w:pPr>
  </w:style>
  <w:style w:type="paragraph" w:customStyle="1" w:styleId="af6">
    <w:name w:val="提案"/>
    <w:basedOn w:val="a0"/>
    <w:pPr>
      <w:suppressAutoHyphens w:val="0"/>
      <w:snapToGrid w:val="0"/>
      <w:spacing w:line="440" w:lineRule="exact"/>
      <w:ind w:left="960" w:hanging="960"/>
      <w:jc w:val="both"/>
      <w:textAlignment w:val="auto"/>
    </w:pPr>
    <w:rPr>
      <w:rFonts w:ascii="全真楷書" w:eastAsia="全真楷書" w:hAnsi="全真楷書"/>
      <w:sz w:val="32"/>
      <w:szCs w:val="24"/>
    </w:rPr>
  </w:style>
  <w:style w:type="paragraph" w:styleId="af7">
    <w:name w:val="No Spacing"/>
    <w:pPr>
      <w:widowControl w:val="0"/>
      <w:spacing w:line="400" w:lineRule="exact"/>
      <w:textAlignment w:val="auto"/>
    </w:pPr>
    <w:rPr>
      <w:sz w:val="28"/>
    </w:rPr>
  </w:style>
  <w:style w:type="paragraph" w:customStyle="1" w:styleId="a">
    <w:name w:val="說明一、"/>
    <w:basedOn w:val="a0"/>
    <w:pPr>
      <w:numPr>
        <w:numId w:val="1"/>
      </w:numPr>
      <w:suppressAutoHyphens w:val="0"/>
      <w:spacing w:line="560" w:lineRule="exact"/>
      <w:jc w:val="both"/>
    </w:pPr>
    <w:rPr>
      <w:rFonts w:ascii="標楷體" w:eastAsia="標楷體" w:hAnsi="標楷體"/>
      <w:kern w:val="0"/>
      <w:sz w:val="32"/>
      <w:szCs w:val="20"/>
    </w:rPr>
  </w:style>
  <w:style w:type="paragraph" w:customStyle="1" w:styleId="af8">
    <w:name w:val="說明.結論"/>
    <w:pPr>
      <w:snapToGrid w:val="0"/>
      <w:spacing w:line="440" w:lineRule="atLeast"/>
      <w:ind w:left="445" w:hanging="295"/>
      <w:textAlignment w:val="auto"/>
    </w:pPr>
    <w:rPr>
      <w:rFonts w:ascii="Times New Roman" w:eastAsia="標楷體" w:hAnsi="Times New Roman"/>
      <w:sz w:val="28"/>
      <w:szCs w:val="28"/>
    </w:rPr>
  </w:style>
  <w:style w:type="character" w:customStyle="1" w:styleId="af9">
    <w:name w:val="說明.結論 字元"/>
    <w:basedOn w:val="a1"/>
    <w:rPr>
      <w:rFonts w:ascii="Times New Roman" w:eastAsia="標楷體" w:hAnsi="Times New Roman"/>
      <w:kern w:val="3"/>
      <w:sz w:val="28"/>
      <w:szCs w:val="28"/>
    </w:rPr>
  </w:style>
  <w:style w:type="numbering" w:customStyle="1" w:styleId="LFO23">
    <w:name w:val="LFO23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沈瑞珍</dc:creator>
  <cp:lastModifiedBy>宋宛蓁</cp:lastModifiedBy>
  <cp:revision>6</cp:revision>
  <cp:lastPrinted>2019-07-22T09:52:00Z</cp:lastPrinted>
  <dcterms:created xsi:type="dcterms:W3CDTF">2023-06-14T02:36:00Z</dcterms:created>
  <dcterms:modified xsi:type="dcterms:W3CDTF">2023-06-14T02:57:00Z</dcterms:modified>
</cp:coreProperties>
</file>