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FE" w:rsidRDefault="00F0074F">
      <w:pPr>
        <w:spacing w:after="360" w:line="440" w:lineRule="exact"/>
        <w:ind w:right="-199"/>
        <w:jc w:val="center"/>
      </w:pPr>
      <w:bookmarkStart w:id="0" w:name="_GoBack"/>
      <w:bookmarkEnd w:id="0"/>
      <w:r>
        <w:rPr>
          <w:rFonts w:ascii="標楷體" w:eastAsia="標楷體" w:hAnsi="標楷體"/>
          <w:noProof/>
          <w:color w:val="000000"/>
          <w:sz w:val="32"/>
          <w:szCs w:val="36"/>
        </w:rPr>
        <mc:AlternateContent>
          <mc:Choice Requires="wps">
            <w:drawing>
              <wp:anchor distT="0" distB="0" distL="114300" distR="114300" simplePos="0" relativeHeight="251657728" behindDoc="0" locked="0" layoutInCell="1" allowOverlap="1">
                <wp:simplePos x="0" y="0"/>
                <wp:positionH relativeFrom="column">
                  <wp:posOffset>2276471</wp:posOffset>
                </wp:positionH>
                <wp:positionV relativeFrom="paragraph">
                  <wp:posOffset>423540</wp:posOffset>
                </wp:positionV>
                <wp:extent cx="4295778" cy="638178"/>
                <wp:effectExtent l="0" t="0" r="9522" b="9522"/>
                <wp:wrapNone/>
                <wp:docPr id="1" name="Text Box 2"/>
                <wp:cNvGraphicFramePr/>
                <a:graphic xmlns:a="http://schemas.openxmlformats.org/drawingml/2006/main">
                  <a:graphicData uri="http://schemas.microsoft.com/office/word/2010/wordprocessingShape">
                    <wps:wsp>
                      <wps:cNvSpPr txBox="1"/>
                      <wps:spPr>
                        <a:xfrm>
                          <a:off x="0" y="0"/>
                          <a:ext cx="4295778" cy="638178"/>
                        </a:xfrm>
                        <a:prstGeom prst="rect">
                          <a:avLst/>
                        </a:prstGeom>
                        <a:solidFill>
                          <a:srgbClr val="FFFFFF"/>
                        </a:solidFill>
                        <a:ln>
                          <a:noFill/>
                          <a:prstDash/>
                        </a:ln>
                      </wps:spPr>
                      <wps:txbx>
                        <w:txbxContent>
                          <w:p w:rsidR="00811BFE" w:rsidRDefault="00F0074F">
                            <w:pPr>
                              <w:spacing w:line="280" w:lineRule="exact"/>
                              <w:rPr>
                                <w:rFonts w:ascii="標楷體" w:eastAsia="標楷體" w:hAnsi="標楷體"/>
                                <w:sz w:val="18"/>
                                <w:szCs w:val="18"/>
                              </w:rPr>
                            </w:pPr>
                            <w:r>
                              <w:rPr>
                                <w:rFonts w:ascii="標楷體" w:eastAsia="標楷體" w:hAnsi="標楷體"/>
                                <w:sz w:val="18"/>
                                <w:szCs w:val="18"/>
                              </w:rPr>
                              <w:t>101</w:t>
                            </w:r>
                            <w:r>
                              <w:rPr>
                                <w:rFonts w:ascii="標楷體" w:eastAsia="標楷體" w:hAnsi="標楷體"/>
                                <w:sz w:val="18"/>
                                <w:szCs w:val="18"/>
                              </w:rPr>
                              <w:t>年</w:t>
                            </w:r>
                            <w:r>
                              <w:rPr>
                                <w:rFonts w:ascii="標楷體" w:eastAsia="標楷體" w:hAnsi="標楷體"/>
                                <w:sz w:val="18"/>
                                <w:szCs w:val="18"/>
                              </w:rPr>
                              <w:t>12</w:t>
                            </w:r>
                            <w:r>
                              <w:rPr>
                                <w:rFonts w:ascii="標楷體" w:eastAsia="標楷體" w:hAnsi="標楷體"/>
                                <w:sz w:val="18"/>
                                <w:szCs w:val="18"/>
                              </w:rPr>
                              <w:t>月</w:t>
                            </w:r>
                            <w:r>
                              <w:rPr>
                                <w:rFonts w:ascii="標楷體" w:eastAsia="標楷體" w:hAnsi="標楷體"/>
                                <w:sz w:val="18"/>
                                <w:szCs w:val="18"/>
                              </w:rPr>
                              <w:t>26</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1010075875</w:t>
                            </w:r>
                            <w:proofErr w:type="gramEnd"/>
                            <w:r>
                              <w:rPr>
                                <w:rFonts w:ascii="標楷體" w:eastAsia="標楷體" w:hAnsi="標楷體"/>
                                <w:sz w:val="18"/>
                                <w:szCs w:val="18"/>
                              </w:rPr>
                              <w:t>號令訂定，自</w:t>
                            </w:r>
                            <w:r>
                              <w:rPr>
                                <w:rFonts w:ascii="標楷體" w:eastAsia="標楷體" w:hAnsi="標楷體"/>
                                <w:sz w:val="18"/>
                                <w:szCs w:val="18"/>
                              </w:rPr>
                              <w:t xml:space="preserve"> 101 </w:t>
                            </w:r>
                            <w:r>
                              <w:rPr>
                                <w:rFonts w:ascii="標楷體" w:eastAsia="標楷體" w:hAnsi="標楷體"/>
                                <w:sz w:val="18"/>
                                <w:szCs w:val="18"/>
                              </w:rPr>
                              <w:t>年</w:t>
                            </w:r>
                            <w:r>
                              <w:rPr>
                                <w:rFonts w:ascii="標楷體" w:eastAsia="標楷體" w:hAnsi="標楷體"/>
                                <w:sz w:val="18"/>
                                <w:szCs w:val="18"/>
                              </w:rPr>
                              <w:t xml:space="preserve">12 </w:t>
                            </w:r>
                            <w:r>
                              <w:rPr>
                                <w:rFonts w:ascii="標楷體" w:eastAsia="標楷體" w:hAnsi="標楷體"/>
                                <w:sz w:val="18"/>
                                <w:szCs w:val="18"/>
                              </w:rPr>
                              <w:t>月</w:t>
                            </w:r>
                            <w:r>
                              <w:rPr>
                                <w:rFonts w:ascii="標楷體" w:eastAsia="標楷體" w:hAnsi="標楷體"/>
                                <w:sz w:val="18"/>
                                <w:szCs w:val="18"/>
                              </w:rPr>
                              <w:t xml:space="preserve"> 1</w:t>
                            </w:r>
                            <w:r>
                              <w:rPr>
                                <w:rFonts w:ascii="標楷體" w:eastAsia="標楷體" w:hAnsi="標楷體"/>
                                <w:sz w:val="18"/>
                                <w:szCs w:val="18"/>
                              </w:rPr>
                              <w:t>日生效</w:t>
                            </w:r>
                          </w:p>
                          <w:p w:rsidR="00811BFE" w:rsidRDefault="00F0074F">
                            <w:pPr>
                              <w:spacing w:line="280" w:lineRule="exact"/>
                              <w:rPr>
                                <w:rFonts w:ascii="標楷體" w:eastAsia="標楷體" w:hAnsi="標楷體"/>
                                <w:sz w:val="18"/>
                                <w:szCs w:val="18"/>
                              </w:rPr>
                            </w:pPr>
                            <w:r>
                              <w:rPr>
                                <w:rFonts w:ascii="標楷體" w:eastAsia="標楷體" w:hAnsi="標楷體"/>
                                <w:sz w:val="18"/>
                                <w:szCs w:val="18"/>
                              </w:rPr>
                              <w:t>102</w:t>
                            </w:r>
                            <w:r>
                              <w:rPr>
                                <w:rFonts w:ascii="標楷體" w:eastAsia="標楷體" w:hAnsi="標楷體"/>
                                <w:sz w:val="18"/>
                                <w:szCs w:val="18"/>
                              </w:rPr>
                              <w:t>年</w:t>
                            </w:r>
                            <w:r>
                              <w:rPr>
                                <w:rFonts w:ascii="標楷體" w:eastAsia="標楷體" w:hAnsi="標楷體"/>
                                <w:sz w:val="18"/>
                                <w:szCs w:val="18"/>
                              </w:rPr>
                              <w:t xml:space="preserve"> 7</w:t>
                            </w:r>
                            <w:r>
                              <w:rPr>
                                <w:rFonts w:ascii="標楷體" w:eastAsia="標楷體" w:hAnsi="標楷體"/>
                                <w:sz w:val="18"/>
                                <w:szCs w:val="18"/>
                              </w:rPr>
                              <w:t>月</w:t>
                            </w:r>
                            <w:r>
                              <w:rPr>
                                <w:rFonts w:ascii="標楷體" w:eastAsia="標楷體" w:hAnsi="標楷體"/>
                                <w:sz w:val="18"/>
                                <w:szCs w:val="18"/>
                              </w:rPr>
                              <w:t>25</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1020035754</w:t>
                            </w:r>
                            <w:proofErr w:type="gramEnd"/>
                            <w:r>
                              <w:rPr>
                                <w:rFonts w:ascii="標楷體" w:eastAsia="標楷體" w:hAnsi="標楷體"/>
                                <w:sz w:val="18"/>
                                <w:szCs w:val="18"/>
                              </w:rPr>
                              <w:t>號令修定，自</w:t>
                            </w:r>
                            <w:r>
                              <w:rPr>
                                <w:rFonts w:ascii="標楷體" w:eastAsia="標楷體" w:hAnsi="標楷體"/>
                                <w:sz w:val="18"/>
                                <w:szCs w:val="18"/>
                              </w:rPr>
                              <w:t xml:space="preserve"> 102 </w:t>
                            </w:r>
                            <w:r>
                              <w:rPr>
                                <w:rFonts w:ascii="標楷體" w:eastAsia="標楷體" w:hAnsi="標楷體"/>
                                <w:sz w:val="18"/>
                                <w:szCs w:val="18"/>
                              </w:rPr>
                              <w:t>年</w:t>
                            </w:r>
                            <w:r>
                              <w:rPr>
                                <w:rFonts w:ascii="標楷體" w:eastAsia="標楷體" w:hAnsi="標楷體"/>
                                <w:sz w:val="18"/>
                                <w:szCs w:val="18"/>
                              </w:rPr>
                              <w:t xml:space="preserve"> 7 </w:t>
                            </w:r>
                            <w:r>
                              <w:rPr>
                                <w:rFonts w:ascii="標楷體" w:eastAsia="標楷體" w:hAnsi="標楷體"/>
                                <w:sz w:val="18"/>
                                <w:szCs w:val="18"/>
                              </w:rPr>
                              <w:t>月</w:t>
                            </w:r>
                            <w:r>
                              <w:rPr>
                                <w:rFonts w:ascii="標楷體" w:eastAsia="標楷體" w:hAnsi="標楷體"/>
                                <w:sz w:val="18"/>
                                <w:szCs w:val="18"/>
                              </w:rPr>
                              <w:t>23</w:t>
                            </w:r>
                            <w:r>
                              <w:rPr>
                                <w:rFonts w:ascii="標楷體" w:eastAsia="標楷體" w:hAnsi="標楷體"/>
                                <w:sz w:val="18"/>
                                <w:szCs w:val="18"/>
                              </w:rPr>
                              <w:t>日生效</w:t>
                            </w:r>
                          </w:p>
                          <w:p w:rsidR="00811BFE" w:rsidRDefault="00F0074F">
                            <w:pPr>
                              <w:spacing w:line="280" w:lineRule="exact"/>
                            </w:pPr>
                            <w:r>
                              <w:rPr>
                                <w:rFonts w:ascii="標楷體" w:eastAsia="標楷體" w:hAnsi="標楷體"/>
                                <w:sz w:val="18"/>
                                <w:szCs w:val="18"/>
                              </w:rPr>
                              <w:t>110</w:t>
                            </w:r>
                            <w:r>
                              <w:rPr>
                                <w:rFonts w:ascii="標楷體" w:eastAsia="標楷體" w:hAnsi="標楷體"/>
                                <w:sz w:val="18"/>
                                <w:szCs w:val="18"/>
                              </w:rPr>
                              <w:t>年</w:t>
                            </w:r>
                            <w:r>
                              <w:rPr>
                                <w:rFonts w:ascii="標楷體" w:eastAsia="標楷體" w:hAnsi="標楷體"/>
                                <w:sz w:val="18"/>
                                <w:szCs w:val="18"/>
                              </w:rPr>
                              <w:t>12</w:t>
                            </w:r>
                            <w:r>
                              <w:rPr>
                                <w:rFonts w:ascii="標楷體" w:eastAsia="標楷體" w:hAnsi="標楷體"/>
                                <w:sz w:val="18"/>
                                <w:szCs w:val="18"/>
                              </w:rPr>
                              <w:t>月</w:t>
                            </w:r>
                            <w:r>
                              <w:rPr>
                                <w:rFonts w:ascii="標楷體" w:eastAsia="標楷體" w:hAnsi="標楷體"/>
                                <w:sz w:val="18"/>
                                <w:szCs w:val="18"/>
                              </w:rPr>
                              <w:t>15</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1100036634</w:t>
                            </w:r>
                            <w:proofErr w:type="gramEnd"/>
                            <w:r>
                              <w:rPr>
                                <w:rFonts w:ascii="標楷體" w:eastAsia="標楷體" w:hAnsi="標楷體"/>
                                <w:sz w:val="18"/>
                                <w:szCs w:val="18"/>
                              </w:rPr>
                              <w:t>號令修定，自</w:t>
                            </w:r>
                            <w:r>
                              <w:rPr>
                                <w:rFonts w:ascii="標楷體" w:eastAsia="標楷體" w:hAnsi="標楷體"/>
                                <w:sz w:val="18"/>
                                <w:szCs w:val="18"/>
                              </w:rPr>
                              <w:t xml:space="preserve"> 110 </w:t>
                            </w:r>
                            <w:r>
                              <w:rPr>
                                <w:rFonts w:ascii="標楷體" w:eastAsia="標楷體" w:hAnsi="標楷體"/>
                                <w:sz w:val="18"/>
                                <w:szCs w:val="18"/>
                              </w:rPr>
                              <w:t>年</w:t>
                            </w:r>
                            <w:r>
                              <w:rPr>
                                <w:rFonts w:ascii="標楷體" w:eastAsia="標楷體" w:hAnsi="標楷體"/>
                                <w:sz w:val="18"/>
                                <w:szCs w:val="18"/>
                              </w:rPr>
                              <w:t xml:space="preserve">12 </w:t>
                            </w:r>
                            <w:r>
                              <w:rPr>
                                <w:rFonts w:ascii="標楷體" w:eastAsia="標楷體" w:hAnsi="標楷體"/>
                                <w:sz w:val="18"/>
                                <w:szCs w:val="18"/>
                              </w:rPr>
                              <w:t>月</w:t>
                            </w:r>
                            <w:r>
                              <w:rPr>
                                <w:rFonts w:ascii="標楷體" w:eastAsia="標楷體" w:hAnsi="標楷體"/>
                                <w:sz w:val="18"/>
                                <w:szCs w:val="18"/>
                              </w:rPr>
                              <w:t>15</w:t>
                            </w:r>
                            <w:r>
                              <w:rPr>
                                <w:rFonts w:ascii="標楷體" w:eastAsia="標楷體" w:hAnsi="標楷體"/>
                                <w:sz w:val="18"/>
                                <w:szCs w:val="18"/>
                              </w:rPr>
                              <w:t>日生效</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25pt;margin-top:33.35pt;width:338.25pt;height:50.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" stroked="f">
                <v:textbox>
                  <w:txbxContent>
                    <w:p w:rsidR="00811BFE" w:rsidRDefault="00F0074F">
                      <w:pPr>
                        <w:spacing w:line="280" w:lineRule="exact"/>
                        <w:rPr>
                          <w:rFonts w:ascii="標楷體" w:eastAsia="標楷體" w:hAnsi="標楷體"/>
                          <w:sz w:val="18"/>
                          <w:szCs w:val="18"/>
                        </w:rPr>
                      </w:pPr>
                      <w:r>
                        <w:rPr>
                          <w:rFonts w:ascii="標楷體" w:eastAsia="標楷體" w:hAnsi="標楷體"/>
                          <w:sz w:val="18"/>
                          <w:szCs w:val="18"/>
                        </w:rPr>
                        <w:t>101</w:t>
                      </w:r>
                      <w:r>
                        <w:rPr>
                          <w:rFonts w:ascii="標楷體" w:eastAsia="標楷體" w:hAnsi="標楷體"/>
                          <w:sz w:val="18"/>
                          <w:szCs w:val="18"/>
                        </w:rPr>
                        <w:t>年</w:t>
                      </w:r>
                      <w:r>
                        <w:rPr>
                          <w:rFonts w:ascii="標楷體" w:eastAsia="標楷體" w:hAnsi="標楷體"/>
                          <w:sz w:val="18"/>
                          <w:szCs w:val="18"/>
                        </w:rPr>
                        <w:t>12</w:t>
                      </w:r>
                      <w:r>
                        <w:rPr>
                          <w:rFonts w:ascii="標楷體" w:eastAsia="標楷體" w:hAnsi="標楷體"/>
                          <w:sz w:val="18"/>
                          <w:szCs w:val="18"/>
                        </w:rPr>
                        <w:t>月</w:t>
                      </w:r>
                      <w:r>
                        <w:rPr>
                          <w:rFonts w:ascii="標楷體" w:eastAsia="標楷體" w:hAnsi="標楷體"/>
                          <w:sz w:val="18"/>
                          <w:szCs w:val="18"/>
                        </w:rPr>
                        <w:t>26</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1010075875</w:t>
                      </w:r>
                      <w:proofErr w:type="gramEnd"/>
                      <w:r>
                        <w:rPr>
                          <w:rFonts w:ascii="標楷體" w:eastAsia="標楷體" w:hAnsi="標楷體"/>
                          <w:sz w:val="18"/>
                          <w:szCs w:val="18"/>
                        </w:rPr>
                        <w:t>號令訂定，自</w:t>
                      </w:r>
                      <w:r>
                        <w:rPr>
                          <w:rFonts w:ascii="標楷體" w:eastAsia="標楷體" w:hAnsi="標楷體"/>
                          <w:sz w:val="18"/>
                          <w:szCs w:val="18"/>
                        </w:rPr>
                        <w:t xml:space="preserve"> 101 </w:t>
                      </w:r>
                      <w:r>
                        <w:rPr>
                          <w:rFonts w:ascii="標楷體" w:eastAsia="標楷體" w:hAnsi="標楷體"/>
                          <w:sz w:val="18"/>
                          <w:szCs w:val="18"/>
                        </w:rPr>
                        <w:t>年</w:t>
                      </w:r>
                      <w:r>
                        <w:rPr>
                          <w:rFonts w:ascii="標楷體" w:eastAsia="標楷體" w:hAnsi="標楷體"/>
                          <w:sz w:val="18"/>
                          <w:szCs w:val="18"/>
                        </w:rPr>
                        <w:t xml:space="preserve">12 </w:t>
                      </w:r>
                      <w:r>
                        <w:rPr>
                          <w:rFonts w:ascii="標楷體" w:eastAsia="標楷體" w:hAnsi="標楷體"/>
                          <w:sz w:val="18"/>
                          <w:szCs w:val="18"/>
                        </w:rPr>
                        <w:t>月</w:t>
                      </w:r>
                      <w:r>
                        <w:rPr>
                          <w:rFonts w:ascii="標楷體" w:eastAsia="標楷體" w:hAnsi="標楷體"/>
                          <w:sz w:val="18"/>
                          <w:szCs w:val="18"/>
                        </w:rPr>
                        <w:t xml:space="preserve"> 1</w:t>
                      </w:r>
                      <w:r>
                        <w:rPr>
                          <w:rFonts w:ascii="標楷體" w:eastAsia="標楷體" w:hAnsi="標楷體"/>
                          <w:sz w:val="18"/>
                          <w:szCs w:val="18"/>
                        </w:rPr>
                        <w:t>日生效</w:t>
                      </w:r>
                    </w:p>
                    <w:p w:rsidR="00811BFE" w:rsidRDefault="00F0074F">
                      <w:pPr>
                        <w:spacing w:line="280" w:lineRule="exact"/>
                        <w:rPr>
                          <w:rFonts w:ascii="標楷體" w:eastAsia="標楷體" w:hAnsi="標楷體"/>
                          <w:sz w:val="18"/>
                          <w:szCs w:val="18"/>
                        </w:rPr>
                      </w:pPr>
                      <w:r>
                        <w:rPr>
                          <w:rFonts w:ascii="標楷體" w:eastAsia="標楷體" w:hAnsi="標楷體"/>
                          <w:sz w:val="18"/>
                          <w:szCs w:val="18"/>
                        </w:rPr>
                        <w:t>102</w:t>
                      </w:r>
                      <w:r>
                        <w:rPr>
                          <w:rFonts w:ascii="標楷體" w:eastAsia="標楷體" w:hAnsi="標楷體"/>
                          <w:sz w:val="18"/>
                          <w:szCs w:val="18"/>
                        </w:rPr>
                        <w:t>年</w:t>
                      </w:r>
                      <w:r>
                        <w:rPr>
                          <w:rFonts w:ascii="標楷體" w:eastAsia="標楷體" w:hAnsi="標楷體"/>
                          <w:sz w:val="18"/>
                          <w:szCs w:val="18"/>
                        </w:rPr>
                        <w:t xml:space="preserve"> 7</w:t>
                      </w:r>
                      <w:r>
                        <w:rPr>
                          <w:rFonts w:ascii="標楷體" w:eastAsia="標楷體" w:hAnsi="標楷體"/>
                          <w:sz w:val="18"/>
                          <w:szCs w:val="18"/>
                        </w:rPr>
                        <w:t>月</w:t>
                      </w:r>
                      <w:r>
                        <w:rPr>
                          <w:rFonts w:ascii="標楷體" w:eastAsia="標楷體" w:hAnsi="標楷體"/>
                          <w:sz w:val="18"/>
                          <w:szCs w:val="18"/>
                        </w:rPr>
                        <w:t>25</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1020035754</w:t>
                      </w:r>
                      <w:proofErr w:type="gramEnd"/>
                      <w:r>
                        <w:rPr>
                          <w:rFonts w:ascii="標楷體" w:eastAsia="標楷體" w:hAnsi="標楷體"/>
                          <w:sz w:val="18"/>
                          <w:szCs w:val="18"/>
                        </w:rPr>
                        <w:t>號令修定，自</w:t>
                      </w:r>
                      <w:r>
                        <w:rPr>
                          <w:rFonts w:ascii="標楷體" w:eastAsia="標楷體" w:hAnsi="標楷體"/>
                          <w:sz w:val="18"/>
                          <w:szCs w:val="18"/>
                        </w:rPr>
                        <w:t xml:space="preserve"> 102 </w:t>
                      </w:r>
                      <w:r>
                        <w:rPr>
                          <w:rFonts w:ascii="標楷體" w:eastAsia="標楷體" w:hAnsi="標楷體"/>
                          <w:sz w:val="18"/>
                          <w:szCs w:val="18"/>
                        </w:rPr>
                        <w:t>年</w:t>
                      </w:r>
                      <w:r>
                        <w:rPr>
                          <w:rFonts w:ascii="標楷體" w:eastAsia="標楷體" w:hAnsi="標楷體"/>
                          <w:sz w:val="18"/>
                          <w:szCs w:val="18"/>
                        </w:rPr>
                        <w:t xml:space="preserve"> 7 </w:t>
                      </w:r>
                      <w:r>
                        <w:rPr>
                          <w:rFonts w:ascii="標楷體" w:eastAsia="標楷體" w:hAnsi="標楷體"/>
                          <w:sz w:val="18"/>
                          <w:szCs w:val="18"/>
                        </w:rPr>
                        <w:t>月</w:t>
                      </w:r>
                      <w:r>
                        <w:rPr>
                          <w:rFonts w:ascii="標楷體" w:eastAsia="標楷體" w:hAnsi="標楷體"/>
                          <w:sz w:val="18"/>
                          <w:szCs w:val="18"/>
                        </w:rPr>
                        <w:t>23</w:t>
                      </w:r>
                      <w:r>
                        <w:rPr>
                          <w:rFonts w:ascii="標楷體" w:eastAsia="標楷體" w:hAnsi="標楷體"/>
                          <w:sz w:val="18"/>
                          <w:szCs w:val="18"/>
                        </w:rPr>
                        <w:t>日生效</w:t>
                      </w:r>
                    </w:p>
                    <w:p w:rsidR="00811BFE" w:rsidRDefault="00F0074F">
                      <w:pPr>
                        <w:spacing w:line="280" w:lineRule="exact"/>
                      </w:pPr>
                      <w:r>
                        <w:rPr>
                          <w:rFonts w:ascii="標楷體" w:eastAsia="標楷體" w:hAnsi="標楷體"/>
                          <w:sz w:val="18"/>
                          <w:szCs w:val="18"/>
                        </w:rPr>
                        <w:t>110</w:t>
                      </w:r>
                      <w:r>
                        <w:rPr>
                          <w:rFonts w:ascii="標楷體" w:eastAsia="標楷體" w:hAnsi="標楷體"/>
                          <w:sz w:val="18"/>
                          <w:szCs w:val="18"/>
                        </w:rPr>
                        <w:t>年</w:t>
                      </w:r>
                      <w:r>
                        <w:rPr>
                          <w:rFonts w:ascii="標楷體" w:eastAsia="標楷體" w:hAnsi="標楷體"/>
                          <w:sz w:val="18"/>
                          <w:szCs w:val="18"/>
                        </w:rPr>
                        <w:t>12</w:t>
                      </w:r>
                      <w:r>
                        <w:rPr>
                          <w:rFonts w:ascii="標楷體" w:eastAsia="標楷體" w:hAnsi="標楷體"/>
                          <w:sz w:val="18"/>
                          <w:szCs w:val="18"/>
                        </w:rPr>
                        <w:t>月</w:t>
                      </w:r>
                      <w:r>
                        <w:rPr>
                          <w:rFonts w:ascii="標楷體" w:eastAsia="標楷體" w:hAnsi="標楷體"/>
                          <w:sz w:val="18"/>
                          <w:szCs w:val="18"/>
                        </w:rPr>
                        <w:t>15</w:t>
                      </w:r>
                      <w:r>
                        <w:rPr>
                          <w:rFonts w:ascii="標楷體" w:eastAsia="標楷體" w:hAnsi="標楷體"/>
                          <w:sz w:val="18"/>
                          <w:szCs w:val="18"/>
                        </w:rPr>
                        <w:t>日</w:t>
                      </w:r>
                      <w:proofErr w:type="gramStart"/>
                      <w:r>
                        <w:rPr>
                          <w:rFonts w:ascii="標楷體" w:eastAsia="標楷體" w:hAnsi="標楷體"/>
                          <w:sz w:val="18"/>
                          <w:szCs w:val="18"/>
                        </w:rPr>
                        <w:t>健保審字第</w:t>
                      </w:r>
                      <w:r>
                        <w:rPr>
                          <w:rFonts w:ascii="標楷體" w:eastAsia="標楷體" w:hAnsi="標楷體"/>
                          <w:sz w:val="18"/>
                          <w:szCs w:val="18"/>
                        </w:rPr>
                        <w:t>1100036634</w:t>
                      </w:r>
                      <w:proofErr w:type="gramEnd"/>
                      <w:r>
                        <w:rPr>
                          <w:rFonts w:ascii="標楷體" w:eastAsia="標楷體" w:hAnsi="標楷體"/>
                          <w:sz w:val="18"/>
                          <w:szCs w:val="18"/>
                        </w:rPr>
                        <w:t>號令修定，自</w:t>
                      </w:r>
                      <w:r>
                        <w:rPr>
                          <w:rFonts w:ascii="標楷體" w:eastAsia="標楷體" w:hAnsi="標楷體"/>
                          <w:sz w:val="18"/>
                          <w:szCs w:val="18"/>
                        </w:rPr>
                        <w:t xml:space="preserve"> 110 </w:t>
                      </w:r>
                      <w:r>
                        <w:rPr>
                          <w:rFonts w:ascii="標楷體" w:eastAsia="標楷體" w:hAnsi="標楷體"/>
                          <w:sz w:val="18"/>
                          <w:szCs w:val="18"/>
                        </w:rPr>
                        <w:t>年</w:t>
                      </w:r>
                      <w:r>
                        <w:rPr>
                          <w:rFonts w:ascii="標楷體" w:eastAsia="標楷體" w:hAnsi="標楷體"/>
                          <w:sz w:val="18"/>
                          <w:szCs w:val="18"/>
                        </w:rPr>
                        <w:t xml:space="preserve">12 </w:t>
                      </w:r>
                      <w:r>
                        <w:rPr>
                          <w:rFonts w:ascii="標楷體" w:eastAsia="標楷體" w:hAnsi="標楷體"/>
                          <w:sz w:val="18"/>
                          <w:szCs w:val="18"/>
                        </w:rPr>
                        <w:t>月</w:t>
                      </w:r>
                      <w:r>
                        <w:rPr>
                          <w:rFonts w:ascii="標楷體" w:eastAsia="標楷體" w:hAnsi="標楷體"/>
                          <w:sz w:val="18"/>
                          <w:szCs w:val="18"/>
                        </w:rPr>
                        <w:t>15</w:t>
                      </w:r>
                      <w:r>
                        <w:rPr>
                          <w:rFonts w:ascii="標楷體" w:eastAsia="標楷體" w:hAnsi="標楷體"/>
                          <w:sz w:val="18"/>
                          <w:szCs w:val="18"/>
                        </w:rPr>
                        <w:t>日生效</w:t>
                      </w:r>
                    </w:p>
                  </w:txbxContent>
                </v:textbox>
              </v:shape>
            </w:pict>
          </mc:Fallback>
        </mc:AlternateContent>
      </w:r>
      <w:bookmarkStart w:id="1" w:name="_Hlk70667522"/>
      <w:r>
        <w:rPr>
          <w:rFonts w:ascii="標楷體" w:eastAsia="標楷體" w:hAnsi="標楷體"/>
          <w:color w:val="000000"/>
          <w:sz w:val="32"/>
          <w:szCs w:val="36"/>
        </w:rPr>
        <w:t>全民</w:t>
      </w:r>
      <w:bookmarkEnd w:id="1"/>
      <w:r>
        <w:rPr>
          <w:rFonts w:ascii="標楷體" w:eastAsia="標楷體" w:hAnsi="標楷體"/>
          <w:color w:val="000000"/>
          <w:sz w:val="32"/>
          <w:szCs w:val="36"/>
        </w:rPr>
        <w:t>健保</w:t>
      </w:r>
      <w:r>
        <w:rPr>
          <w:rFonts w:ascii="標楷體" w:eastAsia="標楷體" w:hAnsi="標楷體"/>
          <w:sz w:val="32"/>
          <w:szCs w:val="36"/>
        </w:rPr>
        <w:t>尚</w:t>
      </w:r>
      <w:bookmarkStart w:id="2" w:name="_Hlk70926985"/>
      <w:r>
        <w:rPr>
          <w:rFonts w:ascii="標楷體" w:eastAsia="標楷體" w:hAnsi="標楷體"/>
          <w:sz w:val="32"/>
          <w:szCs w:val="36"/>
        </w:rPr>
        <w:t>未納入給付</w:t>
      </w:r>
      <w:proofErr w:type="gramStart"/>
      <w:r>
        <w:rPr>
          <w:rFonts w:ascii="標楷體" w:eastAsia="標楷體" w:hAnsi="標楷體"/>
          <w:sz w:val="32"/>
          <w:szCs w:val="36"/>
        </w:rPr>
        <w:t>特</w:t>
      </w:r>
      <w:proofErr w:type="gramEnd"/>
      <w:r>
        <w:rPr>
          <w:rFonts w:ascii="標楷體" w:eastAsia="標楷體" w:hAnsi="標楷體"/>
          <w:sz w:val="32"/>
          <w:szCs w:val="36"/>
        </w:rPr>
        <w:t>材</w:t>
      </w:r>
      <w:bookmarkEnd w:id="2"/>
      <w:r>
        <w:rPr>
          <w:rFonts w:ascii="標楷體" w:eastAsia="標楷體" w:hAnsi="標楷體"/>
          <w:color w:val="000000"/>
          <w:sz w:val="32"/>
          <w:szCs w:val="36"/>
        </w:rPr>
        <w:t>管理作業</w:t>
      </w:r>
      <w:r>
        <w:rPr>
          <w:rFonts w:ascii="標楷體" w:eastAsia="標楷體" w:hAnsi="標楷體"/>
          <w:sz w:val="32"/>
          <w:szCs w:val="36"/>
        </w:rPr>
        <w:t>要點</w:t>
      </w:r>
    </w:p>
    <w:p w:rsidR="00811BFE" w:rsidRDefault="00811BFE">
      <w:pPr>
        <w:spacing w:after="360" w:line="440" w:lineRule="exact"/>
        <w:ind w:right="-199"/>
        <w:jc w:val="center"/>
        <w:rPr>
          <w:rFonts w:ascii="標楷體" w:eastAsia="標楷體" w:hAnsi="標楷體"/>
          <w:color w:val="000000"/>
          <w:sz w:val="32"/>
          <w:szCs w:val="36"/>
        </w:rPr>
      </w:pPr>
    </w:p>
    <w:p w:rsidR="00811BFE" w:rsidRDefault="00F0074F">
      <w:pPr>
        <w:numPr>
          <w:ilvl w:val="0"/>
          <w:numId w:val="2"/>
        </w:numPr>
        <w:spacing w:before="240" w:line="540" w:lineRule="exact"/>
        <w:ind w:left="567" w:hanging="567"/>
        <w:jc w:val="both"/>
        <w:rPr>
          <w:rFonts w:ascii="標楷體" w:eastAsia="標楷體" w:hAnsi="標楷體"/>
          <w:sz w:val="28"/>
          <w:szCs w:val="28"/>
        </w:rPr>
      </w:pPr>
      <w:r>
        <w:rPr>
          <w:rFonts w:ascii="標楷體" w:eastAsia="標楷體" w:hAnsi="標楷體"/>
          <w:sz w:val="28"/>
          <w:szCs w:val="28"/>
        </w:rPr>
        <w:t>衛生福利部中央健康</w:t>
      </w:r>
      <w:proofErr w:type="gramStart"/>
      <w:r>
        <w:rPr>
          <w:rFonts w:ascii="標楷體" w:eastAsia="標楷體" w:hAnsi="標楷體"/>
          <w:sz w:val="28"/>
          <w:szCs w:val="28"/>
        </w:rPr>
        <w:t>保險署</w:t>
      </w:r>
      <w:proofErr w:type="gramEnd"/>
      <w:r>
        <w:rPr>
          <w:rFonts w:ascii="標楷體" w:eastAsia="標楷體" w:hAnsi="標楷體"/>
          <w:sz w:val="28"/>
          <w:szCs w:val="28"/>
        </w:rPr>
        <w:t>（以下稱健保署）為規範保險醫事服務機構因臨床業務需要，使用公告於健保署全球資訊網之「全民健保尚未納入給付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品項表」所列醫材相關事宜，特訂定本要點。</w:t>
      </w:r>
    </w:p>
    <w:p w:rsidR="00811BFE" w:rsidRDefault="00F0074F">
      <w:pPr>
        <w:numPr>
          <w:ilvl w:val="0"/>
          <w:numId w:val="2"/>
        </w:numPr>
        <w:spacing w:line="540" w:lineRule="exact"/>
        <w:ind w:left="567" w:hanging="567"/>
        <w:jc w:val="both"/>
      </w:pPr>
      <w:bookmarkStart w:id="3" w:name="_Hlk87545901"/>
      <w:r>
        <w:rPr>
          <w:rFonts w:ascii="標楷體" w:eastAsia="標楷體" w:hAnsi="標楷體"/>
          <w:sz w:val="28"/>
          <w:szCs w:val="28"/>
        </w:rPr>
        <w:t>健保給付特殊材料，均由</w:t>
      </w:r>
      <w:proofErr w:type="gramStart"/>
      <w:r>
        <w:rPr>
          <w:rFonts w:ascii="標楷體" w:eastAsia="標楷體" w:hAnsi="標楷體"/>
          <w:sz w:val="28"/>
          <w:szCs w:val="28"/>
        </w:rPr>
        <w:t>醫</w:t>
      </w:r>
      <w:proofErr w:type="gramEnd"/>
      <w:r>
        <w:rPr>
          <w:rFonts w:ascii="標楷體" w:eastAsia="標楷體" w:hAnsi="標楷體"/>
          <w:sz w:val="28"/>
          <w:szCs w:val="28"/>
        </w:rPr>
        <w:t>材許可證持有者向健保署提出「納入全民健康保險給付建議書」</w:t>
      </w:r>
      <w:r>
        <w:rPr>
          <w:rFonts w:ascii="標楷體" w:eastAsia="標楷體" w:hAnsi="標楷體"/>
          <w:sz w:val="28"/>
          <w:szCs w:val="28"/>
        </w:rPr>
        <w:t>(</w:t>
      </w:r>
      <w:r>
        <w:rPr>
          <w:rFonts w:ascii="標楷體" w:eastAsia="標楷體" w:hAnsi="標楷體"/>
          <w:sz w:val="28"/>
          <w:szCs w:val="28"/>
        </w:rPr>
        <w:t>以下稱建議書</w:t>
      </w:r>
      <w:r>
        <w:rPr>
          <w:rFonts w:ascii="標楷體" w:eastAsia="標楷體" w:hAnsi="標楷體"/>
          <w:sz w:val="28"/>
          <w:szCs w:val="28"/>
        </w:rPr>
        <w:t>)</w:t>
      </w:r>
      <w:r>
        <w:rPr>
          <w:rFonts w:ascii="標楷體" w:eastAsia="標楷體" w:hAnsi="標楷體"/>
          <w:sz w:val="28"/>
          <w:szCs w:val="28"/>
        </w:rPr>
        <w:t>，經完成審議程序後，尚未納入健保給付前，得公告於健保署全球資訊網</w:t>
      </w:r>
      <w:bookmarkStart w:id="4" w:name="_Hlk70586350"/>
      <w:r>
        <w:rPr>
          <w:rFonts w:ascii="標楷體" w:eastAsia="標楷體" w:hAnsi="標楷體"/>
          <w:sz w:val="28"/>
          <w:szCs w:val="28"/>
        </w:rPr>
        <w:t>「全民</w:t>
      </w:r>
      <w:bookmarkStart w:id="5" w:name="_Hlk70928673"/>
      <w:r>
        <w:rPr>
          <w:rFonts w:ascii="標楷體" w:eastAsia="標楷體" w:hAnsi="標楷體"/>
          <w:sz w:val="28"/>
          <w:szCs w:val="28"/>
        </w:rPr>
        <w:t>健保</w:t>
      </w:r>
      <w:bookmarkEnd w:id="5"/>
      <w:r>
        <w:rPr>
          <w:rFonts w:ascii="標楷體" w:eastAsia="標楷體" w:hAnsi="標楷體"/>
          <w:sz w:val="28"/>
          <w:szCs w:val="28"/>
        </w:rPr>
        <w:t>尚未納入給付</w:t>
      </w:r>
      <w:proofErr w:type="gramStart"/>
      <w:r>
        <w:rPr>
          <w:rFonts w:ascii="標楷體" w:eastAsia="標楷體" w:hAnsi="標楷體"/>
          <w:sz w:val="28"/>
          <w:szCs w:val="28"/>
        </w:rPr>
        <w:t>特材</w:t>
      </w:r>
      <w:bookmarkStart w:id="6" w:name="_Hlk70010529"/>
      <w:proofErr w:type="gramEnd"/>
      <w:r>
        <w:rPr>
          <w:rFonts w:ascii="標楷體" w:eastAsia="標楷體" w:hAnsi="標楷體"/>
          <w:sz w:val="28"/>
          <w:szCs w:val="28"/>
        </w:rPr>
        <w:t>品項表</w:t>
      </w:r>
      <w:bookmarkEnd w:id="6"/>
      <w:r>
        <w:rPr>
          <w:rFonts w:ascii="標楷體" w:eastAsia="標楷體" w:hAnsi="標楷體"/>
          <w:sz w:val="28"/>
          <w:szCs w:val="28"/>
        </w:rPr>
        <w:t>」</w:t>
      </w:r>
      <w:bookmarkEnd w:id="4"/>
      <w:r>
        <w:rPr>
          <w:rFonts w:ascii="標楷體" w:eastAsia="標楷體" w:hAnsi="標楷體"/>
          <w:sz w:val="28"/>
          <w:szCs w:val="28"/>
        </w:rPr>
        <w:t>（</w:t>
      </w:r>
      <w:r>
        <w:rPr>
          <w:rFonts w:ascii="標楷體" w:eastAsia="標楷體" w:hAnsi="標楷體"/>
          <w:sz w:val="28"/>
          <w:szCs w:val="28"/>
        </w:rPr>
        <w:t>https://ppt.cc/f2fRWx</w:t>
      </w:r>
      <w:proofErr w:type="gramStart"/>
      <w:r>
        <w:rPr>
          <w:rFonts w:ascii="標楷體" w:eastAsia="標楷體" w:hAnsi="標楷體"/>
          <w:sz w:val="28"/>
          <w:szCs w:val="28"/>
        </w:rPr>
        <w:t>）</w:t>
      </w:r>
      <w:proofErr w:type="gramEnd"/>
      <w:r>
        <w:rPr>
          <w:rFonts w:ascii="標楷體" w:eastAsia="標楷體" w:hAnsi="標楷體"/>
          <w:sz w:val="28"/>
          <w:szCs w:val="28"/>
        </w:rPr>
        <w:t>；未提出者，本保險不予給付，且保險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事服務機構不得向保險對象收取自付費用。</w:t>
      </w:r>
      <w:bookmarkEnd w:id="3"/>
    </w:p>
    <w:p w:rsidR="00811BFE" w:rsidRDefault="00F0074F">
      <w:pPr>
        <w:numPr>
          <w:ilvl w:val="0"/>
          <w:numId w:val="2"/>
        </w:numPr>
        <w:tabs>
          <w:tab w:val="left" w:pos="567"/>
        </w:tabs>
        <w:spacing w:line="540" w:lineRule="exact"/>
        <w:ind w:left="567" w:hanging="567"/>
        <w:jc w:val="both"/>
        <w:rPr>
          <w:rFonts w:ascii="標楷體" w:eastAsia="標楷體" w:hAnsi="標楷體"/>
          <w:sz w:val="28"/>
          <w:szCs w:val="28"/>
        </w:rPr>
      </w:pPr>
      <w:r>
        <w:rPr>
          <w:rFonts w:ascii="標楷體" w:eastAsia="標楷體" w:hAnsi="標楷體"/>
          <w:sz w:val="28"/>
          <w:szCs w:val="28"/>
        </w:rPr>
        <w:t>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事服務機構為保險</w:t>
      </w:r>
      <w:r>
        <w:rPr>
          <w:rFonts w:ascii="標楷體" w:eastAsia="標楷體" w:hAnsi="標楷體"/>
          <w:sz w:val="28"/>
          <w:szCs w:val="28"/>
        </w:rPr>
        <w:t>對象提供醫療服務時，應依健保法規定優先使用健保給付之</w:t>
      </w:r>
      <w:proofErr w:type="gramStart"/>
      <w:r>
        <w:rPr>
          <w:rFonts w:ascii="標楷體" w:eastAsia="標楷體" w:hAnsi="標楷體"/>
          <w:sz w:val="28"/>
          <w:szCs w:val="28"/>
        </w:rPr>
        <w:t>特材</w:t>
      </w:r>
      <w:proofErr w:type="gramEnd"/>
      <w:r>
        <w:rPr>
          <w:rFonts w:ascii="標楷體" w:eastAsia="標楷體" w:hAnsi="標楷體"/>
          <w:sz w:val="28"/>
          <w:szCs w:val="28"/>
        </w:rPr>
        <w:t>品項。</w:t>
      </w:r>
    </w:p>
    <w:p w:rsidR="00811BFE" w:rsidRDefault="00F0074F">
      <w:pPr>
        <w:numPr>
          <w:ilvl w:val="0"/>
          <w:numId w:val="2"/>
        </w:numPr>
        <w:spacing w:line="540" w:lineRule="exact"/>
        <w:ind w:left="567" w:hanging="567"/>
        <w:jc w:val="both"/>
        <w:rPr>
          <w:rFonts w:ascii="標楷體" w:eastAsia="標楷體" w:hAnsi="標楷體"/>
          <w:sz w:val="28"/>
          <w:szCs w:val="28"/>
        </w:rPr>
      </w:pPr>
      <w:bookmarkStart w:id="7" w:name="_Hlk87545844"/>
      <w:r>
        <w:rPr>
          <w:rFonts w:ascii="標楷體" w:eastAsia="標楷體" w:hAnsi="標楷體"/>
          <w:sz w:val="28"/>
          <w:szCs w:val="28"/>
        </w:rPr>
        <w:t>健保署管理「全民健保尚未納入給付</w:t>
      </w:r>
      <w:proofErr w:type="gramStart"/>
      <w:r>
        <w:rPr>
          <w:rFonts w:ascii="標楷體" w:eastAsia="標楷體" w:hAnsi="標楷體"/>
          <w:sz w:val="28"/>
          <w:szCs w:val="28"/>
        </w:rPr>
        <w:t>特材品</w:t>
      </w:r>
      <w:proofErr w:type="gramEnd"/>
      <w:r>
        <w:rPr>
          <w:rFonts w:ascii="標楷體" w:eastAsia="標楷體" w:hAnsi="標楷體"/>
          <w:sz w:val="28"/>
          <w:szCs w:val="28"/>
        </w:rPr>
        <w:t>項表」之原則：</w:t>
      </w:r>
      <w:bookmarkEnd w:id="7"/>
    </w:p>
    <w:p w:rsidR="00811BFE" w:rsidRDefault="00F0074F">
      <w:pPr>
        <w:numPr>
          <w:ilvl w:val="1"/>
          <w:numId w:val="2"/>
        </w:numPr>
        <w:tabs>
          <w:tab w:val="left" w:pos="851"/>
        </w:tabs>
        <w:spacing w:line="540" w:lineRule="exact"/>
        <w:ind w:left="851" w:hanging="567"/>
        <w:jc w:val="both"/>
        <w:rPr>
          <w:rFonts w:ascii="標楷體" w:eastAsia="標楷體" w:hAnsi="標楷體"/>
          <w:sz w:val="28"/>
          <w:szCs w:val="28"/>
        </w:rPr>
      </w:pPr>
      <w:bookmarkStart w:id="8" w:name="_Hlk87547001"/>
      <w:bookmarkStart w:id="9" w:name="_Hlk48558877"/>
      <w:proofErr w:type="gramStart"/>
      <w:r>
        <w:rPr>
          <w:rFonts w:ascii="標楷體" w:eastAsia="標楷體" w:hAnsi="標楷體"/>
          <w:sz w:val="28"/>
          <w:szCs w:val="28"/>
        </w:rPr>
        <w:t>醫</w:t>
      </w:r>
      <w:proofErr w:type="gramEnd"/>
      <w:r>
        <w:rPr>
          <w:rFonts w:ascii="標楷體" w:eastAsia="標楷體" w:hAnsi="標楷體"/>
          <w:sz w:val="28"/>
          <w:szCs w:val="28"/>
        </w:rPr>
        <w:t>材許可證持有者已向健保署提出建議書之醫材，在健保署受理並完成審議程序，尚未納入健保給付前，</w:t>
      </w:r>
      <w:proofErr w:type="gramStart"/>
      <w:r>
        <w:rPr>
          <w:rFonts w:ascii="標楷體" w:eastAsia="標楷體" w:hAnsi="標楷體"/>
          <w:sz w:val="28"/>
          <w:szCs w:val="28"/>
        </w:rPr>
        <w:t>得暫</w:t>
      </w:r>
      <w:proofErr w:type="gramEnd"/>
      <w:r>
        <w:rPr>
          <w:rFonts w:ascii="標楷體" w:eastAsia="標楷體" w:hAnsi="標楷體"/>
          <w:sz w:val="28"/>
          <w:szCs w:val="28"/>
        </w:rPr>
        <w:t>予登載於「全民健保尚未納入給付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品項表」，用以向本保險申報。</w:t>
      </w:r>
    </w:p>
    <w:p w:rsidR="00811BFE" w:rsidRDefault="00F0074F">
      <w:pPr>
        <w:numPr>
          <w:ilvl w:val="1"/>
          <w:numId w:val="2"/>
        </w:numPr>
        <w:tabs>
          <w:tab w:val="left" w:pos="851"/>
        </w:tabs>
        <w:spacing w:line="540" w:lineRule="exact"/>
        <w:ind w:left="851" w:hanging="567"/>
        <w:jc w:val="both"/>
        <w:rPr>
          <w:rFonts w:ascii="標楷體" w:eastAsia="標楷體" w:hAnsi="標楷體"/>
          <w:sz w:val="28"/>
          <w:szCs w:val="28"/>
        </w:rPr>
      </w:pPr>
      <w:bookmarkStart w:id="10" w:name="_Hlk87547111"/>
      <w:bookmarkEnd w:id="8"/>
      <w:r>
        <w:rPr>
          <w:rFonts w:ascii="標楷體" w:eastAsia="標楷體" w:hAnsi="標楷體"/>
          <w:sz w:val="28"/>
          <w:szCs w:val="28"/>
        </w:rPr>
        <w:t>符合下列條件之品項，則不列入前述品項表：</w:t>
      </w:r>
    </w:p>
    <w:p w:rsidR="00811BFE" w:rsidRDefault="00F0074F">
      <w:pPr>
        <w:numPr>
          <w:ilvl w:val="2"/>
          <w:numId w:val="2"/>
        </w:numPr>
        <w:tabs>
          <w:tab w:val="left" w:pos="1092"/>
        </w:tabs>
        <w:spacing w:line="540" w:lineRule="exact"/>
        <w:ind w:left="1092" w:hanging="383"/>
        <w:jc w:val="both"/>
        <w:rPr>
          <w:rFonts w:ascii="標楷體" w:eastAsia="標楷體" w:hAnsi="標楷體"/>
          <w:sz w:val="28"/>
          <w:szCs w:val="28"/>
        </w:rPr>
      </w:pPr>
      <w:bookmarkStart w:id="11" w:name="_Hlk87547148"/>
      <w:bookmarkEnd w:id="10"/>
      <w:r>
        <w:rPr>
          <w:rFonts w:ascii="標楷體" w:eastAsia="標楷體" w:hAnsi="標楷體"/>
          <w:sz w:val="28"/>
          <w:szCs w:val="28"/>
        </w:rPr>
        <w:t>經全民健康保險藥物給付項目及支付標準共同擬訂會議決議列項收載，但</w:t>
      </w:r>
      <w:proofErr w:type="gramStart"/>
      <w:r>
        <w:rPr>
          <w:rFonts w:ascii="標楷體" w:eastAsia="標楷體" w:hAnsi="標楷體"/>
          <w:sz w:val="28"/>
          <w:szCs w:val="28"/>
        </w:rPr>
        <w:t>醫</w:t>
      </w:r>
      <w:proofErr w:type="gramEnd"/>
      <w:r>
        <w:rPr>
          <w:rFonts w:ascii="標楷體" w:eastAsia="標楷體" w:hAnsi="標楷體"/>
          <w:sz w:val="28"/>
          <w:szCs w:val="28"/>
        </w:rPr>
        <w:t>材許可證持有廠商不同意納入健保給付者。</w:t>
      </w:r>
    </w:p>
    <w:p w:rsidR="00811BFE" w:rsidRDefault="00F0074F">
      <w:pPr>
        <w:numPr>
          <w:ilvl w:val="2"/>
          <w:numId w:val="2"/>
        </w:numPr>
        <w:tabs>
          <w:tab w:val="left" w:pos="1092"/>
        </w:tabs>
        <w:spacing w:line="540" w:lineRule="exact"/>
        <w:ind w:left="1092" w:hanging="383"/>
        <w:jc w:val="both"/>
        <w:rPr>
          <w:rFonts w:ascii="標楷體" w:eastAsia="標楷體" w:hAnsi="標楷體"/>
          <w:sz w:val="28"/>
          <w:szCs w:val="28"/>
        </w:rPr>
      </w:pPr>
      <w:bookmarkStart w:id="12" w:name="_Hlk87547183"/>
      <w:bookmarkEnd w:id="11"/>
      <w:r>
        <w:rPr>
          <w:rFonts w:ascii="標楷體" w:eastAsia="標楷體" w:hAnsi="標楷體"/>
          <w:sz w:val="28"/>
          <w:szCs w:val="28"/>
        </w:rPr>
        <w:t>目前缺乏本保險給付原則之醫療效益，臨床實證尚不足以支持其效能，或其他相關資料提出有安全考量之品項，經審議不納入健保者。</w:t>
      </w:r>
      <w:bookmarkEnd w:id="12"/>
    </w:p>
    <w:p w:rsidR="00811BFE" w:rsidRDefault="00F0074F">
      <w:pPr>
        <w:numPr>
          <w:ilvl w:val="1"/>
          <w:numId w:val="2"/>
        </w:numPr>
        <w:tabs>
          <w:tab w:val="left" w:pos="851"/>
        </w:tabs>
        <w:spacing w:line="540" w:lineRule="exact"/>
        <w:ind w:left="851" w:hanging="567"/>
        <w:jc w:val="both"/>
        <w:rPr>
          <w:rFonts w:ascii="標楷體" w:eastAsia="標楷體" w:hAnsi="標楷體"/>
          <w:sz w:val="28"/>
          <w:szCs w:val="28"/>
        </w:rPr>
      </w:pPr>
      <w:bookmarkStart w:id="13" w:name="_Hlk87547231"/>
      <w:r>
        <w:rPr>
          <w:rFonts w:ascii="標楷體" w:eastAsia="標楷體" w:hAnsi="標楷體"/>
          <w:sz w:val="28"/>
          <w:szCs w:val="28"/>
        </w:rPr>
        <w:t>自一百零二年起經完成審議程序之功能類別品項，並已登載於品項表三年以上者，基於臨床專業評估或行政管理責任，</w:t>
      </w:r>
      <w:proofErr w:type="gramStart"/>
      <w:r>
        <w:rPr>
          <w:rFonts w:ascii="標楷體" w:eastAsia="標楷體" w:hAnsi="標楷體"/>
          <w:sz w:val="28"/>
          <w:szCs w:val="28"/>
        </w:rPr>
        <w:t>本署將</w:t>
      </w:r>
      <w:proofErr w:type="gramEnd"/>
      <w:r>
        <w:rPr>
          <w:rFonts w:ascii="標楷體" w:eastAsia="標楷體" w:hAnsi="標楷體"/>
          <w:sz w:val="28"/>
          <w:szCs w:val="28"/>
        </w:rPr>
        <w:t>重啟審議，以符合臨床使用現況。</w:t>
      </w:r>
    </w:p>
    <w:p w:rsidR="00811BFE" w:rsidRDefault="00F0074F">
      <w:pPr>
        <w:numPr>
          <w:ilvl w:val="0"/>
          <w:numId w:val="2"/>
        </w:numPr>
        <w:spacing w:line="540" w:lineRule="exact"/>
        <w:ind w:left="567" w:hanging="567"/>
        <w:jc w:val="both"/>
      </w:pPr>
      <w:bookmarkStart w:id="14" w:name="_Hlk87547714"/>
      <w:bookmarkEnd w:id="13"/>
      <w:r>
        <w:rPr>
          <w:rFonts w:ascii="標楷體" w:eastAsia="標楷體" w:hAnsi="標楷體"/>
          <w:sz w:val="28"/>
          <w:szCs w:val="28"/>
        </w:rPr>
        <w:lastRenderedPageBreak/>
        <w:t>符合下列條件之品項，</w:t>
      </w:r>
      <w:proofErr w:type="gramStart"/>
      <w:r>
        <w:rPr>
          <w:rFonts w:ascii="標楷體" w:eastAsia="標楷體" w:hAnsi="標楷體"/>
          <w:sz w:val="28"/>
          <w:szCs w:val="28"/>
        </w:rPr>
        <w:t>醫</w:t>
      </w:r>
      <w:proofErr w:type="gramEnd"/>
      <w:r>
        <w:rPr>
          <w:rFonts w:ascii="標楷體" w:eastAsia="標楷體" w:hAnsi="標楷體"/>
          <w:sz w:val="28"/>
          <w:szCs w:val="28"/>
        </w:rPr>
        <w:t>材許可證持有者無需向健保署提出收載建議：</w:t>
      </w:r>
      <w:bookmarkEnd w:id="14"/>
    </w:p>
    <w:p w:rsidR="00811BFE" w:rsidRDefault="00F0074F">
      <w:pPr>
        <w:numPr>
          <w:ilvl w:val="1"/>
          <w:numId w:val="2"/>
        </w:numPr>
        <w:tabs>
          <w:tab w:val="left" w:pos="851"/>
        </w:tabs>
        <w:spacing w:line="540" w:lineRule="exact"/>
        <w:ind w:left="851" w:hanging="567"/>
        <w:jc w:val="both"/>
      </w:pPr>
      <w:r>
        <w:rPr>
          <w:rFonts w:ascii="標楷體" w:eastAsia="標楷體" w:hAnsi="標楷體"/>
          <w:sz w:val="28"/>
          <w:szCs w:val="28"/>
        </w:rPr>
        <w:t>依全民健康保險法（以下稱健保法）第五十一條規定，不列入本保險給付範圍者。</w:t>
      </w:r>
    </w:p>
    <w:p w:rsidR="00811BFE" w:rsidRDefault="00F0074F">
      <w:pPr>
        <w:numPr>
          <w:ilvl w:val="1"/>
          <w:numId w:val="2"/>
        </w:numPr>
        <w:tabs>
          <w:tab w:val="left" w:pos="851"/>
        </w:tabs>
        <w:spacing w:line="540" w:lineRule="exact"/>
        <w:ind w:left="851" w:hanging="567"/>
        <w:jc w:val="both"/>
      </w:pPr>
      <w:r>
        <w:rPr>
          <w:rFonts w:ascii="標楷體" w:eastAsia="標楷體" w:hAnsi="標楷體"/>
          <w:sz w:val="28"/>
          <w:szCs w:val="28"/>
        </w:rPr>
        <w:t>符合「全民健康保險</w:t>
      </w:r>
      <w:proofErr w:type="gramStart"/>
      <w:r>
        <w:rPr>
          <w:rFonts w:ascii="標楷體" w:eastAsia="標楷體" w:hAnsi="標楷體"/>
          <w:sz w:val="28"/>
          <w:szCs w:val="28"/>
        </w:rPr>
        <w:t>不予</w:t>
      </w:r>
      <w:proofErr w:type="gramEnd"/>
      <w:r>
        <w:rPr>
          <w:rFonts w:ascii="標楷體" w:eastAsia="標楷體" w:hAnsi="標楷體"/>
          <w:sz w:val="28"/>
          <w:szCs w:val="28"/>
        </w:rPr>
        <w:t>收載特殊材料之處理原則」者。</w:t>
      </w:r>
    </w:p>
    <w:p w:rsidR="00811BFE" w:rsidRDefault="00F0074F">
      <w:pPr>
        <w:numPr>
          <w:ilvl w:val="1"/>
          <w:numId w:val="2"/>
        </w:numPr>
        <w:tabs>
          <w:tab w:val="left" w:pos="851"/>
        </w:tabs>
        <w:spacing w:line="540" w:lineRule="exact"/>
        <w:ind w:left="851" w:hanging="567"/>
        <w:jc w:val="both"/>
      </w:pPr>
      <w:r>
        <w:rPr>
          <w:rFonts w:ascii="標楷體" w:eastAsia="標楷體" w:hAnsi="標楷體"/>
          <w:sz w:val="28"/>
          <w:szCs w:val="28"/>
        </w:rPr>
        <w:t>「保險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事服務機構使用醫療科技評估（</w:t>
      </w:r>
      <w:r>
        <w:rPr>
          <w:rFonts w:ascii="標楷體" w:eastAsia="標楷體" w:hAnsi="標楷體"/>
          <w:sz w:val="28"/>
          <w:szCs w:val="28"/>
        </w:rPr>
        <w:t>HTA</w:t>
      </w:r>
      <w:r>
        <w:rPr>
          <w:rFonts w:ascii="標楷體" w:eastAsia="標楷體" w:hAnsi="標楷體"/>
          <w:sz w:val="28"/>
          <w:szCs w:val="28"/>
        </w:rPr>
        <w:t>）期間或已完成</w:t>
      </w:r>
      <w:r>
        <w:rPr>
          <w:rFonts w:ascii="標楷體" w:eastAsia="標楷體" w:hAnsi="標楷體"/>
          <w:sz w:val="28"/>
          <w:szCs w:val="28"/>
        </w:rPr>
        <w:t>HT</w:t>
      </w:r>
      <w:r>
        <w:rPr>
          <w:rFonts w:ascii="標楷體" w:eastAsia="標楷體" w:hAnsi="標楷體"/>
          <w:sz w:val="28"/>
          <w:szCs w:val="28"/>
        </w:rPr>
        <w:t>A</w:t>
      </w:r>
      <w:r>
        <w:rPr>
          <w:rFonts w:ascii="標楷體" w:eastAsia="標楷體" w:hAnsi="標楷體"/>
          <w:sz w:val="28"/>
          <w:szCs w:val="28"/>
        </w:rPr>
        <w:t>後不同意納入健保支付診療項目虛擬醫令代碼」所需之特材、導航系統之附件及機械手臂設備之輔助手術定位配</w:t>
      </w:r>
      <w:r>
        <w:rPr>
          <w:rFonts w:eastAsia="標楷體"/>
          <w:sz w:val="28"/>
          <w:szCs w:val="28"/>
        </w:rPr>
        <w:t>件等</w:t>
      </w:r>
      <w:r>
        <w:rPr>
          <w:rFonts w:ascii="標楷體" w:eastAsia="標楷體" w:hAnsi="標楷體"/>
          <w:sz w:val="28"/>
          <w:szCs w:val="28"/>
        </w:rPr>
        <w:t>。</w:t>
      </w:r>
      <w:bookmarkEnd w:id="9"/>
    </w:p>
    <w:p w:rsidR="00811BFE" w:rsidRDefault="00F0074F">
      <w:pPr>
        <w:numPr>
          <w:ilvl w:val="0"/>
          <w:numId w:val="2"/>
        </w:numPr>
        <w:spacing w:line="540" w:lineRule="exact"/>
        <w:ind w:left="567" w:hanging="567"/>
        <w:jc w:val="both"/>
        <w:rPr>
          <w:rFonts w:ascii="標楷體" w:eastAsia="標楷體" w:hAnsi="標楷體"/>
          <w:sz w:val="28"/>
          <w:szCs w:val="28"/>
        </w:rPr>
      </w:pPr>
      <w:r>
        <w:rPr>
          <w:rFonts w:ascii="標楷體" w:eastAsia="標楷體" w:hAnsi="標楷體"/>
          <w:sz w:val="28"/>
          <w:szCs w:val="28"/>
        </w:rPr>
        <w:t>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事服務機構為保險對象提供醫療服務時，應依全民健康保險醫事服務機構特約及管理辦法第十五條規定辦理。保險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事服務機構因臨床實務需要，使用「全民健保尚未納入給付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品項表」之品項，向民眾收取費用應依醫療法第六十三條、六十四條及第八十一條，善盡充分說明、知情同意責任，其收費應依醫療法第二十一條規定辦理，以保障保險對象權益。</w:t>
      </w:r>
    </w:p>
    <w:p w:rsidR="00811BFE" w:rsidRDefault="00F0074F">
      <w:pPr>
        <w:numPr>
          <w:ilvl w:val="0"/>
          <w:numId w:val="2"/>
        </w:numPr>
        <w:spacing w:line="540" w:lineRule="exact"/>
        <w:ind w:left="567" w:hanging="567"/>
        <w:jc w:val="both"/>
        <w:rPr>
          <w:rFonts w:ascii="標楷體" w:eastAsia="標楷體" w:hAnsi="標楷體"/>
          <w:sz w:val="28"/>
          <w:szCs w:val="28"/>
        </w:rPr>
      </w:pPr>
      <w:bookmarkStart w:id="15" w:name="_Hlk87548019"/>
      <w:r>
        <w:rPr>
          <w:rFonts w:ascii="標楷體" w:eastAsia="標楷體" w:hAnsi="標楷體"/>
          <w:sz w:val="28"/>
          <w:szCs w:val="28"/>
        </w:rPr>
        <w:t>作業程序：</w:t>
      </w:r>
    </w:p>
    <w:bookmarkEnd w:id="15"/>
    <w:p w:rsidR="00811BFE" w:rsidRDefault="00F0074F">
      <w:pPr>
        <w:numPr>
          <w:ilvl w:val="1"/>
          <w:numId w:val="2"/>
        </w:numPr>
        <w:tabs>
          <w:tab w:val="left" w:pos="868"/>
        </w:tabs>
        <w:spacing w:line="540" w:lineRule="exact"/>
        <w:ind w:left="851" w:hanging="567"/>
        <w:jc w:val="both"/>
      </w:pPr>
      <w:r>
        <w:rPr>
          <w:rFonts w:ascii="標楷體" w:eastAsia="標楷體" w:hAnsi="標楷體"/>
          <w:sz w:val="28"/>
          <w:szCs w:val="28"/>
        </w:rPr>
        <w:t>保險</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w:t>
      </w:r>
      <w:r>
        <w:rPr>
          <w:rFonts w:ascii="標楷體" w:eastAsia="標楷體" w:hAnsi="標楷體"/>
          <w:sz w:val="28"/>
          <w:szCs w:val="28"/>
        </w:rPr>
        <w:t>服務</w:t>
      </w:r>
      <w:r>
        <w:rPr>
          <w:rFonts w:ascii="標楷體" w:eastAsia="標楷體" w:hAnsi="標楷體"/>
          <w:color w:val="000000"/>
          <w:sz w:val="28"/>
          <w:szCs w:val="28"/>
        </w:rPr>
        <w:t>機構使用「全民健保尚未納入給付</w:t>
      </w:r>
      <w:proofErr w:type="gramStart"/>
      <w:r>
        <w:rPr>
          <w:rFonts w:ascii="標楷體" w:eastAsia="標楷體" w:hAnsi="標楷體"/>
          <w:color w:val="000000"/>
          <w:sz w:val="28"/>
          <w:szCs w:val="28"/>
        </w:rPr>
        <w:t>特材</w:t>
      </w:r>
      <w:proofErr w:type="gramEnd"/>
      <w:r>
        <w:rPr>
          <w:rFonts w:ascii="標楷體" w:eastAsia="標楷體" w:hAnsi="標楷體"/>
          <w:color w:val="000000"/>
          <w:sz w:val="28"/>
          <w:szCs w:val="28"/>
        </w:rPr>
        <w:t>品項表」之品項，</w:t>
      </w:r>
      <w:bookmarkStart w:id="16" w:name="_Hlk87548282"/>
      <w:r>
        <w:rPr>
          <w:rFonts w:ascii="標楷體" w:eastAsia="標楷體" w:hAnsi="標楷體"/>
          <w:sz w:val="28"/>
          <w:szCs w:val="28"/>
        </w:rPr>
        <w:t>其收費</w:t>
      </w:r>
      <w:r>
        <w:rPr>
          <w:rFonts w:ascii="標楷體" w:eastAsia="標楷體" w:hAnsi="標楷體"/>
          <w:sz w:val="28"/>
          <w:szCs w:val="28"/>
        </w:rPr>
        <w:t>標準應依醫療法第二十一條規定辦理，</w:t>
      </w:r>
      <w:bookmarkEnd w:id="16"/>
      <w:r>
        <w:rPr>
          <w:rFonts w:ascii="標楷體" w:eastAsia="標楷體" w:hAnsi="標楷體"/>
          <w:sz w:val="28"/>
          <w:szCs w:val="28"/>
        </w:rPr>
        <w:t>報請直轄市、縣（市）主管機關核定向民眾收取費用之標準。</w:t>
      </w:r>
    </w:p>
    <w:p w:rsidR="00811BFE" w:rsidRDefault="00F0074F">
      <w:pPr>
        <w:numPr>
          <w:ilvl w:val="1"/>
          <w:numId w:val="2"/>
        </w:numPr>
        <w:tabs>
          <w:tab w:val="left" w:pos="868"/>
        </w:tabs>
        <w:spacing w:line="540" w:lineRule="exact"/>
        <w:ind w:left="851" w:hanging="567"/>
        <w:jc w:val="both"/>
      </w:pPr>
      <w:bookmarkStart w:id="17" w:name="_Hlk87548346"/>
      <w:r>
        <w:rPr>
          <w:rFonts w:ascii="標楷體" w:eastAsia="標楷體" w:hAnsi="標楷體"/>
          <w:sz w:val="28"/>
          <w:szCs w:val="28"/>
        </w:rPr>
        <w:t>資訊公開：</w:t>
      </w:r>
      <w:bookmarkStart w:id="18" w:name="_Hlk48039656"/>
      <w:r>
        <w:rPr>
          <w:rFonts w:ascii="標楷體" w:eastAsia="標楷體" w:hAnsi="標楷體"/>
          <w:sz w:val="28"/>
          <w:szCs w:val="28"/>
        </w:rPr>
        <w:t>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事服務機構應將</w:t>
      </w:r>
      <w:bookmarkEnd w:id="18"/>
      <w:r>
        <w:rPr>
          <w:rFonts w:ascii="標楷體" w:eastAsia="標楷體" w:hAnsi="標楷體"/>
          <w:sz w:val="28"/>
          <w:szCs w:val="28"/>
        </w:rPr>
        <w:t>「全民健保尚未納入給付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品項表」之品項、主管機關核定</w:t>
      </w:r>
      <w:r>
        <w:rPr>
          <w:rFonts w:ascii="標楷體" w:eastAsia="標楷體" w:hAnsi="標楷體"/>
          <w:bCs/>
          <w:sz w:val="28"/>
          <w:szCs w:val="28"/>
        </w:rPr>
        <w:t>符合醫療法二十一條規定</w:t>
      </w:r>
      <w:r>
        <w:rPr>
          <w:rFonts w:ascii="標楷體" w:eastAsia="標楷體" w:hAnsi="標楷體"/>
          <w:sz w:val="28"/>
          <w:szCs w:val="28"/>
        </w:rPr>
        <w:t>之自付費用、產品特性、副作用</w:t>
      </w:r>
      <w:r>
        <w:rPr>
          <w:rFonts w:ascii="標楷體" w:eastAsia="標楷體" w:hAnsi="標楷體"/>
          <w:color w:val="000000"/>
          <w:sz w:val="28"/>
          <w:szCs w:val="28"/>
        </w:rPr>
        <w:t>、</w:t>
      </w:r>
      <w:r>
        <w:rPr>
          <w:rFonts w:ascii="標楷體" w:eastAsia="標楷體" w:hAnsi="標楷體"/>
          <w:sz w:val="28"/>
          <w:szCs w:val="28"/>
        </w:rPr>
        <w:t>與健保已</w:t>
      </w:r>
      <w:r>
        <w:rPr>
          <w:rFonts w:ascii="標楷體" w:eastAsia="標楷體" w:hAnsi="標楷體"/>
          <w:color w:val="000000"/>
          <w:sz w:val="28"/>
          <w:szCs w:val="28"/>
        </w:rPr>
        <w:t>給</w:t>
      </w:r>
      <w:proofErr w:type="gramStart"/>
      <w:r>
        <w:rPr>
          <w:rFonts w:ascii="標楷體" w:eastAsia="標楷體" w:hAnsi="標楷體"/>
          <w:color w:val="000000"/>
          <w:sz w:val="28"/>
          <w:szCs w:val="28"/>
        </w:rPr>
        <w:t>付</w:t>
      </w:r>
      <w:proofErr w:type="gramEnd"/>
      <w:r>
        <w:rPr>
          <w:rFonts w:ascii="標楷體" w:eastAsia="標楷體" w:hAnsi="標楷體"/>
          <w:color w:val="000000"/>
          <w:sz w:val="28"/>
          <w:szCs w:val="28"/>
        </w:rPr>
        <w:t>品項之療效比較</w:t>
      </w:r>
      <w:r>
        <w:rPr>
          <w:rFonts w:ascii="標楷體" w:eastAsia="標楷體" w:hAnsi="標楷體"/>
          <w:sz w:val="28"/>
          <w:szCs w:val="28"/>
        </w:rPr>
        <w:t>等資訊，公布於院所網際網路或明顯處所</w:t>
      </w:r>
      <w:bookmarkStart w:id="19" w:name="_Hlk48565399"/>
      <w:r>
        <w:rPr>
          <w:rFonts w:ascii="標楷體" w:eastAsia="標楷體" w:hAnsi="標楷體"/>
          <w:sz w:val="28"/>
          <w:szCs w:val="28"/>
        </w:rPr>
        <w:t>，且應同時於健保署全球資訊網「醫材比價網」登載該品項之收取民眾自費金額。</w:t>
      </w:r>
      <w:bookmarkEnd w:id="19"/>
    </w:p>
    <w:bookmarkEnd w:id="17"/>
    <w:p w:rsidR="00811BFE" w:rsidRDefault="00F0074F">
      <w:pPr>
        <w:numPr>
          <w:ilvl w:val="1"/>
          <w:numId w:val="2"/>
        </w:numPr>
        <w:tabs>
          <w:tab w:val="left" w:pos="868"/>
        </w:tabs>
        <w:spacing w:line="540" w:lineRule="exact"/>
        <w:ind w:left="851" w:hanging="567"/>
        <w:jc w:val="both"/>
      </w:pPr>
      <w:r>
        <w:rPr>
          <w:rFonts w:ascii="標楷體" w:eastAsia="標楷體" w:hAnsi="標楷體"/>
          <w:sz w:val="28"/>
          <w:szCs w:val="28"/>
        </w:rPr>
        <w:t>事前充分告知並簽立同意書：為保障保險對象權益，</w:t>
      </w:r>
      <w:r>
        <w:rPr>
          <w:rFonts w:ascii="標楷體" w:eastAsia="標楷體" w:hAnsi="標楷體"/>
          <w:color w:val="000000"/>
          <w:sz w:val="28"/>
          <w:szCs w:val="28"/>
        </w:rPr>
        <w:t>保險</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事服務機構</w:t>
      </w:r>
      <w:r>
        <w:rPr>
          <w:rFonts w:ascii="標楷體" w:eastAsia="標楷體" w:hAnsi="標楷體"/>
          <w:sz w:val="28"/>
          <w:szCs w:val="28"/>
        </w:rPr>
        <w:t>應於手術或處置前二日為原則（緊急情況除外），交付自</w:t>
      </w:r>
      <w:proofErr w:type="gramStart"/>
      <w:r>
        <w:rPr>
          <w:rFonts w:ascii="標楷體" w:eastAsia="標楷體" w:hAnsi="標楷體"/>
          <w:sz w:val="28"/>
          <w:szCs w:val="28"/>
        </w:rPr>
        <w:t>付</w:t>
      </w:r>
      <w:proofErr w:type="gramEnd"/>
      <w:r>
        <w:rPr>
          <w:rFonts w:ascii="標楷體" w:eastAsia="標楷體" w:hAnsi="標楷體"/>
          <w:sz w:val="28"/>
          <w:szCs w:val="28"/>
        </w:rPr>
        <w:t>品項費用及產品特性、使用原因（含不符</w:t>
      </w:r>
      <w:r>
        <w:rPr>
          <w:rFonts w:ascii="標楷體" w:eastAsia="標楷體" w:hAnsi="標楷體"/>
          <w:sz w:val="28"/>
          <w:szCs w:val="28"/>
        </w:rPr>
        <w:t>健保給付規定之原因）、應注意事項、副作用，與健保給</w:t>
      </w:r>
      <w:proofErr w:type="gramStart"/>
      <w:r>
        <w:rPr>
          <w:rFonts w:ascii="標楷體" w:eastAsia="標楷體" w:hAnsi="標楷體"/>
          <w:sz w:val="28"/>
          <w:szCs w:val="28"/>
        </w:rPr>
        <w:t>付</w:t>
      </w:r>
      <w:proofErr w:type="gramEnd"/>
      <w:r>
        <w:rPr>
          <w:rFonts w:ascii="標楷體" w:eastAsia="標楷體" w:hAnsi="標楷體"/>
          <w:sz w:val="28"/>
          <w:szCs w:val="28"/>
        </w:rPr>
        <w:t>品項之療效比較說明書予保險對象或家屬，同時充分向保險</w:t>
      </w:r>
      <w:r>
        <w:rPr>
          <w:rFonts w:ascii="標楷體" w:eastAsia="標楷體" w:hAnsi="標楷體"/>
          <w:sz w:val="28"/>
          <w:szCs w:val="28"/>
        </w:rPr>
        <w:lastRenderedPageBreak/>
        <w:t>對象或家屬解說，並由保險對象或家屬填寫同意書一式二份，一份交由保險對象保留，另一份則保留於病歷中，另同意書載明事項應包含該「全民健保尚未納入給付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品項表」之品項名稱、醫療器材許可證字號、</w:t>
      </w:r>
      <w:r>
        <w:rPr>
          <w:rFonts w:ascii="標楷體" w:eastAsia="標楷體" w:hAnsi="標楷體"/>
          <w:color w:val="000000"/>
          <w:sz w:val="28"/>
          <w:szCs w:val="28"/>
        </w:rPr>
        <w:t>保險醫事服務機構</w:t>
      </w:r>
      <w:r>
        <w:rPr>
          <w:rFonts w:ascii="標楷體" w:eastAsia="標楷體" w:hAnsi="標楷體"/>
          <w:sz w:val="28"/>
          <w:szCs w:val="28"/>
        </w:rPr>
        <w:t>醫材單價、數量及自費金額等。</w:t>
      </w:r>
    </w:p>
    <w:p w:rsidR="00811BFE" w:rsidRDefault="00F0074F">
      <w:pPr>
        <w:numPr>
          <w:ilvl w:val="1"/>
          <w:numId w:val="2"/>
        </w:numPr>
        <w:tabs>
          <w:tab w:val="left" w:pos="868"/>
        </w:tabs>
        <w:spacing w:line="540" w:lineRule="exact"/>
        <w:ind w:left="851" w:hanging="567"/>
        <w:jc w:val="both"/>
      </w:pPr>
      <w:r>
        <w:rPr>
          <w:rFonts w:ascii="標楷體" w:eastAsia="標楷體" w:hAnsi="標楷體"/>
          <w:sz w:val="28"/>
          <w:szCs w:val="28"/>
        </w:rPr>
        <w:t>保險</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事服務機構</w:t>
      </w:r>
      <w:r>
        <w:rPr>
          <w:rFonts w:ascii="標楷體" w:eastAsia="標楷體" w:hAnsi="標楷體"/>
          <w:sz w:val="28"/>
          <w:szCs w:val="28"/>
        </w:rPr>
        <w:t>向保險對象收取「全民健保尚未納入給付</w:t>
      </w:r>
      <w:proofErr w:type="gramStart"/>
      <w:r>
        <w:rPr>
          <w:rFonts w:ascii="標楷體" w:eastAsia="標楷體" w:hAnsi="標楷體"/>
          <w:sz w:val="28"/>
          <w:szCs w:val="28"/>
        </w:rPr>
        <w:t>特材</w:t>
      </w:r>
      <w:proofErr w:type="gramEnd"/>
      <w:r>
        <w:rPr>
          <w:rFonts w:ascii="標楷體" w:eastAsia="標楷體" w:hAnsi="標楷體"/>
          <w:sz w:val="28"/>
          <w:szCs w:val="28"/>
        </w:rPr>
        <w:t>品項表」之品項費用，應摯發收據交予保險對象或家屬收存。</w:t>
      </w:r>
    </w:p>
    <w:sectPr w:rsidR="00811BFE">
      <w:footerReference w:type="default" r:id="rId7"/>
      <w:pgSz w:w="11906" w:h="16838"/>
      <w:pgMar w:top="1418" w:right="1080" w:bottom="1440" w:left="1080" w:header="851" w:footer="992" w:gutter="0"/>
      <w:cols w:space="720"/>
      <w:docGrid w:type="lines" w:linePitch="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0074F">
      <w:r>
        <w:separator/>
      </w:r>
    </w:p>
  </w:endnote>
  <w:endnote w:type="continuationSeparator" w:id="0">
    <w:p w:rsidR="00000000" w:rsidRDefault="00F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CF" w:rsidRDefault="00F0074F">
    <w:pPr>
      <w:pStyle w:val="a5"/>
      <w:jc w:val="center"/>
    </w:pPr>
    <w:r>
      <w:rPr>
        <w:rStyle w:val="a6"/>
      </w:rPr>
      <w:fldChar w:fldCharType="begin"/>
    </w:r>
    <w:r>
      <w:rPr>
        <w:rStyle w:val="a6"/>
      </w:rPr>
      <w:instrText xml:space="preserve"> PAGE </w:instrText>
    </w:r>
    <w:r>
      <w:rPr>
        <w:rStyle w:val="a6"/>
      </w:rPr>
      <w:fldChar w:fldCharType="separate"/>
    </w:r>
    <w:r>
      <w:rPr>
        <w:rStyle w:val="a6"/>
      </w:rPr>
      <w:t>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0074F">
      <w:r>
        <w:rPr>
          <w:color w:val="000000"/>
        </w:rPr>
        <w:separator/>
      </w:r>
    </w:p>
  </w:footnote>
  <w:footnote w:type="continuationSeparator" w:id="0">
    <w:p w:rsidR="00000000" w:rsidRDefault="00F00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21662"/>
    <w:multiLevelType w:val="multilevel"/>
    <w:tmpl w:val="E36C6170"/>
    <w:lvl w:ilvl="0">
      <w:start w:val="1"/>
      <w:numFmt w:val="taiwaneseCountingThousand"/>
      <w:lvlText w:val="%1、"/>
      <w:lvlJc w:val="left"/>
      <w:pPr>
        <w:ind w:left="2847" w:hanging="720"/>
      </w:pPr>
      <w:rPr>
        <w:rFonts w:ascii="標楷體" w:eastAsia="標楷體" w:hAnsi="標楷體"/>
        <w:color w:val="auto"/>
        <w:lang w:val="en-US"/>
      </w:rPr>
    </w:lvl>
    <w:lvl w:ilvl="1">
      <w:start w:val="1"/>
      <w:numFmt w:val="taiwaneseCountingThousand"/>
      <w:lvlText w:val="(%2)"/>
      <w:lvlJc w:val="left"/>
      <w:pPr>
        <w:ind w:left="8844" w:hanging="480"/>
      </w:pPr>
      <w:rPr>
        <w:rFonts w:ascii="標楷體" w:eastAsia="標楷體" w:hAnsi="標楷體" w:cs="Times New Roman"/>
        <w:b w:val="0"/>
        <w:i w:val="0"/>
        <w:color w:val="auto"/>
      </w:rPr>
    </w:lvl>
    <w:lvl w:ilvl="2">
      <w:start w:val="1"/>
      <w:numFmt w:val="decimal"/>
      <w:lvlText w:val="%3."/>
      <w:lvlJc w:val="left"/>
      <w:pPr>
        <w:ind w:left="9520" w:hanging="480"/>
      </w:pPr>
    </w:lvl>
    <w:lvl w:ilvl="3">
      <w:start w:val="1"/>
      <w:numFmt w:val="decimal"/>
      <w:lvlText w:val="%4."/>
      <w:lvlJc w:val="left"/>
      <w:pPr>
        <w:ind w:left="10000" w:hanging="480"/>
      </w:pPr>
    </w:lvl>
    <w:lvl w:ilvl="4">
      <w:start w:val="1"/>
      <w:numFmt w:val="ideographTraditional"/>
      <w:lvlText w:val="%5、"/>
      <w:lvlJc w:val="left"/>
      <w:pPr>
        <w:ind w:left="10480" w:hanging="480"/>
      </w:pPr>
    </w:lvl>
    <w:lvl w:ilvl="5">
      <w:start w:val="1"/>
      <w:numFmt w:val="lowerRoman"/>
      <w:lvlText w:val="%6."/>
      <w:lvlJc w:val="right"/>
      <w:pPr>
        <w:ind w:left="10960" w:hanging="480"/>
      </w:pPr>
    </w:lvl>
    <w:lvl w:ilvl="6">
      <w:start w:val="1"/>
      <w:numFmt w:val="decimal"/>
      <w:lvlText w:val="%7."/>
      <w:lvlJc w:val="left"/>
      <w:pPr>
        <w:ind w:left="11440" w:hanging="480"/>
      </w:pPr>
    </w:lvl>
    <w:lvl w:ilvl="7">
      <w:start w:val="1"/>
      <w:numFmt w:val="ideographTraditional"/>
      <w:lvlText w:val="%8、"/>
      <w:lvlJc w:val="left"/>
      <w:pPr>
        <w:ind w:left="11920" w:hanging="480"/>
      </w:pPr>
    </w:lvl>
    <w:lvl w:ilvl="8">
      <w:start w:val="1"/>
      <w:numFmt w:val="lowerRoman"/>
      <w:lvlText w:val="%9."/>
      <w:lvlJc w:val="right"/>
      <w:pPr>
        <w:ind w:left="12400" w:hanging="480"/>
      </w:pPr>
    </w:lvl>
  </w:abstractNum>
  <w:abstractNum w:abstractNumId="1" w15:restartNumberingAfterBreak="0">
    <w:nsid w:val="5FD115F8"/>
    <w:multiLevelType w:val="multilevel"/>
    <w:tmpl w:val="0EB485CE"/>
    <w:styleLink w:val="LFO1"/>
    <w:lvl w:ilvl="0">
      <w:start w:val="1"/>
      <w:numFmt w:val="taiwaneseCountingThousand"/>
      <w:pStyle w:val="a"/>
      <w:suff w:val="nothing"/>
      <w:lvlText w:val="%1、"/>
      <w:lvlJc w:val="left"/>
      <w:pPr>
        <w:ind w:left="1435" w:hanging="726"/>
      </w:pPr>
      <w:rPr>
        <w:lang w:val="en-US"/>
      </w:rPr>
    </w:lvl>
    <w:lvl w:ilvl="1">
      <w:start w:val="1"/>
      <w:numFmt w:val="taiwaneseCountingThousand"/>
      <w:lvlText w:val="(%2)"/>
      <w:lvlJc w:val="left"/>
      <w:pPr>
        <w:ind w:left="2636" w:hanging="1077"/>
      </w:pPr>
    </w:lvl>
    <w:lvl w:ilvl="2">
      <w:start w:val="1"/>
      <w:numFmt w:val="decimalFullWidth"/>
      <w:suff w:val="nothing"/>
      <w:lvlText w:val="%3、"/>
      <w:lvlJc w:val="left"/>
      <w:pPr>
        <w:ind w:left="1785" w:hanging="726"/>
      </w:pPr>
    </w:lvl>
    <w:lvl w:ilvl="3">
      <w:start w:val="1"/>
      <w:numFmt w:val="decimalFullWidth"/>
      <w:suff w:val="nothing"/>
      <w:lvlText w:val="（%4）"/>
      <w:lvlJc w:val="left"/>
      <w:pPr>
        <w:ind w:left="2505" w:hanging="1088"/>
      </w:pPr>
    </w:lvl>
    <w:lvl w:ilvl="4">
      <w:start w:val="1"/>
      <w:numFmt w:val="none"/>
      <w:suff w:val="nothing"/>
      <w:lvlText w:val="%5"/>
      <w:lvlJc w:val="left"/>
      <w:pPr>
        <w:ind w:left="-1" w:firstLine="0"/>
      </w:pPr>
    </w:lvl>
    <w:lvl w:ilvl="5">
      <w:start w:val="1"/>
      <w:numFmt w:val="none"/>
      <w:suff w:val="nothing"/>
      <w:lvlText w:val="%6"/>
      <w:lvlJc w:val="left"/>
      <w:pPr>
        <w:ind w:left="-1" w:firstLine="0"/>
      </w:pPr>
    </w:lvl>
    <w:lvl w:ilvl="6">
      <w:start w:val="1"/>
      <w:numFmt w:val="none"/>
      <w:suff w:val="nothing"/>
      <w:lvlText w:val="%7"/>
      <w:lvlJc w:val="left"/>
      <w:pPr>
        <w:ind w:left="-1" w:firstLine="0"/>
      </w:pPr>
    </w:lvl>
    <w:lvl w:ilvl="7">
      <w:start w:val="1"/>
      <w:numFmt w:val="none"/>
      <w:suff w:val="nothing"/>
      <w:lvlText w:val="%8"/>
      <w:lvlJc w:val="left"/>
      <w:pPr>
        <w:ind w:left="-1" w:firstLine="0"/>
      </w:pPr>
    </w:lvl>
    <w:lvl w:ilvl="8">
      <w:start w:val="1"/>
      <w:numFmt w:val="none"/>
      <w:suff w:val="nothing"/>
      <w:lvlText w:val="%9"/>
      <w:lvlJc w:val="left"/>
      <w:pPr>
        <w:ind w:left="-1"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1BFE"/>
    <w:rsid w:val="00051DB8"/>
    <w:rsid w:val="00811BFE"/>
    <w:rsid w:val="00F00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09147-EB09-4596-93B9-F2707D4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spacing w:line="0" w:lineRule="atLeast"/>
      <w:ind w:left="1000" w:hanging="640"/>
    </w:pPr>
    <w:rPr>
      <w:rFonts w:ascii="標楷體" w:eastAsia="標楷體" w:hAnsi="標楷體"/>
      <w:sz w:val="32"/>
    </w:rPr>
  </w:style>
  <w:style w:type="paragraph" w:styleId="a8">
    <w:name w:val="Body Text"/>
    <w:basedOn w:val="a0"/>
    <w:pPr>
      <w:spacing w:line="360" w:lineRule="exact"/>
    </w:pPr>
    <w:rPr>
      <w:rFonts w:eastAsia="標楷體"/>
      <w:sz w:val="32"/>
      <w:szCs w:val="20"/>
    </w:rPr>
  </w:style>
  <w:style w:type="paragraph" w:styleId="2">
    <w:name w:val="Body Text Indent 2"/>
    <w:basedOn w:val="a0"/>
    <w:pPr>
      <w:spacing w:line="0" w:lineRule="atLeast"/>
      <w:ind w:left="959" w:hanging="640"/>
    </w:pPr>
    <w:rPr>
      <w:rFonts w:ascii="標楷體" w:eastAsia="標楷體" w:hAnsi="標楷體"/>
      <w:sz w:val="32"/>
    </w:rPr>
  </w:style>
  <w:style w:type="paragraph" w:styleId="3">
    <w:name w:val="Body Text Indent 3"/>
    <w:basedOn w:val="a0"/>
    <w:pPr>
      <w:spacing w:line="0" w:lineRule="atLeast"/>
      <w:ind w:left="960" w:hanging="960"/>
    </w:pPr>
    <w:rPr>
      <w:rFonts w:ascii="標楷體" w:eastAsia="標楷體" w:hAnsi="標楷體"/>
      <w:sz w:val="32"/>
    </w:rPr>
  </w:style>
  <w:style w:type="paragraph" w:customStyle="1" w:styleId="a9">
    <w:name w:val="正本"/>
    <w:pPr>
      <w:suppressAutoHyphens/>
      <w:spacing w:line="300" w:lineRule="atLeast"/>
      <w:ind w:left="726" w:hanging="726"/>
      <w:jc w:val="both"/>
    </w:pPr>
    <w:rPr>
      <w:rFonts w:eastAsia="標楷體"/>
      <w:sz w:val="24"/>
    </w:rPr>
  </w:style>
  <w:style w:type="paragraph" w:styleId="aa">
    <w:name w:val="Block Text"/>
    <w:basedOn w:val="a0"/>
    <w:pPr>
      <w:pBdr>
        <w:top w:val="single" w:sz="4" w:space="1" w:color="000000"/>
        <w:left w:val="single" w:sz="4" w:space="0" w:color="000000"/>
        <w:bottom w:val="single" w:sz="4" w:space="1" w:color="000000"/>
        <w:right w:val="single" w:sz="4" w:space="0" w:color="000000"/>
      </w:pBdr>
      <w:snapToGrid w:val="0"/>
      <w:spacing w:line="440" w:lineRule="exact"/>
      <w:ind w:left="720" w:right="66" w:hanging="720"/>
      <w:jc w:val="both"/>
      <w:outlineLvl w:val="0"/>
    </w:pPr>
    <w:rPr>
      <w:rFonts w:ascii="標楷體" w:eastAsia="標楷體" w:hAnsi="標楷體"/>
      <w:sz w:val="36"/>
      <w:szCs w:val="20"/>
    </w:rPr>
  </w:style>
  <w:style w:type="paragraph" w:customStyle="1" w:styleId="ab">
    <w:name w:val="說明一、"/>
    <w:basedOn w:val="a0"/>
  </w:style>
  <w:style w:type="paragraph" w:customStyle="1" w:styleId="ac">
    <w:name w:val="說明（一）"/>
    <w:basedOn w:val="a0"/>
  </w:style>
  <w:style w:type="paragraph" w:customStyle="1" w:styleId="ad">
    <w:name w:val="說明１、"/>
    <w:basedOn w:val="a0"/>
  </w:style>
  <w:style w:type="paragraph" w:customStyle="1" w:styleId="a">
    <w:name w:val="說明（１）"/>
    <w:basedOn w:val="a0"/>
    <w:pPr>
      <w:numPr>
        <w:numId w:val="1"/>
      </w:numPr>
    </w:pPr>
  </w:style>
  <w:style w:type="paragraph" w:customStyle="1" w:styleId="ae">
    <w:name w:val="說明"/>
    <w:pPr>
      <w:suppressAutoHyphens/>
      <w:spacing w:line="500" w:lineRule="exact"/>
      <w:ind w:left="953" w:hanging="953"/>
      <w:jc w:val="both"/>
    </w:pPr>
    <w:rPr>
      <w:rFonts w:eastAsia="標楷體"/>
      <w:sz w:val="32"/>
    </w:rPr>
  </w:style>
  <w:style w:type="paragraph" w:styleId="af">
    <w:name w:val="Title"/>
    <w:basedOn w:val="a0"/>
    <w:next w:val="a0"/>
    <w:uiPriority w:val="10"/>
    <w:qFormat/>
    <w:pPr>
      <w:spacing w:before="240" w:after="60"/>
      <w:jc w:val="center"/>
      <w:outlineLvl w:val="0"/>
    </w:pPr>
    <w:rPr>
      <w:rFonts w:ascii="Cambria" w:hAnsi="Cambria"/>
      <w:b/>
      <w:bCs/>
      <w:sz w:val="32"/>
      <w:szCs w:val="32"/>
    </w:rPr>
  </w:style>
  <w:style w:type="character" w:customStyle="1" w:styleId="af0">
    <w:name w:val="標題 字元"/>
    <w:rPr>
      <w:rFonts w:ascii="Cambria" w:hAnsi="Cambria"/>
      <w:b/>
      <w:bCs/>
      <w:kern w:val="3"/>
      <w:sz w:val="32"/>
      <w:szCs w:val="32"/>
    </w:rPr>
  </w:style>
  <w:style w:type="paragraph" w:styleId="af1">
    <w:name w:val="Plain Text"/>
    <w:basedOn w:val="a0"/>
    <w:rPr>
      <w:rFonts w:ascii="Calibri" w:hAnsi="Calibri" w:cs="Courier New"/>
    </w:rPr>
  </w:style>
  <w:style w:type="character" w:customStyle="1" w:styleId="af2">
    <w:name w:val="純文字 字元"/>
    <w:rPr>
      <w:rFonts w:ascii="Calibri" w:hAnsi="Calibri" w:cs="Courier New"/>
      <w:kern w:val="3"/>
      <w:sz w:val="24"/>
      <w:szCs w:val="24"/>
    </w:rPr>
  </w:style>
  <w:style w:type="character" w:styleId="af3">
    <w:name w:val="Hyperlink"/>
    <w:rPr>
      <w:color w:val="0000FF"/>
      <w:u w:val="single"/>
    </w:rPr>
  </w:style>
  <w:style w:type="character" w:customStyle="1" w:styleId="af4">
    <w:name w:val="本文 字元"/>
    <w:rPr>
      <w:rFonts w:eastAsia="標楷體"/>
      <w:kern w:val="3"/>
      <w:sz w:val="32"/>
    </w:rPr>
  </w:style>
  <w:style w:type="character" w:styleId="af5">
    <w:name w:val="Emphasis"/>
    <w:rPr>
      <w:b w:val="0"/>
      <w:bCs w:val="0"/>
      <w:i w:val="0"/>
      <w:iCs w:val="0"/>
      <w:color w:val="CC0033"/>
    </w:rPr>
  </w:style>
  <w:style w:type="paragraph" w:styleId="af6">
    <w:name w:val="List Paragraph"/>
    <w:basedOn w:val="a0"/>
    <w:pPr>
      <w:ind w:left="480"/>
    </w:pPr>
    <w:rPr>
      <w:szCs w:val="20"/>
    </w:rPr>
  </w:style>
  <w:style w:type="paragraph" w:styleId="af7">
    <w:name w:val="Balloon Text"/>
    <w:basedOn w:val="a0"/>
    <w:rPr>
      <w:rFonts w:ascii="Cambria" w:hAnsi="Cambria"/>
      <w:sz w:val="18"/>
      <w:szCs w:val="18"/>
    </w:rPr>
  </w:style>
  <w:style w:type="character" w:customStyle="1" w:styleId="af8">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全民健康保險特殊材料專家小組第十次會議紀錄</dc:title>
  <dc:subject/>
  <dc:creator>A110300</dc:creator>
  <cp:lastModifiedBy>袁美霞</cp:lastModifiedBy>
  <cp:revision>2</cp:revision>
  <cp:lastPrinted>2021-12-15T03:46:00Z</cp:lastPrinted>
  <dcterms:created xsi:type="dcterms:W3CDTF">2021-12-16T03:45:00Z</dcterms:created>
  <dcterms:modified xsi:type="dcterms:W3CDTF">2021-12-16T03:45:00Z</dcterms:modified>
</cp:coreProperties>
</file>