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D1" w:rsidRDefault="00E44CC5">
      <w:pPr>
        <w:jc w:val="center"/>
      </w:pPr>
      <w:bookmarkStart w:id="0" w:name="_GoBack"/>
      <w:r>
        <w:rPr>
          <w:rFonts w:eastAsia="標楷體"/>
          <w:b/>
          <w:sz w:val="36"/>
          <w:szCs w:val="36"/>
        </w:rPr>
        <w:t>全民健康保險跨層級醫院合作計畫</w:t>
      </w:r>
    </w:p>
    <w:bookmarkEnd w:id="0"/>
    <w:p w:rsidR="00627AD1" w:rsidRDefault="00E44CC5">
      <w:pPr>
        <w:jc w:val="right"/>
        <w:rPr>
          <w:rFonts w:eastAsia="標楷體"/>
        </w:rPr>
      </w:pPr>
      <w:r>
        <w:rPr>
          <w:rFonts w:eastAsia="標楷體"/>
        </w:rPr>
        <w:t>104</w:t>
      </w:r>
      <w:r>
        <w:rPr>
          <w:rFonts w:eastAsia="標楷體"/>
        </w:rPr>
        <w:t>年</w:t>
      </w:r>
      <w:r>
        <w:rPr>
          <w:rFonts w:eastAsia="標楷體"/>
        </w:rPr>
        <w:t>2</w:t>
      </w:r>
      <w:r>
        <w:rPr>
          <w:rFonts w:eastAsia="標楷體"/>
        </w:rPr>
        <w:t>月</w:t>
      </w:r>
      <w:r>
        <w:rPr>
          <w:rFonts w:eastAsia="標楷體"/>
        </w:rPr>
        <w:t>2</w:t>
      </w:r>
      <w:r>
        <w:rPr>
          <w:rFonts w:eastAsia="標楷體"/>
        </w:rPr>
        <w:t>日健保</w:t>
      </w:r>
      <w:proofErr w:type="gramStart"/>
      <w:r>
        <w:rPr>
          <w:rFonts w:eastAsia="標楷體"/>
        </w:rPr>
        <w:t>醫</w:t>
      </w:r>
      <w:proofErr w:type="gramEnd"/>
      <w:r>
        <w:rPr>
          <w:rFonts w:eastAsia="標楷體"/>
        </w:rPr>
        <w:t>字第</w:t>
      </w:r>
      <w:r>
        <w:rPr>
          <w:rFonts w:eastAsia="標楷體"/>
        </w:rPr>
        <w:t>1040000991</w:t>
      </w:r>
      <w:r>
        <w:rPr>
          <w:rFonts w:eastAsia="標楷體"/>
        </w:rPr>
        <w:t>號公告</w:t>
      </w:r>
    </w:p>
    <w:p w:rsidR="00627AD1" w:rsidRPr="00E83003" w:rsidRDefault="00E83003">
      <w:pPr>
        <w:jc w:val="right"/>
        <w:rPr>
          <w:rFonts w:eastAsia="標楷體"/>
        </w:rPr>
      </w:pPr>
      <w:r w:rsidRPr="00E83003">
        <w:rPr>
          <w:rFonts w:eastAsia="標楷體" w:hint="eastAsia"/>
        </w:rPr>
        <w:t>106</w:t>
      </w:r>
      <w:r w:rsidR="00E44CC5" w:rsidRPr="00E83003">
        <w:rPr>
          <w:rFonts w:eastAsia="標楷體"/>
        </w:rPr>
        <w:t>年</w:t>
      </w:r>
      <w:r w:rsidRPr="00E83003">
        <w:rPr>
          <w:rFonts w:eastAsia="標楷體" w:hint="eastAsia"/>
        </w:rPr>
        <w:t>1</w:t>
      </w:r>
      <w:r w:rsidR="00E44CC5" w:rsidRPr="00E83003">
        <w:rPr>
          <w:rFonts w:eastAsia="標楷體"/>
        </w:rPr>
        <w:t>月</w:t>
      </w:r>
      <w:r w:rsidR="00B03C8E">
        <w:rPr>
          <w:rFonts w:eastAsia="標楷體" w:hint="eastAsia"/>
        </w:rPr>
        <w:t>17</w:t>
      </w:r>
      <w:r w:rsidR="00E44CC5" w:rsidRPr="00E83003">
        <w:rPr>
          <w:rFonts w:eastAsia="標楷體"/>
        </w:rPr>
        <w:t>日健保</w:t>
      </w:r>
      <w:proofErr w:type="gramStart"/>
      <w:r w:rsidR="00E44CC5" w:rsidRPr="00E83003">
        <w:rPr>
          <w:rFonts w:eastAsia="標楷體"/>
        </w:rPr>
        <w:t>醫</w:t>
      </w:r>
      <w:proofErr w:type="gramEnd"/>
      <w:r w:rsidR="00E44CC5" w:rsidRPr="00E83003">
        <w:rPr>
          <w:rFonts w:eastAsia="標楷體"/>
        </w:rPr>
        <w:t>字第</w:t>
      </w:r>
      <w:r w:rsidR="00B03C8E">
        <w:rPr>
          <w:rFonts w:eastAsia="標楷體" w:hint="eastAsia"/>
        </w:rPr>
        <w:t>1060000492</w:t>
      </w:r>
      <w:r w:rsidR="00E44CC5" w:rsidRPr="00E83003">
        <w:rPr>
          <w:rFonts w:eastAsia="標楷體"/>
        </w:rPr>
        <w:t>號公告</w:t>
      </w:r>
    </w:p>
    <w:p w:rsidR="00627AD1" w:rsidRDefault="00627AD1">
      <w:pPr>
        <w:jc w:val="right"/>
        <w:rPr>
          <w:rFonts w:eastAsia="標楷體"/>
        </w:rPr>
      </w:pPr>
    </w:p>
    <w:p w:rsidR="00627AD1" w:rsidRPr="00E83003" w:rsidRDefault="00E44CC5" w:rsidP="00E83003">
      <w:pPr>
        <w:spacing w:before="240" w:line="480" w:lineRule="exact"/>
      </w:pPr>
      <w:r w:rsidRPr="00E83003">
        <w:rPr>
          <w:rFonts w:eastAsia="標楷體"/>
          <w:b/>
          <w:sz w:val="28"/>
          <w:szCs w:val="28"/>
        </w:rPr>
        <w:t>壹、</w:t>
      </w:r>
      <w:r w:rsidR="00496276" w:rsidRPr="00E83003">
        <w:rPr>
          <w:rFonts w:eastAsia="標楷體"/>
          <w:b/>
          <w:sz w:val="28"/>
          <w:szCs w:val="28"/>
        </w:rPr>
        <w:t>計畫依據</w:t>
      </w:r>
      <w:r w:rsidRPr="00E83003">
        <w:rPr>
          <w:rFonts w:eastAsia="標楷體"/>
          <w:b/>
          <w:sz w:val="28"/>
          <w:szCs w:val="28"/>
        </w:rPr>
        <w:t xml:space="preserve">                               </w:t>
      </w:r>
    </w:p>
    <w:p w:rsidR="00496276" w:rsidRPr="00E83003" w:rsidRDefault="00496276" w:rsidP="00E83003">
      <w:pPr>
        <w:spacing w:line="480" w:lineRule="exact"/>
        <w:ind w:firstLine="588"/>
        <w:rPr>
          <w:rFonts w:eastAsia="標楷體"/>
          <w:sz w:val="28"/>
        </w:rPr>
      </w:pPr>
      <w:r w:rsidRPr="00E83003">
        <w:rPr>
          <w:rFonts w:eastAsia="標楷體"/>
          <w:sz w:val="28"/>
        </w:rPr>
        <w:t>依據全民健康保險醫療給付費用總額協議結果辦理。</w:t>
      </w:r>
    </w:p>
    <w:p w:rsidR="00627AD1" w:rsidRDefault="00E44CC5" w:rsidP="00E83003">
      <w:pPr>
        <w:spacing w:before="240" w:line="480" w:lineRule="exact"/>
        <w:rPr>
          <w:rFonts w:eastAsia="標楷體"/>
          <w:b/>
          <w:sz w:val="28"/>
          <w:szCs w:val="28"/>
        </w:rPr>
      </w:pPr>
      <w:r>
        <w:rPr>
          <w:rFonts w:eastAsia="標楷體"/>
          <w:b/>
          <w:sz w:val="28"/>
          <w:szCs w:val="28"/>
        </w:rPr>
        <w:t>貳、計畫目標</w:t>
      </w:r>
    </w:p>
    <w:p w:rsidR="00627AD1" w:rsidRPr="00E83003" w:rsidRDefault="00E44CC5" w:rsidP="00476C0B">
      <w:pPr>
        <w:numPr>
          <w:ilvl w:val="0"/>
          <w:numId w:val="1"/>
        </w:numPr>
        <w:spacing w:line="480" w:lineRule="exact"/>
        <w:ind w:left="1134" w:hanging="523"/>
      </w:pPr>
      <w:r w:rsidRPr="00E83003">
        <w:rPr>
          <w:rFonts w:eastAsia="標楷體"/>
          <w:sz w:val="28"/>
          <w:szCs w:val="28"/>
        </w:rPr>
        <w:t>鼓勵醫療院所跨層級合作，建置區域性醫療支援系統。</w:t>
      </w:r>
    </w:p>
    <w:p w:rsidR="00627AD1" w:rsidRPr="00E83003" w:rsidRDefault="00E44CC5" w:rsidP="00476C0B">
      <w:pPr>
        <w:numPr>
          <w:ilvl w:val="0"/>
          <w:numId w:val="1"/>
        </w:numPr>
        <w:spacing w:line="480" w:lineRule="exact"/>
        <w:ind w:left="1134" w:hanging="523"/>
      </w:pPr>
      <w:r w:rsidRPr="00E83003">
        <w:rPr>
          <w:rFonts w:eastAsia="標楷體"/>
          <w:sz w:val="28"/>
          <w:szCs w:val="28"/>
        </w:rPr>
        <w:t>促進醫學中心、區域醫院及基層診所醫師支援社區醫院，提升社區內醫療服務品質與內容，吸引民眾回歸社區就醫。</w:t>
      </w:r>
    </w:p>
    <w:p w:rsidR="00627AD1" w:rsidRPr="00E83003" w:rsidRDefault="00E44CC5" w:rsidP="00476C0B">
      <w:pPr>
        <w:numPr>
          <w:ilvl w:val="0"/>
          <w:numId w:val="1"/>
        </w:numPr>
        <w:spacing w:line="480" w:lineRule="exact"/>
        <w:ind w:left="1134" w:hanging="523"/>
      </w:pPr>
      <w:r w:rsidRPr="00E83003">
        <w:rPr>
          <w:rFonts w:eastAsia="標楷體"/>
          <w:sz w:val="28"/>
          <w:szCs w:val="28"/>
        </w:rPr>
        <w:t>透過醫師支援模式，讓可以在社區醫院提供的醫療服務回歸社區，讓醫學中心、區域醫院醫師能更深入瞭解社區醫療需求，更願意投入社區地區醫院服務的行列，亦使社區醫院醫療團隊提升照護水準。</w:t>
      </w:r>
    </w:p>
    <w:p w:rsidR="00627AD1" w:rsidRPr="00E83003" w:rsidRDefault="00E44CC5" w:rsidP="00476C0B">
      <w:pPr>
        <w:numPr>
          <w:ilvl w:val="0"/>
          <w:numId w:val="1"/>
        </w:numPr>
        <w:spacing w:line="480" w:lineRule="exact"/>
        <w:ind w:left="1134" w:hanging="565"/>
        <w:rPr>
          <w:rFonts w:eastAsia="標楷體"/>
          <w:sz w:val="28"/>
          <w:szCs w:val="28"/>
        </w:rPr>
      </w:pPr>
      <w:r w:rsidRPr="00E83003">
        <w:rPr>
          <w:rFonts w:eastAsia="標楷體"/>
          <w:sz w:val="28"/>
          <w:szCs w:val="28"/>
        </w:rPr>
        <w:t>建立落實分級醫療及雙向轉診制度之基礎，減少健保、醫療資源重覆不當使用，民眾亦免受舟車勞頓之苦。</w:t>
      </w:r>
    </w:p>
    <w:p w:rsidR="00627AD1" w:rsidRPr="00E83003" w:rsidRDefault="00476C0B" w:rsidP="00E83003">
      <w:pPr>
        <w:spacing w:before="240" w:line="480" w:lineRule="exact"/>
        <w:rPr>
          <w:rFonts w:eastAsia="標楷體"/>
          <w:b/>
          <w:sz w:val="28"/>
          <w:szCs w:val="28"/>
        </w:rPr>
      </w:pPr>
      <w:r w:rsidRPr="00E83003">
        <w:rPr>
          <w:rFonts w:eastAsia="標楷體" w:hint="eastAsia"/>
          <w:b/>
          <w:sz w:val="28"/>
          <w:szCs w:val="28"/>
        </w:rPr>
        <w:t>叁</w:t>
      </w:r>
      <w:r w:rsidR="00E44CC5" w:rsidRPr="00476C0B">
        <w:rPr>
          <w:rFonts w:eastAsia="標楷體"/>
          <w:b/>
          <w:sz w:val="28"/>
          <w:szCs w:val="28"/>
        </w:rPr>
        <w:t>、</w:t>
      </w:r>
      <w:r w:rsidR="00E44CC5">
        <w:rPr>
          <w:rFonts w:eastAsia="標楷體"/>
          <w:b/>
          <w:sz w:val="28"/>
          <w:szCs w:val="28"/>
        </w:rPr>
        <w:t>預算來源</w:t>
      </w:r>
    </w:p>
    <w:p w:rsidR="00627AD1" w:rsidRDefault="00E44CC5" w:rsidP="00E83003">
      <w:pPr>
        <w:spacing w:line="480" w:lineRule="exact"/>
        <w:ind w:left="602"/>
      </w:pPr>
      <w:r>
        <w:rPr>
          <w:rFonts w:eastAsia="標楷體"/>
          <w:sz w:val="28"/>
        </w:rPr>
        <w:t>全民健康保險醫療給付費用總額其他預算之「推動促進醫療體系整合計畫」項下「跨層級醫院合作計畫」，全年預算</w:t>
      </w:r>
      <w:r>
        <w:rPr>
          <w:rFonts w:eastAsia="標楷體"/>
          <w:sz w:val="28"/>
        </w:rPr>
        <w:t>1</w:t>
      </w:r>
      <w:r>
        <w:rPr>
          <w:rFonts w:eastAsia="標楷體"/>
          <w:sz w:val="28"/>
        </w:rPr>
        <w:t>億元。</w:t>
      </w:r>
    </w:p>
    <w:p w:rsidR="00627AD1" w:rsidRPr="00E83003" w:rsidRDefault="00D61A31" w:rsidP="00E83003">
      <w:pPr>
        <w:spacing w:before="240" w:line="480" w:lineRule="exact"/>
        <w:rPr>
          <w:rFonts w:eastAsia="標楷體"/>
          <w:b/>
          <w:sz w:val="28"/>
          <w:szCs w:val="28"/>
        </w:rPr>
      </w:pPr>
      <w:r w:rsidRPr="00E83003">
        <w:rPr>
          <w:rFonts w:eastAsia="標楷體"/>
          <w:b/>
          <w:sz w:val="28"/>
          <w:szCs w:val="28"/>
        </w:rPr>
        <w:t>肆</w:t>
      </w:r>
      <w:r w:rsidR="00E44CC5" w:rsidRPr="00D61A31">
        <w:rPr>
          <w:rFonts w:eastAsia="標楷體"/>
          <w:b/>
          <w:sz w:val="28"/>
          <w:szCs w:val="28"/>
        </w:rPr>
        <w:t>、</w:t>
      </w:r>
      <w:r w:rsidR="00E44CC5">
        <w:rPr>
          <w:rFonts w:eastAsia="標楷體"/>
          <w:b/>
          <w:sz w:val="28"/>
          <w:szCs w:val="28"/>
        </w:rPr>
        <w:t>申請條件</w:t>
      </w:r>
    </w:p>
    <w:p w:rsidR="00627AD1" w:rsidRPr="00E83003" w:rsidRDefault="00E44CC5" w:rsidP="00E83003">
      <w:pPr>
        <w:spacing w:line="480" w:lineRule="exact"/>
        <w:ind w:left="1162" w:hanging="574"/>
        <w:jc w:val="both"/>
      </w:pPr>
      <w:r w:rsidRPr="00E83003">
        <w:rPr>
          <w:rFonts w:eastAsia="標楷體"/>
          <w:sz w:val="28"/>
          <w:szCs w:val="28"/>
        </w:rPr>
        <w:t>一、參與醫</w:t>
      </w:r>
      <w:r w:rsidR="00496276" w:rsidRPr="00E83003">
        <w:rPr>
          <w:rFonts w:eastAsia="標楷體"/>
          <w:sz w:val="28"/>
          <w:szCs w:val="28"/>
        </w:rPr>
        <w:t>療院所</w:t>
      </w:r>
      <w:r w:rsidRPr="00E83003">
        <w:rPr>
          <w:rFonts w:eastAsia="標楷體"/>
          <w:sz w:val="28"/>
          <w:szCs w:val="28"/>
        </w:rPr>
        <w:t>須為全民健康保險</w:t>
      </w:r>
      <w:r w:rsidRPr="00E83003">
        <w:rPr>
          <w:rFonts w:eastAsia="標楷體"/>
          <w:sz w:val="28"/>
          <w:szCs w:val="28"/>
        </w:rPr>
        <w:t>(</w:t>
      </w:r>
      <w:r w:rsidRPr="00E83003">
        <w:rPr>
          <w:rFonts w:eastAsia="標楷體"/>
          <w:sz w:val="28"/>
          <w:szCs w:val="28"/>
        </w:rPr>
        <w:t>以下稱本保險</w:t>
      </w:r>
      <w:r w:rsidRPr="00E83003">
        <w:rPr>
          <w:rFonts w:eastAsia="標楷體"/>
          <w:sz w:val="28"/>
          <w:szCs w:val="28"/>
        </w:rPr>
        <w:t>)</w:t>
      </w:r>
      <w:r w:rsidRPr="00E83003">
        <w:rPr>
          <w:rFonts w:eastAsia="標楷體"/>
          <w:sz w:val="28"/>
          <w:szCs w:val="28"/>
        </w:rPr>
        <w:t>特約院所，且最近二年內不得有違反本保險特約管理辦法第三十八條至第四十條中所列違規情事之</w:t>
      </w:r>
      <w:proofErr w:type="gramStart"/>
      <w:r w:rsidRPr="00E83003">
        <w:rPr>
          <w:rFonts w:eastAsia="標楷體"/>
          <w:sz w:val="28"/>
          <w:szCs w:val="28"/>
        </w:rPr>
        <w:t>一</w:t>
      </w:r>
      <w:proofErr w:type="gramEnd"/>
      <w:r w:rsidRPr="00E83003">
        <w:rPr>
          <w:rFonts w:eastAsia="標楷體"/>
          <w:sz w:val="28"/>
          <w:szCs w:val="28"/>
        </w:rPr>
        <w:t>者</w:t>
      </w:r>
      <w:r w:rsidRPr="00E83003">
        <w:rPr>
          <w:rFonts w:eastAsia="標楷體"/>
          <w:sz w:val="28"/>
          <w:szCs w:val="28"/>
        </w:rPr>
        <w:t>(</w:t>
      </w:r>
      <w:r w:rsidRPr="00E83003">
        <w:rPr>
          <w:rFonts w:eastAsia="標楷體"/>
          <w:sz w:val="28"/>
          <w:szCs w:val="28"/>
        </w:rPr>
        <w:t>含行政救濟程序中尚未執行處分者</w:t>
      </w:r>
      <w:r w:rsidRPr="00E83003">
        <w:rPr>
          <w:rFonts w:eastAsia="標楷體"/>
          <w:sz w:val="28"/>
          <w:szCs w:val="28"/>
        </w:rPr>
        <w:t>)</w:t>
      </w:r>
      <w:r w:rsidRPr="00E83003">
        <w:rPr>
          <w:rFonts w:eastAsia="標楷體"/>
          <w:sz w:val="28"/>
          <w:szCs w:val="28"/>
        </w:rPr>
        <w:t>。前述違規期間之認定，以保險人第一次處分函</w:t>
      </w:r>
      <w:proofErr w:type="gramStart"/>
      <w:r w:rsidRPr="00E83003">
        <w:rPr>
          <w:rFonts w:eastAsia="標楷體"/>
          <w:sz w:val="28"/>
          <w:szCs w:val="28"/>
        </w:rPr>
        <w:t>所載停約</w:t>
      </w:r>
      <w:proofErr w:type="gramEnd"/>
      <w:r w:rsidRPr="00E83003">
        <w:rPr>
          <w:rFonts w:eastAsia="標楷體"/>
          <w:sz w:val="28"/>
          <w:szCs w:val="28"/>
        </w:rPr>
        <w:t>或終止特約日起算。</w:t>
      </w:r>
    </w:p>
    <w:p w:rsidR="00627AD1" w:rsidRPr="00E83003" w:rsidRDefault="00E44CC5" w:rsidP="00E83003">
      <w:pPr>
        <w:spacing w:line="480" w:lineRule="exact"/>
        <w:ind w:left="1162" w:hanging="574"/>
      </w:pPr>
      <w:r w:rsidRPr="00E83003">
        <w:rPr>
          <w:rFonts w:eastAsia="標楷體"/>
          <w:sz w:val="28"/>
          <w:szCs w:val="28"/>
        </w:rPr>
        <w:t>二、醫療院所應</w:t>
      </w:r>
      <w:proofErr w:type="gramStart"/>
      <w:r w:rsidRPr="00E83003">
        <w:rPr>
          <w:rFonts w:eastAsia="標楷體"/>
          <w:sz w:val="28"/>
          <w:szCs w:val="28"/>
        </w:rPr>
        <w:t>採</w:t>
      </w:r>
      <w:proofErr w:type="gramEnd"/>
      <w:r w:rsidRPr="00E83003">
        <w:rPr>
          <w:rFonts w:eastAsia="標楷體"/>
          <w:sz w:val="28"/>
          <w:szCs w:val="28"/>
        </w:rPr>
        <w:t>「跨層級合作團隊」模式提出申請，團隊應指派</w:t>
      </w:r>
      <w:proofErr w:type="gramStart"/>
      <w:r w:rsidRPr="00E83003">
        <w:rPr>
          <w:rFonts w:eastAsia="標楷體"/>
          <w:sz w:val="28"/>
          <w:szCs w:val="28"/>
        </w:rPr>
        <w:t>一</w:t>
      </w:r>
      <w:proofErr w:type="gramEnd"/>
      <w:r w:rsidRPr="00E83003">
        <w:rPr>
          <w:rFonts w:eastAsia="標楷體"/>
          <w:sz w:val="28"/>
          <w:szCs w:val="28"/>
        </w:rPr>
        <w:t>地區醫院為主</w:t>
      </w:r>
      <w:proofErr w:type="gramStart"/>
      <w:r w:rsidRPr="00E83003">
        <w:rPr>
          <w:rFonts w:eastAsia="標楷體"/>
          <w:sz w:val="28"/>
          <w:szCs w:val="28"/>
        </w:rPr>
        <w:t>責</w:t>
      </w:r>
      <w:proofErr w:type="gramEnd"/>
      <w:r w:rsidRPr="00E83003">
        <w:rPr>
          <w:rFonts w:eastAsia="標楷體"/>
          <w:sz w:val="28"/>
          <w:szCs w:val="28"/>
        </w:rPr>
        <w:t>醫院，負責提送計畫書、</w:t>
      </w:r>
      <w:r w:rsidR="0032756C" w:rsidRPr="00E83003">
        <w:rPr>
          <w:rFonts w:eastAsia="標楷體" w:hint="eastAsia"/>
          <w:sz w:val="28"/>
          <w:szCs w:val="28"/>
        </w:rPr>
        <w:t>提供</w:t>
      </w:r>
      <w:r w:rsidRPr="00E83003">
        <w:rPr>
          <w:rFonts w:eastAsia="標楷體"/>
          <w:sz w:val="28"/>
          <w:szCs w:val="28"/>
        </w:rPr>
        <w:t>聯繫管道及經費撥付事宜。</w:t>
      </w:r>
    </w:p>
    <w:p w:rsidR="00627AD1" w:rsidRPr="00E83003" w:rsidRDefault="00E44CC5" w:rsidP="00E83003">
      <w:pPr>
        <w:spacing w:line="480" w:lineRule="exact"/>
        <w:ind w:left="1162" w:hanging="574"/>
        <w:rPr>
          <w:rFonts w:eastAsia="標楷體"/>
          <w:sz w:val="28"/>
          <w:szCs w:val="28"/>
        </w:rPr>
      </w:pPr>
      <w:r w:rsidRPr="00E83003">
        <w:rPr>
          <w:rFonts w:eastAsia="標楷體"/>
          <w:sz w:val="28"/>
          <w:szCs w:val="28"/>
        </w:rPr>
        <w:t>三、限於預算或已有其他計畫獎勵，本計畫不適用對象如下：</w:t>
      </w:r>
      <w:r w:rsidRPr="00E83003">
        <w:rPr>
          <w:rFonts w:eastAsia="標楷體"/>
          <w:sz w:val="28"/>
          <w:szCs w:val="28"/>
        </w:rPr>
        <w:t xml:space="preserve"> </w:t>
      </w:r>
    </w:p>
    <w:p w:rsidR="00627AD1" w:rsidRDefault="00E44CC5">
      <w:pPr>
        <w:numPr>
          <w:ilvl w:val="0"/>
          <w:numId w:val="2"/>
        </w:numPr>
        <w:spacing w:line="480" w:lineRule="exact"/>
        <w:ind w:left="1806" w:hanging="574"/>
        <w:rPr>
          <w:rFonts w:eastAsia="標楷體"/>
          <w:sz w:val="28"/>
          <w:szCs w:val="28"/>
        </w:rPr>
      </w:pPr>
      <w:r>
        <w:rPr>
          <w:rFonts w:eastAsia="標楷體"/>
          <w:sz w:val="28"/>
          <w:szCs w:val="28"/>
        </w:rPr>
        <w:t>同體系醫院間</w:t>
      </w:r>
      <w:r>
        <w:rPr>
          <w:rFonts w:eastAsia="標楷體"/>
          <w:sz w:val="28"/>
          <w:szCs w:val="28"/>
        </w:rPr>
        <w:t>(</w:t>
      </w:r>
      <w:r>
        <w:rPr>
          <w:rFonts w:eastAsia="標楷體"/>
          <w:sz w:val="28"/>
          <w:szCs w:val="28"/>
        </w:rPr>
        <w:t>含委託經營</w:t>
      </w:r>
      <w:r>
        <w:rPr>
          <w:rFonts w:eastAsia="標楷體"/>
          <w:sz w:val="28"/>
          <w:szCs w:val="28"/>
        </w:rPr>
        <w:t>)</w:t>
      </w:r>
      <w:r>
        <w:rPr>
          <w:rFonts w:eastAsia="標楷體"/>
          <w:sz w:val="28"/>
          <w:szCs w:val="28"/>
        </w:rPr>
        <w:t>之支援：同法人醫院體系、國軍退除</w:t>
      </w:r>
      <w:r>
        <w:rPr>
          <w:rFonts w:eastAsia="標楷體"/>
          <w:sz w:val="28"/>
          <w:szCs w:val="28"/>
        </w:rPr>
        <w:lastRenderedPageBreak/>
        <w:t>役官兵輔導委員會醫院體系、國軍醫院體系、衛生福利部醫院體系、同醫學院附設醫院體系、同縣市政府所屬醫院體系、同醫院總分院</w:t>
      </w:r>
      <w:r>
        <w:rPr>
          <w:rFonts w:eastAsia="標楷體"/>
          <w:sz w:val="28"/>
          <w:szCs w:val="28"/>
        </w:rPr>
        <w:t>(</w:t>
      </w:r>
      <w:r>
        <w:rPr>
          <w:rFonts w:eastAsia="標楷體"/>
          <w:sz w:val="28"/>
          <w:szCs w:val="28"/>
        </w:rPr>
        <w:t>院區</w:t>
      </w:r>
      <w:r>
        <w:rPr>
          <w:rFonts w:eastAsia="標楷體"/>
          <w:sz w:val="28"/>
          <w:szCs w:val="28"/>
        </w:rPr>
        <w:t>)</w:t>
      </w:r>
      <w:r>
        <w:rPr>
          <w:rFonts w:eastAsia="標楷體"/>
          <w:sz w:val="28"/>
          <w:szCs w:val="28"/>
        </w:rPr>
        <w:t>。若對保險人認定有異議，醫院可舉證非屬同體系醫院，經保險人分區業務組同意後參加。</w:t>
      </w:r>
    </w:p>
    <w:p w:rsidR="00627AD1" w:rsidRDefault="00E44CC5">
      <w:pPr>
        <w:numPr>
          <w:ilvl w:val="0"/>
          <w:numId w:val="2"/>
        </w:numPr>
        <w:spacing w:line="480" w:lineRule="exact"/>
        <w:ind w:left="1806" w:hanging="574"/>
        <w:rPr>
          <w:rFonts w:eastAsia="標楷體"/>
          <w:sz w:val="28"/>
          <w:szCs w:val="28"/>
        </w:rPr>
      </w:pPr>
      <w:r>
        <w:rPr>
          <w:rFonts w:eastAsia="標楷體"/>
          <w:sz w:val="28"/>
          <w:szCs w:val="28"/>
        </w:rPr>
        <w:t>「全民健康保險山地離島地區醫療給付效益提升計畫」之地區醫院。</w:t>
      </w:r>
    </w:p>
    <w:p w:rsidR="00627AD1" w:rsidRDefault="00E44CC5">
      <w:pPr>
        <w:numPr>
          <w:ilvl w:val="0"/>
          <w:numId w:val="2"/>
        </w:numPr>
        <w:spacing w:line="480" w:lineRule="exact"/>
        <w:ind w:left="1806" w:hanging="574"/>
        <w:rPr>
          <w:rFonts w:eastAsia="標楷體"/>
          <w:sz w:val="28"/>
          <w:szCs w:val="28"/>
        </w:rPr>
      </w:pPr>
      <w:r>
        <w:rPr>
          <w:rFonts w:eastAsia="標楷體"/>
          <w:sz w:val="28"/>
          <w:szCs w:val="28"/>
        </w:rPr>
        <w:t>「全民健康保險醫療資源不足地區之醫療服務提升計畫」、「醫院總額結算執行架構之偏遠地區醫院認定原則」之地區醫院。</w:t>
      </w:r>
    </w:p>
    <w:p w:rsidR="00627AD1" w:rsidRDefault="00E44CC5">
      <w:pPr>
        <w:numPr>
          <w:ilvl w:val="0"/>
          <w:numId w:val="2"/>
        </w:numPr>
        <w:spacing w:line="480" w:lineRule="exact"/>
        <w:ind w:left="1806" w:hanging="574"/>
        <w:rPr>
          <w:rFonts w:eastAsia="標楷體"/>
          <w:sz w:val="28"/>
          <w:szCs w:val="28"/>
        </w:rPr>
      </w:pPr>
      <w:r>
        <w:rPr>
          <w:rFonts w:eastAsia="標楷體"/>
          <w:sz w:val="28"/>
          <w:szCs w:val="28"/>
        </w:rPr>
        <w:t>呼吸照護、精神專科醫院：最近</w:t>
      </w:r>
      <w:r>
        <w:rPr>
          <w:rFonts w:eastAsia="標楷體"/>
          <w:sz w:val="28"/>
          <w:szCs w:val="28"/>
        </w:rPr>
        <w:t>1</w:t>
      </w:r>
      <w:r>
        <w:rPr>
          <w:rFonts w:eastAsia="標楷體"/>
          <w:sz w:val="28"/>
          <w:szCs w:val="28"/>
        </w:rPr>
        <w:t>年申報就醫科別精神科</w:t>
      </w:r>
      <w:r>
        <w:rPr>
          <w:rFonts w:eastAsia="標楷體"/>
          <w:sz w:val="28"/>
          <w:szCs w:val="28"/>
        </w:rPr>
        <w:t>(</w:t>
      </w:r>
      <w:r>
        <w:rPr>
          <w:rFonts w:eastAsia="標楷體"/>
          <w:sz w:val="28"/>
          <w:szCs w:val="28"/>
        </w:rPr>
        <w:t>科別</w:t>
      </w:r>
      <w:r>
        <w:rPr>
          <w:rFonts w:eastAsia="標楷體"/>
          <w:sz w:val="28"/>
          <w:szCs w:val="28"/>
        </w:rPr>
        <w:t>13)+</w:t>
      </w:r>
      <w:r>
        <w:rPr>
          <w:rFonts w:eastAsia="標楷體"/>
          <w:sz w:val="28"/>
          <w:szCs w:val="28"/>
        </w:rPr>
        <w:t>呼吸照護</w:t>
      </w:r>
      <w:r>
        <w:rPr>
          <w:rFonts w:eastAsia="標楷體"/>
          <w:sz w:val="28"/>
          <w:szCs w:val="28"/>
        </w:rPr>
        <w:t>(</w:t>
      </w:r>
      <w:r>
        <w:rPr>
          <w:rFonts w:eastAsia="標楷體"/>
          <w:sz w:val="28"/>
          <w:szCs w:val="28"/>
        </w:rPr>
        <w:t>給付類別</w:t>
      </w:r>
      <w:r>
        <w:rPr>
          <w:rFonts w:eastAsia="標楷體"/>
          <w:sz w:val="28"/>
          <w:szCs w:val="28"/>
        </w:rPr>
        <w:t>=9)</w:t>
      </w:r>
      <w:proofErr w:type="gramStart"/>
      <w:r>
        <w:rPr>
          <w:rFonts w:eastAsia="標楷體"/>
          <w:sz w:val="28"/>
          <w:szCs w:val="28"/>
        </w:rPr>
        <w:t>之門住醫療費用</w:t>
      </w:r>
      <w:proofErr w:type="gramEnd"/>
      <w:r>
        <w:rPr>
          <w:rFonts w:eastAsia="標楷體"/>
          <w:sz w:val="28"/>
          <w:szCs w:val="28"/>
        </w:rPr>
        <w:t>(</w:t>
      </w:r>
      <w:r>
        <w:rPr>
          <w:rFonts w:eastAsia="標楷體"/>
          <w:sz w:val="28"/>
          <w:szCs w:val="28"/>
        </w:rPr>
        <w:t>申請點數</w:t>
      </w:r>
      <w:r>
        <w:rPr>
          <w:rFonts w:eastAsia="標楷體"/>
          <w:sz w:val="28"/>
          <w:szCs w:val="28"/>
        </w:rPr>
        <w:t>+</w:t>
      </w:r>
      <w:r>
        <w:rPr>
          <w:rFonts w:eastAsia="標楷體"/>
          <w:sz w:val="28"/>
          <w:szCs w:val="28"/>
        </w:rPr>
        <w:t>部分負擔</w:t>
      </w:r>
      <w:r>
        <w:rPr>
          <w:rFonts w:eastAsia="標楷體"/>
          <w:sz w:val="28"/>
          <w:szCs w:val="28"/>
        </w:rPr>
        <w:t>)</w:t>
      </w:r>
      <w:r>
        <w:rPr>
          <w:rFonts w:eastAsia="標楷體"/>
          <w:sz w:val="28"/>
          <w:szCs w:val="28"/>
        </w:rPr>
        <w:t>＞該</w:t>
      </w:r>
      <w:proofErr w:type="gramStart"/>
      <w:r>
        <w:rPr>
          <w:rFonts w:eastAsia="標楷體"/>
          <w:sz w:val="28"/>
          <w:szCs w:val="28"/>
        </w:rPr>
        <w:t>院門住醫療費用</w:t>
      </w:r>
      <w:proofErr w:type="gramEnd"/>
      <w:r>
        <w:rPr>
          <w:rFonts w:eastAsia="標楷體"/>
          <w:sz w:val="28"/>
          <w:szCs w:val="28"/>
        </w:rPr>
        <w:t>50.0 %</w:t>
      </w:r>
      <w:r>
        <w:rPr>
          <w:rFonts w:eastAsia="標楷體"/>
          <w:sz w:val="28"/>
          <w:szCs w:val="28"/>
        </w:rPr>
        <w:t>。</w:t>
      </w:r>
    </w:p>
    <w:p w:rsidR="00627AD1" w:rsidRDefault="00E44CC5">
      <w:pPr>
        <w:numPr>
          <w:ilvl w:val="0"/>
          <w:numId w:val="2"/>
        </w:numPr>
        <w:spacing w:line="480" w:lineRule="exact"/>
        <w:ind w:left="1806" w:hanging="574"/>
        <w:rPr>
          <w:rFonts w:eastAsia="標楷體"/>
          <w:sz w:val="28"/>
          <w:szCs w:val="28"/>
        </w:rPr>
      </w:pPr>
      <w:r>
        <w:rPr>
          <w:rFonts w:eastAsia="標楷體"/>
          <w:sz w:val="28"/>
          <w:szCs w:val="28"/>
        </w:rPr>
        <w:t>參加「全民健康保險急診品質提升方案」醫院之急診支援。</w:t>
      </w:r>
    </w:p>
    <w:p w:rsidR="00627AD1" w:rsidRDefault="00E44CC5">
      <w:pPr>
        <w:numPr>
          <w:ilvl w:val="0"/>
          <w:numId w:val="2"/>
        </w:numPr>
        <w:spacing w:line="480" w:lineRule="exact"/>
        <w:ind w:left="1806" w:hanging="574"/>
        <w:rPr>
          <w:rFonts w:eastAsia="標楷體"/>
          <w:sz w:val="28"/>
          <w:szCs w:val="28"/>
        </w:rPr>
      </w:pPr>
      <w:r>
        <w:rPr>
          <w:rFonts w:eastAsia="標楷體"/>
          <w:sz w:val="28"/>
          <w:szCs w:val="28"/>
        </w:rPr>
        <w:t>衛生福利部</w:t>
      </w:r>
      <w:proofErr w:type="gramStart"/>
      <w:r>
        <w:rPr>
          <w:rFonts w:eastAsia="標楷體"/>
          <w:sz w:val="28"/>
          <w:szCs w:val="28"/>
        </w:rPr>
        <w:t>醫</w:t>
      </w:r>
      <w:proofErr w:type="gramEnd"/>
      <w:r>
        <w:rPr>
          <w:rFonts w:eastAsia="標楷體"/>
          <w:sz w:val="28"/>
          <w:szCs w:val="28"/>
        </w:rPr>
        <w:t>事司「醫學中心支援離島及醫療資源不足地區醫院緊急醫療照護服務獎勵計畫」及「緊急醫療資源不足地區改善計畫」之補助醫師或補助開診費用。</w:t>
      </w:r>
    </w:p>
    <w:p w:rsidR="00627AD1" w:rsidRPr="00E83003" w:rsidRDefault="00E44CC5" w:rsidP="00E83003">
      <w:pPr>
        <w:spacing w:before="240" w:line="480" w:lineRule="exact"/>
        <w:rPr>
          <w:rFonts w:eastAsia="標楷體"/>
          <w:b/>
          <w:sz w:val="28"/>
          <w:szCs w:val="28"/>
        </w:rPr>
      </w:pPr>
      <w:r w:rsidRPr="00E83003">
        <w:rPr>
          <w:rFonts w:eastAsia="標楷體"/>
          <w:b/>
          <w:sz w:val="28"/>
          <w:szCs w:val="28"/>
        </w:rPr>
        <w:t>伍</w:t>
      </w:r>
      <w:r w:rsidRPr="00D61A31">
        <w:rPr>
          <w:rFonts w:eastAsia="標楷體"/>
          <w:b/>
          <w:sz w:val="28"/>
          <w:szCs w:val="28"/>
        </w:rPr>
        <w:t>、</w:t>
      </w:r>
      <w:r>
        <w:rPr>
          <w:rFonts w:eastAsia="標楷體"/>
          <w:b/>
          <w:sz w:val="28"/>
          <w:szCs w:val="28"/>
        </w:rPr>
        <w:t>計畫內容</w:t>
      </w:r>
    </w:p>
    <w:p w:rsidR="00627AD1" w:rsidRDefault="00E44CC5" w:rsidP="00223603">
      <w:pPr>
        <w:numPr>
          <w:ilvl w:val="0"/>
          <w:numId w:val="3"/>
        </w:numPr>
        <w:spacing w:line="480" w:lineRule="exact"/>
        <w:ind w:left="1148" w:hanging="588"/>
        <w:rPr>
          <w:rFonts w:eastAsia="標楷體"/>
          <w:sz w:val="28"/>
          <w:szCs w:val="28"/>
        </w:rPr>
      </w:pPr>
      <w:r>
        <w:rPr>
          <w:rFonts w:eastAsia="標楷體"/>
          <w:sz w:val="28"/>
          <w:szCs w:val="28"/>
        </w:rPr>
        <w:t>組織運作：提供「以病人為中心」之連續性全人照護。</w:t>
      </w:r>
    </w:p>
    <w:p w:rsidR="00627AD1" w:rsidRDefault="00E44CC5" w:rsidP="00223603">
      <w:pPr>
        <w:spacing w:line="480" w:lineRule="exact"/>
        <w:ind w:left="1624" w:hanging="490"/>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主責醫院負責提出計畫之申請</w:t>
      </w:r>
      <w:r w:rsidR="005A1C08" w:rsidRPr="00E83003">
        <w:rPr>
          <w:rFonts w:eastAsia="標楷體" w:hint="eastAsia"/>
          <w:sz w:val="28"/>
          <w:szCs w:val="28"/>
        </w:rPr>
        <w:t>、</w:t>
      </w:r>
      <w:r>
        <w:rPr>
          <w:rFonts w:eastAsia="標楷體"/>
          <w:sz w:val="28"/>
          <w:szCs w:val="28"/>
        </w:rPr>
        <w:t>醫院團隊間之醫療資源協調整合、醫療服務之提供及本計畫經費之分配作業。</w:t>
      </w:r>
    </w:p>
    <w:p w:rsidR="00627AD1" w:rsidRDefault="00E44CC5" w:rsidP="00223603">
      <w:pPr>
        <w:spacing w:line="480" w:lineRule="exact"/>
        <w:ind w:left="1624" w:hanging="490"/>
      </w:pPr>
      <w:r>
        <w:rPr>
          <w:rFonts w:eastAsia="標楷體"/>
          <w:sz w:val="28"/>
          <w:szCs w:val="28"/>
        </w:rPr>
        <w:t>(</w:t>
      </w:r>
      <w:r>
        <w:rPr>
          <w:rFonts w:eastAsia="標楷體"/>
          <w:sz w:val="28"/>
          <w:szCs w:val="28"/>
        </w:rPr>
        <w:t>二</w:t>
      </w:r>
      <w:r>
        <w:rPr>
          <w:rFonts w:eastAsia="標楷體"/>
          <w:sz w:val="28"/>
          <w:szCs w:val="28"/>
        </w:rPr>
        <w:t>)</w:t>
      </w:r>
      <w:r w:rsidRPr="00E83003">
        <w:rPr>
          <w:rFonts w:eastAsia="標楷體"/>
          <w:sz w:val="28"/>
          <w:szCs w:val="28"/>
        </w:rPr>
        <w:t>醫療院所</w:t>
      </w:r>
      <w:r>
        <w:rPr>
          <w:rFonts w:eastAsia="標楷體"/>
          <w:sz w:val="28"/>
          <w:szCs w:val="28"/>
        </w:rPr>
        <w:t>團隊應建立醫療品質提升及雙向轉診機制，提供全人照護。合作內容建議如下：</w:t>
      </w:r>
    </w:p>
    <w:p w:rsidR="00627AD1" w:rsidRDefault="00E44CC5" w:rsidP="00223603">
      <w:pPr>
        <w:numPr>
          <w:ilvl w:val="0"/>
          <w:numId w:val="4"/>
        </w:numPr>
        <w:spacing w:line="480" w:lineRule="exact"/>
        <w:ind w:left="1932" w:hanging="266"/>
        <w:rPr>
          <w:rFonts w:eastAsia="標楷體"/>
          <w:sz w:val="28"/>
          <w:szCs w:val="28"/>
        </w:rPr>
      </w:pPr>
      <w:r>
        <w:rPr>
          <w:rFonts w:eastAsia="標楷體"/>
          <w:sz w:val="28"/>
          <w:szCs w:val="28"/>
        </w:rPr>
        <w:t>對病患就醫程序安排</w:t>
      </w:r>
      <w:r>
        <w:rPr>
          <w:rFonts w:eastAsia="標楷體"/>
          <w:sz w:val="28"/>
          <w:szCs w:val="28"/>
        </w:rPr>
        <w:t>(</w:t>
      </w:r>
      <w:r>
        <w:rPr>
          <w:rFonts w:eastAsia="標楷體"/>
          <w:sz w:val="28"/>
          <w:szCs w:val="28"/>
        </w:rPr>
        <w:t>急診後送</w:t>
      </w:r>
      <w:proofErr w:type="gramStart"/>
      <w:r>
        <w:rPr>
          <w:rFonts w:eastAsia="標楷體"/>
          <w:sz w:val="28"/>
          <w:szCs w:val="28"/>
        </w:rPr>
        <w:t>及下轉</w:t>
      </w:r>
      <w:proofErr w:type="gramEnd"/>
      <w:r>
        <w:rPr>
          <w:rFonts w:eastAsia="標楷體"/>
          <w:sz w:val="28"/>
          <w:szCs w:val="28"/>
        </w:rPr>
        <w:t>、轉住院或手術</w:t>
      </w:r>
      <w:r>
        <w:rPr>
          <w:rFonts w:eastAsia="標楷體"/>
          <w:sz w:val="28"/>
          <w:szCs w:val="28"/>
        </w:rPr>
        <w:t>)</w:t>
      </w:r>
      <w:r>
        <w:rPr>
          <w:rFonts w:eastAsia="標楷體"/>
          <w:sz w:val="28"/>
          <w:szCs w:val="28"/>
        </w:rPr>
        <w:t>。</w:t>
      </w:r>
    </w:p>
    <w:p w:rsidR="00627AD1" w:rsidRDefault="00E44CC5" w:rsidP="00223603">
      <w:pPr>
        <w:numPr>
          <w:ilvl w:val="0"/>
          <w:numId w:val="4"/>
        </w:numPr>
        <w:spacing w:line="480" w:lineRule="exact"/>
        <w:ind w:left="1932" w:hanging="266"/>
        <w:rPr>
          <w:rFonts w:eastAsia="標楷體"/>
          <w:sz w:val="28"/>
          <w:szCs w:val="28"/>
        </w:rPr>
      </w:pPr>
      <w:r>
        <w:rPr>
          <w:rFonts w:eastAsia="標楷體"/>
          <w:sz w:val="28"/>
          <w:szCs w:val="28"/>
        </w:rPr>
        <w:t>醫師及</w:t>
      </w:r>
      <w:proofErr w:type="gramStart"/>
      <w:r>
        <w:rPr>
          <w:rFonts w:eastAsia="標楷體"/>
          <w:sz w:val="28"/>
          <w:szCs w:val="28"/>
        </w:rPr>
        <w:t>醫</w:t>
      </w:r>
      <w:proofErr w:type="gramEnd"/>
      <w:r>
        <w:rPr>
          <w:rFonts w:eastAsia="標楷體"/>
          <w:sz w:val="28"/>
          <w:szCs w:val="28"/>
        </w:rPr>
        <w:t>事人員專業訓練</w:t>
      </w:r>
      <w:r>
        <w:rPr>
          <w:rFonts w:eastAsia="標楷體"/>
          <w:sz w:val="28"/>
          <w:szCs w:val="28"/>
        </w:rPr>
        <w:t>(</w:t>
      </w:r>
      <w:r>
        <w:rPr>
          <w:rFonts w:eastAsia="標楷體"/>
          <w:sz w:val="28"/>
          <w:szCs w:val="28"/>
        </w:rPr>
        <w:t>建教合作、支援、醫療團隊訓練</w:t>
      </w:r>
      <w:r>
        <w:rPr>
          <w:rFonts w:eastAsia="標楷體"/>
          <w:sz w:val="28"/>
          <w:szCs w:val="28"/>
        </w:rPr>
        <w:t>)</w:t>
      </w:r>
      <w:r>
        <w:rPr>
          <w:rFonts w:eastAsia="標楷體"/>
          <w:sz w:val="28"/>
          <w:szCs w:val="28"/>
        </w:rPr>
        <w:t>。</w:t>
      </w:r>
    </w:p>
    <w:p w:rsidR="00627AD1" w:rsidRDefault="00E44CC5" w:rsidP="00223603">
      <w:pPr>
        <w:numPr>
          <w:ilvl w:val="0"/>
          <w:numId w:val="4"/>
        </w:numPr>
        <w:spacing w:line="480" w:lineRule="exact"/>
        <w:ind w:left="1932" w:hanging="266"/>
        <w:rPr>
          <w:rFonts w:eastAsia="標楷體"/>
          <w:sz w:val="28"/>
          <w:szCs w:val="28"/>
        </w:rPr>
      </w:pPr>
      <w:r>
        <w:rPr>
          <w:rFonts w:eastAsia="標楷體"/>
          <w:sz w:val="28"/>
          <w:szCs w:val="28"/>
        </w:rPr>
        <w:t>醫療資訊交換</w:t>
      </w:r>
      <w:r>
        <w:rPr>
          <w:rFonts w:eastAsia="標楷體"/>
          <w:sz w:val="28"/>
          <w:szCs w:val="28"/>
        </w:rPr>
        <w:t>(</w:t>
      </w:r>
      <w:r>
        <w:rPr>
          <w:rFonts w:eastAsia="標楷體"/>
          <w:sz w:val="28"/>
          <w:szCs w:val="28"/>
        </w:rPr>
        <w:t>電子病歷互通、醫療影像交換</w:t>
      </w:r>
      <w:r>
        <w:rPr>
          <w:rFonts w:eastAsia="標楷體"/>
          <w:sz w:val="28"/>
          <w:szCs w:val="28"/>
        </w:rPr>
        <w:t>)</w:t>
      </w:r>
      <w:r>
        <w:rPr>
          <w:rFonts w:eastAsia="標楷體"/>
          <w:sz w:val="28"/>
          <w:szCs w:val="28"/>
        </w:rPr>
        <w:t>。</w:t>
      </w:r>
    </w:p>
    <w:p w:rsidR="00627AD1" w:rsidRDefault="00E44CC5" w:rsidP="00223603">
      <w:pPr>
        <w:numPr>
          <w:ilvl w:val="0"/>
          <w:numId w:val="4"/>
        </w:numPr>
        <w:spacing w:line="480" w:lineRule="exact"/>
        <w:ind w:left="1932" w:hanging="266"/>
        <w:rPr>
          <w:rFonts w:eastAsia="標楷體"/>
          <w:sz w:val="28"/>
          <w:szCs w:val="28"/>
        </w:rPr>
      </w:pPr>
      <w:r>
        <w:rPr>
          <w:rFonts w:eastAsia="標楷體"/>
          <w:sz w:val="28"/>
          <w:szCs w:val="28"/>
        </w:rPr>
        <w:t>醫療設備共享。</w:t>
      </w:r>
    </w:p>
    <w:p w:rsidR="00627AD1" w:rsidRDefault="00E44CC5" w:rsidP="00F6094E">
      <w:pPr>
        <w:spacing w:line="480" w:lineRule="exact"/>
        <w:ind w:left="1750" w:hanging="490"/>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參與</w:t>
      </w:r>
      <w:r w:rsidR="00223603" w:rsidRPr="00E83003">
        <w:rPr>
          <w:rFonts w:eastAsia="標楷體" w:hint="eastAsia"/>
          <w:sz w:val="28"/>
          <w:szCs w:val="28"/>
        </w:rPr>
        <w:t>之</w:t>
      </w:r>
      <w:r>
        <w:rPr>
          <w:rFonts w:eastAsia="標楷體"/>
          <w:sz w:val="28"/>
          <w:szCs w:val="28"/>
        </w:rPr>
        <w:t>醫</w:t>
      </w:r>
      <w:r w:rsidR="00223603" w:rsidRPr="00E83003">
        <w:rPr>
          <w:rFonts w:eastAsia="標楷體" w:hint="eastAsia"/>
          <w:sz w:val="28"/>
          <w:szCs w:val="28"/>
        </w:rPr>
        <w:t>療院所應</w:t>
      </w:r>
      <w:r>
        <w:rPr>
          <w:rFonts w:eastAsia="標楷體"/>
          <w:sz w:val="28"/>
          <w:szCs w:val="28"/>
        </w:rPr>
        <w:t>積極參與團隊提升照護品質活動，共同提升照護品質。</w:t>
      </w:r>
    </w:p>
    <w:p w:rsidR="00627AD1" w:rsidRPr="00F6094E" w:rsidRDefault="00E44CC5" w:rsidP="00F6094E">
      <w:pPr>
        <w:numPr>
          <w:ilvl w:val="0"/>
          <w:numId w:val="3"/>
        </w:numPr>
        <w:spacing w:line="480" w:lineRule="exact"/>
        <w:ind w:left="1274" w:hanging="565"/>
        <w:rPr>
          <w:rFonts w:eastAsia="標楷體"/>
          <w:sz w:val="28"/>
          <w:szCs w:val="28"/>
        </w:rPr>
      </w:pPr>
      <w:r>
        <w:rPr>
          <w:rFonts w:eastAsia="標楷體"/>
          <w:sz w:val="28"/>
          <w:szCs w:val="28"/>
        </w:rPr>
        <w:t>醫療支援之補助</w:t>
      </w:r>
    </w:p>
    <w:p w:rsidR="00F6094E" w:rsidRPr="00F6094E" w:rsidRDefault="00F6094E" w:rsidP="00F6094E">
      <w:pPr>
        <w:spacing w:line="480" w:lineRule="exact"/>
        <w:ind w:leftChars="530" w:left="1272"/>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hint="eastAsia"/>
          <w:sz w:val="28"/>
          <w:szCs w:val="28"/>
        </w:rPr>
        <w:t>)</w:t>
      </w:r>
      <w:r w:rsidRPr="00B82DD3">
        <w:rPr>
          <w:rFonts w:eastAsia="標楷體" w:hint="eastAsia"/>
          <w:sz w:val="28"/>
          <w:szCs w:val="28"/>
        </w:rPr>
        <w:t>支援類別：</w:t>
      </w:r>
    </w:p>
    <w:p w:rsidR="00F6094E" w:rsidRPr="00B82DD3" w:rsidRDefault="00F6094E" w:rsidP="00B82DD3">
      <w:pPr>
        <w:spacing w:line="480" w:lineRule="exact"/>
        <w:ind w:leftChars="745" w:left="1984" w:hangingChars="70" w:hanging="196"/>
        <w:rPr>
          <w:rFonts w:eastAsia="標楷體"/>
          <w:sz w:val="28"/>
          <w:szCs w:val="28"/>
        </w:rPr>
      </w:pPr>
      <w:r w:rsidRPr="00B82DD3">
        <w:rPr>
          <w:rFonts w:eastAsia="標楷體" w:hint="eastAsia"/>
          <w:sz w:val="28"/>
          <w:szCs w:val="28"/>
        </w:rPr>
        <w:lastRenderedPageBreak/>
        <w:t>1.</w:t>
      </w:r>
      <w:r w:rsidR="00E44CC5" w:rsidRPr="00B82DD3">
        <w:rPr>
          <w:rFonts w:eastAsia="標楷體"/>
          <w:sz w:val="28"/>
          <w:szCs w:val="28"/>
        </w:rPr>
        <w:t>醫學中心與區域醫院之醫師支援地區醫院。</w:t>
      </w:r>
    </w:p>
    <w:p w:rsidR="00627AD1" w:rsidRPr="00B82DD3" w:rsidRDefault="00F6094E" w:rsidP="00B82DD3">
      <w:pPr>
        <w:spacing w:line="480" w:lineRule="exact"/>
        <w:ind w:leftChars="745" w:left="1984" w:hangingChars="70" w:hanging="196"/>
        <w:rPr>
          <w:rFonts w:eastAsia="標楷體"/>
          <w:sz w:val="28"/>
          <w:szCs w:val="28"/>
        </w:rPr>
      </w:pPr>
      <w:r w:rsidRPr="00B82DD3">
        <w:rPr>
          <w:rFonts w:eastAsia="標楷體" w:hint="eastAsia"/>
          <w:sz w:val="28"/>
          <w:szCs w:val="28"/>
        </w:rPr>
        <w:t>2.</w:t>
      </w:r>
      <w:r w:rsidR="00E44CC5" w:rsidRPr="00B82DD3">
        <w:rPr>
          <w:rFonts w:eastAsia="標楷體"/>
          <w:sz w:val="28"/>
          <w:szCs w:val="28"/>
        </w:rPr>
        <w:t>基層診所皮膚科、眼科、小兒科、耳鼻喉科專科醫師支援地區醫院急診。</w:t>
      </w:r>
    </w:p>
    <w:p w:rsidR="00627AD1" w:rsidRDefault="00E44CC5" w:rsidP="00B21725">
      <w:pPr>
        <w:spacing w:line="480" w:lineRule="exact"/>
        <w:ind w:left="1736" w:hanging="476"/>
      </w:pPr>
      <w:r>
        <w:rPr>
          <w:rFonts w:eastAsia="標楷體"/>
          <w:sz w:val="28"/>
          <w:szCs w:val="28"/>
        </w:rPr>
        <w:t>(</w:t>
      </w:r>
      <w:r w:rsidR="00B21725" w:rsidRPr="00B82DD3">
        <w:rPr>
          <w:rFonts w:eastAsia="標楷體" w:hint="eastAsia"/>
          <w:sz w:val="28"/>
          <w:szCs w:val="28"/>
        </w:rPr>
        <w:t>二</w:t>
      </w:r>
      <w:r>
        <w:rPr>
          <w:rFonts w:eastAsia="標楷體"/>
          <w:sz w:val="28"/>
          <w:szCs w:val="28"/>
        </w:rPr>
        <w:t>)</w:t>
      </w:r>
      <w:r>
        <w:rPr>
          <w:rFonts w:eastAsia="標楷體"/>
          <w:sz w:val="28"/>
          <w:szCs w:val="28"/>
        </w:rPr>
        <w:t>接受支援</w:t>
      </w:r>
      <w:r w:rsidR="00F6094E" w:rsidRPr="00B82DD3">
        <w:rPr>
          <w:rFonts w:eastAsia="標楷體" w:hint="eastAsia"/>
          <w:sz w:val="28"/>
          <w:szCs w:val="28"/>
        </w:rPr>
        <w:t>之</w:t>
      </w:r>
      <w:r>
        <w:rPr>
          <w:rFonts w:eastAsia="標楷體"/>
          <w:sz w:val="28"/>
          <w:szCs w:val="28"/>
        </w:rPr>
        <w:t>地區醫院，應</w:t>
      </w:r>
      <w:r w:rsidRPr="00DF2CFE">
        <w:rPr>
          <w:rFonts w:eastAsia="標楷體"/>
          <w:sz w:val="28"/>
          <w:szCs w:val="28"/>
        </w:rPr>
        <w:t>於</w:t>
      </w:r>
      <w:r>
        <w:rPr>
          <w:rFonts w:eastAsia="標楷體"/>
          <w:sz w:val="28"/>
          <w:szCs w:val="28"/>
        </w:rPr>
        <w:t>每月醫療費用申報時</w:t>
      </w:r>
      <w:r w:rsidR="00DF2CFE" w:rsidRPr="00B82DD3">
        <w:rPr>
          <w:rFonts w:eastAsia="標楷體" w:hint="eastAsia"/>
          <w:sz w:val="28"/>
          <w:szCs w:val="28"/>
        </w:rPr>
        <w:t>，</w:t>
      </w:r>
      <w:r>
        <w:rPr>
          <w:rFonts w:eastAsia="標楷體"/>
          <w:sz w:val="28"/>
          <w:szCs w:val="28"/>
        </w:rPr>
        <w:t>一併</w:t>
      </w:r>
      <w:r w:rsidR="00DF2CFE" w:rsidRPr="00B82DD3">
        <w:rPr>
          <w:rFonts w:eastAsia="標楷體"/>
          <w:sz w:val="28"/>
          <w:szCs w:val="28"/>
        </w:rPr>
        <w:t>將下列資料</w:t>
      </w:r>
      <w:r w:rsidR="00DF2CFE">
        <w:rPr>
          <w:rFonts w:eastAsia="標楷體"/>
          <w:sz w:val="28"/>
          <w:szCs w:val="28"/>
        </w:rPr>
        <w:t>造冊</w:t>
      </w:r>
      <w:r w:rsidR="00DF2CFE" w:rsidRPr="00B82DD3">
        <w:rPr>
          <w:rFonts w:eastAsia="標楷體"/>
          <w:sz w:val="28"/>
          <w:szCs w:val="28"/>
        </w:rPr>
        <w:t>上傳至健保資訊服務網系統</w:t>
      </w:r>
      <w:r w:rsidR="00DF2CFE" w:rsidRPr="00B82DD3">
        <w:rPr>
          <w:rFonts w:eastAsia="標楷體"/>
          <w:sz w:val="28"/>
          <w:szCs w:val="28"/>
        </w:rPr>
        <w:t>(VPN)</w:t>
      </w:r>
      <w:r w:rsidRPr="00DF2CFE">
        <w:rPr>
          <w:rFonts w:eastAsia="標楷體"/>
          <w:sz w:val="28"/>
          <w:szCs w:val="28"/>
        </w:rPr>
        <w:t>：</w:t>
      </w:r>
    </w:p>
    <w:p w:rsidR="00627AD1" w:rsidRPr="00B82DD3" w:rsidRDefault="00E44CC5" w:rsidP="00B82DD3">
      <w:pPr>
        <w:numPr>
          <w:ilvl w:val="0"/>
          <w:numId w:val="6"/>
        </w:numPr>
        <w:spacing w:line="480" w:lineRule="exact"/>
        <w:ind w:left="2002" w:hanging="224"/>
      </w:pPr>
      <w:r w:rsidRPr="00B82DD3">
        <w:rPr>
          <w:rFonts w:eastAsia="標楷體"/>
          <w:sz w:val="28"/>
          <w:szCs w:val="28"/>
        </w:rPr>
        <w:t>派出支援醫療院所之醫師</w:t>
      </w:r>
      <w:proofErr w:type="gramStart"/>
      <w:r w:rsidRPr="00B82DD3">
        <w:rPr>
          <w:rFonts w:eastAsia="標楷體"/>
          <w:sz w:val="28"/>
          <w:szCs w:val="28"/>
        </w:rPr>
        <w:t>檔</w:t>
      </w:r>
      <w:proofErr w:type="gramEnd"/>
      <w:r w:rsidRPr="00B82DD3">
        <w:rPr>
          <w:rFonts w:eastAsia="標楷體"/>
          <w:sz w:val="28"/>
          <w:szCs w:val="28"/>
        </w:rPr>
        <w:t>資料，包括：醫療院所代號、醫院名稱、醫師</w:t>
      </w:r>
      <w:r w:rsidRPr="00B82DD3">
        <w:rPr>
          <w:rFonts w:eastAsia="標楷體"/>
          <w:sz w:val="28"/>
          <w:szCs w:val="28"/>
        </w:rPr>
        <w:t>ID</w:t>
      </w:r>
      <w:r w:rsidRPr="00B82DD3">
        <w:rPr>
          <w:rFonts w:eastAsia="標楷體"/>
          <w:sz w:val="28"/>
          <w:szCs w:val="28"/>
        </w:rPr>
        <w:t>、醫師姓名、支援科別、接受支援醫院名稱、接受支援醫院代號、支援</w:t>
      </w:r>
      <w:proofErr w:type="gramStart"/>
      <w:r w:rsidRPr="00B82DD3">
        <w:rPr>
          <w:rFonts w:eastAsia="標楷體"/>
          <w:sz w:val="28"/>
          <w:szCs w:val="28"/>
        </w:rPr>
        <w:t>診</w:t>
      </w:r>
      <w:proofErr w:type="gramEnd"/>
      <w:r w:rsidRPr="00B82DD3">
        <w:rPr>
          <w:rFonts w:eastAsia="標楷體"/>
          <w:sz w:val="28"/>
          <w:szCs w:val="28"/>
        </w:rPr>
        <w:t>次數、實際支援</w:t>
      </w:r>
      <w:proofErr w:type="gramStart"/>
      <w:r w:rsidRPr="00B82DD3">
        <w:rPr>
          <w:rFonts w:eastAsia="標楷體"/>
          <w:sz w:val="28"/>
          <w:szCs w:val="28"/>
        </w:rPr>
        <w:t>起迄</w:t>
      </w:r>
      <w:proofErr w:type="gramEnd"/>
      <w:r w:rsidRPr="00B82DD3">
        <w:rPr>
          <w:rFonts w:eastAsia="標楷體"/>
          <w:sz w:val="28"/>
          <w:szCs w:val="28"/>
        </w:rPr>
        <w:t>時間。</w:t>
      </w:r>
    </w:p>
    <w:p w:rsidR="00627AD1" w:rsidRPr="00B82DD3" w:rsidRDefault="00E44CC5" w:rsidP="00B82DD3">
      <w:pPr>
        <w:numPr>
          <w:ilvl w:val="0"/>
          <w:numId w:val="6"/>
        </w:numPr>
        <w:spacing w:line="480" w:lineRule="exact"/>
        <w:ind w:left="2002" w:hanging="224"/>
      </w:pPr>
      <w:r w:rsidRPr="00B82DD3">
        <w:rPr>
          <w:rFonts w:eastAsia="標楷體"/>
          <w:sz w:val="28"/>
          <w:szCs w:val="28"/>
        </w:rPr>
        <w:t>接受支援醫院之電子</w:t>
      </w:r>
      <w:proofErr w:type="gramStart"/>
      <w:r w:rsidRPr="00B82DD3">
        <w:rPr>
          <w:rFonts w:eastAsia="標楷體"/>
          <w:sz w:val="28"/>
          <w:szCs w:val="28"/>
        </w:rPr>
        <w:t>檔</w:t>
      </w:r>
      <w:proofErr w:type="gramEnd"/>
      <w:r w:rsidRPr="00B82DD3">
        <w:rPr>
          <w:rFonts w:eastAsia="標楷體"/>
          <w:sz w:val="28"/>
          <w:szCs w:val="28"/>
        </w:rPr>
        <w:t>資料，包括：醫院代號、醫院名稱、支援醫師</w:t>
      </w:r>
      <w:r w:rsidRPr="00B82DD3">
        <w:rPr>
          <w:rFonts w:eastAsia="標楷體"/>
          <w:sz w:val="28"/>
          <w:szCs w:val="28"/>
        </w:rPr>
        <w:t>ID</w:t>
      </w:r>
      <w:r w:rsidRPr="00B82DD3">
        <w:rPr>
          <w:rFonts w:eastAsia="標楷體"/>
          <w:sz w:val="28"/>
          <w:szCs w:val="28"/>
        </w:rPr>
        <w:t>、支援醫師姓名、支援科別、支援醫療院所名稱、支援醫療院所代號、接受支援</w:t>
      </w:r>
      <w:proofErr w:type="gramStart"/>
      <w:r w:rsidRPr="00B82DD3">
        <w:rPr>
          <w:rFonts w:eastAsia="標楷體"/>
          <w:sz w:val="28"/>
          <w:szCs w:val="28"/>
        </w:rPr>
        <w:t>診</w:t>
      </w:r>
      <w:proofErr w:type="gramEnd"/>
      <w:r w:rsidRPr="00B82DD3">
        <w:rPr>
          <w:rFonts w:eastAsia="標楷體"/>
          <w:sz w:val="28"/>
          <w:szCs w:val="28"/>
        </w:rPr>
        <w:t>次數、實際支援</w:t>
      </w:r>
      <w:proofErr w:type="gramStart"/>
      <w:r w:rsidRPr="00B82DD3">
        <w:rPr>
          <w:rFonts w:eastAsia="標楷體"/>
          <w:sz w:val="28"/>
          <w:szCs w:val="28"/>
        </w:rPr>
        <w:t>起迄</w:t>
      </w:r>
      <w:proofErr w:type="gramEnd"/>
      <w:r w:rsidRPr="00B82DD3">
        <w:rPr>
          <w:rFonts w:eastAsia="標楷體"/>
          <w:sz w:val="28"/>
          <w:szCs w:val="28"/>
        </w:rPr>
        <w:t>時間。</w:t>
      </w:r>
    </w:p>
    <w:p w:rsidR="00627AD1" w:rsidRDefault="00E44CC5" w:rsidP="00B21725">
      <w:pPr>
        <w:spacing w:line="480" w:lineRule="exact"/>
        <w:ind w:left="1736" w:hanging="476"/>
        <w:rPr>
          <w:rFonts w:eastAsia="標楷體"/>
          <w:sz w:val="28"/>
          <w:szCs w:val="28"/>
        </w:rPr>
      </w:pPr>
      <w:r>
        <w:rPr>
          <w:rFonts w:eastAsia="標楷體"/>
          <w:sz w:val="28"/>
          <w:szCs w:val="28"/>
        </w:rPr>
        <w:t>(</w:t>
      </w:r>
      <w:r w:rsidR="00B21725" w:rsidRPr="00B82DD3">
        <w:rPr>
          <w:rFonts w:eastAsia="標楷體" w:hint="eastAsia"/>
          <w:sz w:val="28"/>
          <w:szCs w:val="28"/>
        </w:rPr>
        <w:t>三</w:t>
      </w:r>
      <w:r>
        <w:rPr>
          <w:rFonts w:eastAsia="標楷體"/>
          <w:sz w:val="28"/>
          <w:szCs w:val="28"/>
        </w:rPr>
        <w:t>)</w:t>
      </w:r>
      <w:r>
        <w:rPr>
          <w:rFonts w:eastAsia="標楷體"/>
          <w:sz w:val="28"/>
          <w:szCs w:val="28"/>
        </w:rPr>
        <w:t>支付標準：</w:t>
      </w:r>
    </w:p>
    <w:p w:rsidR="00627AD1" w:rsidRPr="00B82DD3" w:rsidRDefault="00E44CC5" w:rsidP="00B82DD3">
      <w:pPr>
        <w:spacing w:line="480" w:lineRule="exact"/>
        <w:ind w:left="2002" w:hanging="238"/>
        <w:jc w:val="both"/>
      </w:pPr>
      <w:r w:rsidRPr="00B82DD3">
        <w:rPr>
          <w:rFonts w:eastAsia="標楷體"/>
          <w:sz w:val="28"/>
          <w:szCs w:val="28"/>
        </w:rPr>
        <w:t>1.</w:t>
      </w:r>
      <w:proofErr w:type="gramStart"/>
      <w:r w:rsidR="00496276" w:rsidRPr="00B82DD3">
        <w:rPr>
          <w:rFonts w:eastAsia="標楷體"/>
          <w:sz w:val="28"/>
          <w:szCs w:val="28"/>
        </w:rPr>
        <w:t>每診日</w:t>
      </w:r>
      <w:proofErr w:type="gramEnd"/>
      <w:r w:rsidR="00496276" w:rsidRPr="00B82DD3">
        <w:rPr>
          <w:rFonts w:eastAsia="標楷體"/>
          <w:sz w:val="28"/>
          <w:szCs w:val="28"/>
        </w:rPr>
        <w:t>補助</w:t>
      </w:r>
      <w:r w:rsidR="00496276" w:rsidRPr="00B82DD3">
        <w:rPr>
          <w:rFonts w:eastAsia="標楷體"/>
          <w:sz w:val="28"/>
          <w:szCs w:val="28"/>
        </w:rPr>
        <w:t>3500</w:t>
      </w:r>
      <w:r w:rsidR="00496276" w:rsidRPr="00B82DD3">
        <w:rPr>
          <w:rFonts w:eastAsia="標楷體"/>
          <w:sz w:val="28"/>
          <w:szCs w:val="28"/>
        </w:rPr>
        <w:t>點</w:t>
      </w:r>
      <w:r w:rsidRPr="00B82DD3">
        <w:rPr>
          <w:rFonts w:eastAsia="標楷體"/>
          <w:sz w:val="28"/>
          <w:szCs w:val="28"/>
        </w:rPr>
        <w:t>。同醫師同日之支援</w:t>
      </w:r>
      <w:proofErr w:type="gramStart"/>
      <w:r w:rsidRPr="00B82DD3">
        <w:rPr>
          <w:rFonts w:eastAsia="標楷體"/>
          <w:sz w:val="28"/>
          <w:szCs w:val="28"/>
        </w:rPr>
        <w:t>均以</w:t>
      </w:r>
      <w:r w:rsidRPr="00B82DD3">
        <w:rPr>
          <w:rFonts w:eastAsia="標楷體"/>
          <w:sz w:val="28"/>
          <w:szCs w:val="28"/>
        </w:rPr>
        <w:t>1</w:t>
      </w:r>
      <w:r w:rsidRPr="00B82DD3">
        <w:rPr>
          <w:rFonts w:eastAsia="標楷體"/>
          <w:sz w:val="28"/>
          <w:szCs w:val="28"/>
        </w:rPr>
        <w:t>診日</w:t>
      </w:r>
      <w:proofErr w:type="gramEnd"/>
      <w:r w:rsidRPr="00B82DD3">
        <w:rPr>
          <w:rFonts w:eastAsia="標楷體"/>
          <w:sz w:val="28"/>
          <w:szCs w:val="28"/>
        </w:rPr>
        <w:t>計，不論</w:t>
      </w:r>
      <w:proofErr w:type="gramStart"/>
      <w:r w:rsidRPr="00B82DD3">
        <w:rPr>
          <w:rFonts w:eastAsia="標楷體"/>
          <w:sz w:val="28"/>
          <w:szCs w:val="28"/>
        </w:rPr>
        <w:t>上午診、下午診</w:t>
      </w:r>
      <w:proofErr w:type="gramEnd"/>
      <w:r w:rsidRPr="00B82DD3">
        <w:rPr>
          <w:rFonts w:eastAsia="標楷體"/>
          <w:sz w:val="28"/>
          <w:szCs w:val="28"/>
        </w:rPr>
        <w:t>、夜間支援診次。</w:t>
      </w:r>
    </w:p>
    <w:p w:rsidR="00627AD1" w:rsidRPr="00B82DD3" w:rsidRDefault="00E44CC5" w:rsidP="00B82DD3">
      <w:pPr>
        <w:spacing w:line="480" w:lineRule="exact"/>
        <w:ind w:left="2002" w:hanging="238"/>
      </w:pPr>
      <w:r w:rsidRPr="00B82DD3">
        <w:rPr>
          <w:rFonts w:eastAsia="標楷體"/>
          <w:sz w:val="28"/>
          <w:szCs w:val="28"/>
        </w:rPr>
        <w:t>2.</w:t>
      </w:r>
      <w:r w:rsidRPr="00B82DD3">
        <w:rPr>
          <w:rFonts w:eastAsia="標楷體"/>
          <w:sz w:val="28"/>
          <w:szCs w:val="28"/>
        </w:rPr>
        <w:t>單一地區醫院每月份</w:t>
      </w:r>
      <w:r w:rsidR="00CD4EAE" w:rsidRPr="00B82DD3">
        <w:rPr>
          <w:rFonts w:eastAsia="標楷體" w:hint="eastAsia"/>
          <w:sz w:val="28"/>
          <w:szCs w:val="28"/>
        </w:rPr>
        <w:t>接受</w:t>
      </w:r>
      <w:proofErr w:type="gramStart"/>
      <w:r w:rsidRPr="00B82DD3">
        <w:rPr>
          <w:rFonts w:eastAsia="標楷體"/>
          <w:sz w:val="28"/>
          <w:szCs w:val="28"/>
        </w:rPr>
        <w:t>支援診日上限</w:t>
      </w:r>
      <w:proofErr w:type="gramEnd"/>
      <w:r w:rsidR="00496276" w:rsidRPr="00B82DD3">
        <w:rPr>
          <w:rFonts w:eastAsia="標楷體" w:hint="eastAsia"/>
          <w:sz w:val="28"/>
          <w:szCs w:val="28"/>
        </w:rPr>
        <w:t>為</w:t>
      </w:r>
      <w:r w:rsidRPr="00B82DD3">
        <w:rPr>
          <w:rFonts w:eastAsia="標楷體"/>
          <w:sz w:val="28"/>
          <w:szCs w:val="28"/>
        </w:rPr>
        <w:t>35</w:t>
      </w:r>
      <w:proofErr w:type="gramStart"/>
      <w:r w:rsidRPr="00B82DD3">
        <w:rPr>
          <w:rFonts w:eastAsia="標楷體"/>
          <w:sz w:val="28"/>
          <w:szCs w:val="28"/>
        </w:rPr>
        <w:t>診日</w:t>
      </w:r>
      <w:proofErr w:type="gramEnd"/>
      <w:r w:rsidRPr="00B82DD3">
        <w:rPr>
          <w:rFonts w:eastAsia="標楷體"/>
          <w:sz w:val="28"/>
          <w:szCs w:val="28"/>
        </w:rPr>
        <w:t>。</w:t>
      </w:r>
    </w:p>
    <w:p w:rsidR="00627AD1" w:rsidRPr="00B82DD3" w:rsidRDefault="00E44CC5" w:rsidP="00B82DD3">
      <w:pPr>
        <w:spacing w:line="480" w:lineRule="exact"/>
        <w:ind w:left="1736" w:hanging="476"/>
        <w:rPr>
          <w:rFonts w:eastAsia="標楷體"/>
          <w:sz w:val="28"/>
          <w:szCs w:val="28"/>
        </w:rPr>
      </w:pPr>
      <w:r>
        <w:rPr>
          <w:rFonts w:eastAsia="標楷體"/>
          <w:sz w:val="28"/>
          <w:szCs w:val="28"/>
        </w:rPr>
        <w:t>(</w:t>
      </w:r>
      <w:r w:rsidR="00B21725" w:rsidRPr="00B82DD3">
        <w:rPr>
          <w:rFonts w:eastAsia="標楷體" w:hint="eastAsia"/>
          <w:sz w:val="28"/>
          <w:szCs w:val="28"/>
        </w:rPr>
        <w:t>四</w:t>
      </w:r>
      <w:r>
        <w:rPr>
          <w:rFonts w:eastAsia="標楷體"/>
          <w:sz w:val="28"/>
          <w:szCs w:val="28"/>
        </w:rPr>
        <w:t>)</w:t>
      </w:r>
      <w:r>
        <w:rPr>
          <w:rFonts w:eastAsia="標楷體"/>
          <w:sz w:val="28"/>
          <w:szCs w:val="28"/>
        </w:rPr>
        <w:t>由保險人各分區業務組依計畫執行結果核定後核付，於</w:t>
      </w:r>
      <w:proofErr w:type="gramStart"/>
      <w:r>
        <w:rPr>
          <w:rFonts w:eastAsia="標楷體"/>
          <w:sz w:val="28"/>
          <w:szCs w:val="28"/>
        </w:rPr>
        <w:t>追扣補</w:t>
      </w:r>
      <w:proofErr w:type="gramEnd"/>
      <w:r>
        <w:rPr>
          <w:rFonts w:eastAsia="標楷體"/>
          <w:sz w:val="28"/>
          <w:szCs w:val="28"/>
        </w:rPr>
        <w:t>付系統辦理，相關費用</w:t>
      </w:r>
      <w:proofErr w:type="gramStart"/>
      <w:r>
        <w:rPr>
          <w:rFonts w:eastAsia="標楷體"/>
          <w:sz w:val="28"/>
          <w:szCs w:val="28"/>
        </w:rPr>
        <w:t>逕</w:t>
      </w:r>
      <w:proofErr w:type="gramEnd"/>
      <w:r>
        <w:rPr>
          <w:rFonts w:eastAsia="標楷體"/>
          <w:sz w:val="28"/>
          <w:szCs w:val="28"/>
        </w:rPr>
        <w:t>撥入接受支援之地區醫院。</w:t>
      </w:r>
    </w:p>
    <w:p w:rsidR="00627AD1" w:rsidRDefault="00E44CC5" w:rsidP="00B82DD3">
      <w:pPr>
        <w:spacing w:line="480" w:lineRule="exact"/>
        <w:ind w:left="1736" w:hanging="476"/>
      </w:pPr>
      <w:r>
        <w:rPr>
          <w:rFonts w:eastAsia="標楷體"/>
          <w:sz w:val="28"/>
          <w:szCs w:val="28"/>
        </w:rPr>
        <w:t>(</w:t>
      </w:r>
      <w:r w:rsidR="00B21725" w:rsidRPr="00B82DD3">
        <w:rPr>
          <w:rFonts w:eastAsia="標楷體" w:hint="eastAsia"/>
          <w:sz w:val="28"/>
          <w:szCs w:val="28"/>
        </w:rPr>
        <w:t>五</w:t>
      </w:r>
      <w:r>
        <w:rPr>
          <w:rFonts w:eastAsia="標楷體"/>
          <w:sz w:val="28"/>
          <w:szCs w:val="28"/>
        </w:rPr>
        <w:t>)</w:t>
      </w:r>
      <w:r>
        <w:rPr>
          <w:rFonts w:eastAsia="標楷體"/>
          <w:sz w:val="28"/>
          <w:szCs w:val="28"/>
        </w:rPr>
        <w:t>本計畫預算均分至各季，暫以每點</w:t>
      </w:r>
      <w:r>
        <w:rPr>
          <w:rFonts w:eastAsia="標楷體"/>
          <w:sz w:val="28"/>
          <w:szCs w:val="28"/>
        </w:rPr>
        <w:t>1</w:t>
      </w:r>
      <w:r>
        <w:rPr>
          <w:rFonts w:eastAsia="標楷體"/>
          <w:sz w:val="28"/>
          <w:szCs w:val="28"/>
        </w:rPr>
        <w:t>元支付，當季預算若有</w:t>
      </w:r>
      <w:proofErr w:type="gramStart"/>
      <w:r>
        <w:rPr>
          <w:rFonts w:eastAsia="標楷體"/>
          <w:sz w:val="28"/>
          <w:szCs w:val="28"/>
        </w:rPr>
        <w:t>結餘則流用</w:t>
      </w:r>
      <w:proofErr w:type="gramEnd"/>
      <w:r>
        <w:rPr>
          <w:rFonts w:eastAsia="標楷體"/>
          <w:sz w:val="28"/>
          <w:szCs w:val="28"/>
        </w:rPr>
        <w:t>至下季，當季預算不足時，以</w:t>
      </w:r>
      <w:proofErr w:type="gramStart"/>
      <w:r>
        <w:rPr>
          <w:rFonts w:eastAsia="標楷體"/>
          <w:sz w:val="28"/>
          <w:szCs w:val="28"/>
        </w:rPr>
        <w:t>浮動點值計算</w:t>
      </w:r>
      <w:proofErr w:type="gramEnd"/>
      <w:r>
        <w:rPr>
          <w:rFonts w:eastAsia="標楷體"/>
          <w:sz w:val="28"/>
          <w:szCs w:val="28"/>
        </w:rPr>
        <w:t>暫付，並於年度進行結算，惟每點金額不得大於</w:t>
      </w:r>
      <w:r>
        <w:rPr>
          <w:rFonts w:eastAsia="標楷體"/>
          <w:sz w:val="28"/>
          <w:szCs w:val="28"/>
        </w:rPr>
        <w:t>1</w:t>
      </w:r>
      <w:r>
        <w:rPr>
          <w:rFonts w:eastAsia="標楷體"/>
          <w:sz w:val="28"/>
          <w:szCs w:val="28"/>
        </w:rPr>
        <w:t>元。</w:t>
      </w:r>
    </w:p>
    <w:p w:rsidR="00627AD1" w:rsidRPr="00B82DD3" w:rsidRDefault="00E44CC5" w:rsidP="00A814A3">
      <w:pPr>
        <w:numPr>
          <w:ilvl w:val="0"/>
          <w:numId w:val="3"/>
        </w:numPr>
        <w:spacing w:line="480" w:lineRule="exact"/>
        <w:ind w:left="1274" w:hanging="565"/>
        <w:jc w:val="both"/>
      </w:pPr>
      <w:r>
        <w:rPr>
          <w:rFonts w:eastAsia="標楷體"/>
          <w:sz w:val="28"/>
          <w:szCs w:val="28"/>
        </w:rPr>
        <w:t>配合政策推動：落實「全民健康保險轉診實施辦法」，建立雙向轉診</w:t>
      </w:r>
      <w:r w:rsidRPr="00B82DD3">
        <w:rPr>
          <w:rFonts w:eastAsia="標楷體"/>
          <w:sz w:val="28"/>
          <w:szCs w:val="28"/>
        </w:rPr>
        <w:t>作業機制，醫學中心、區域醫院保留一定名額予地區醫院轉診之病人，地區醫院則協助掛號等就醫安排，並回報成果。</w:t>
      </w:r>
    </w:p>
    <w:p w:rsidR="00627AD1" w:rsidRPr="00B82DD3" w:rsidRDefault="000C42B0" w:rsidP="00E34E14">
      <w:pPr>
        <w:numPr>
          <w:ilvl w:val="0"/>
          <w:numId w:val="3"/>
        </w:numPr>
        <w:spacing w:line="480" w:lineRule="exact"/>
        <w:ind w:left="1274" w:hanging="565"/>
      </w:pPr>
      <w:r w:rsidRPr="00B82DD3">
        <w:rPr>
          <w:rFonts w:eastAsia="標楷體" w:hint="eastAsia"/>
          <w:sz w:val="28"/>
          <w:szCs w:val="28"/>
        </w:rPr>
        <w:t>主責醫院提供</w:t>
      </w:r>
      <w:r w:rsidR="00E44CC5" w:rsidRPr="00B82DD3">
        <w:rPr>
          <w:rFonts w:eastAsia="標楷體"/>
          <w:sz w:val="28"/>
          <w:szCs w:val="28"/>
        </w:rPr>
        <w:t>滿意度調查</w:t>
      </w:r>
      <w:r w:rsidRPr="00B82DD3">
        <w:rPr>
          <w:rFonts w:eastAsia="標楷體" w:hint="eastAsia"/>
          <w:sz w:val="28"/>
          <w:szCs w:val="28"/>
        </w:rPr>
        <w:t>結果</w:t>
      </w:r>
      <w:r w:rsidR="00E44CC5" w:rsidRPr="00B82DD3">
        <w:rPr>
          <w:rFonts w:eastAsia="標楷體"/>
          <w:sz w:val="28"/>
          <w:szCs w:val="28"/>
        </w:rPr>
        <w:t>，</w:t>
      </w:r>
      <w:proofErr w:type="gramStart"/>
      <w:r w:rsidR="00E44CC5" w:rsidRPr="00B82DD3">
        <w:rPr>
          <w:rFonts w:eastAsia="標楷體"/>
          <w:sz w:val="28"/>
          <w:szCs w:val="28"/>
        </w:rPr>
        <w:t>俾</w:t>
      </w:r>
      <w:proofErr w:type="gramEnd"/>
      <w:r w:rsidR="00E44CC5" w:rsidRPr="00B82DD3">
        <w:rPr>
          <w:rFonts w:eastAsia="標楷體"/>
          <w:sz w:val="28"/>
          <w:szCs w:val="28"/>
        </w:rPr>
        <w:t>做為次年度執行辦法修正及改善依據。</w:t>
      </w:r>
    </w:p>
    <w:p w:rsidR="00627AD1" w:rsidRDefault="00E44CC5" w:rsidP="00B82DD3">
      <w:pPr>
        <w:spacing w:line="480" w:lineRule="exact"/>
        <w:ind w:left="1276"/>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參與本計畫民眾之就醫滿意度調查</w:t>
      </w:r>
    </w:p>
    <w:p w:rsidR="00627AD1" w:rsidRDefault="00E44CC5" w:rsidP="00DF1828">
      <w:pPr>
        <w:numPr>
          <w:ilvl w:val="0"/>
          <w:numId w:val="7"/>
        </w:numPr>
        <w:spacing w:line="480" w:lineRule="exact"/>
        <w:ind w:left="2127" w:hanging="284"/>
        <w:rPr>
          <w:rFonts w:eastAsia="標楷體"/>
          <w:sz w:val="28"/>
          <w:szCs w:val="28"/>
        </w:rPr>
      </w:pPr>
      <w:r>
        <w:rPr>
          <w:rFonts w:eastAsia="標楷體"/>
          <w:sz w:val="28"/>
          <w:szCs w:val="28"/>
        </w:rPr>
        <w:t>調查工具：</w:t>
      </w:r>
      <w:proofErr w:type="gramStart"/>
      <w:r>
        <w:rPr>
          <w:rFonts w:eastAsia="標楷體"/>
          <w:sz w:val="28"/>
          <w:szCs w:val="28"/>
        </w:rPr>
        <w:t>採</w:t>
      </w:r>
      <w:proofErr w:type="gramEnd"/>
      <w:r>
        <w:rPr>
          <w:rFonts w:eastAsia="標楷體"/>
          <w:sz w:val="28"/>
          <w:szCs w:val="28"/>
        </w:rPr>
        <w:t>問卷調查。</w:t>
      </w:r>
    </w:p>
    <w:p w:rsidR="00627AD1" w:rsidRPr="00B82DD3" w:rsidRDefault="007A5010" w:rsidP="00C57D91">
      <w:pPr>
        <w:numPr>
          <w:ilvl w:val="0"/>
          <w:numId w:val="7"/>
        </w:numPr>
        <w:spacing w:line="480" w:lineRule="exact"/>
        <w:ind w:left="2127" w:rightChars="-2" w:right="-5" w:hanging="284"/>
        <w:rPr>
          <w:rFonts w:eastAsia="標楷體"/>
          <w:sz w:val="28"/>
          <w:szCs w:val="28"/>
        </w:rPr>
      </w:pPr>
      <w:r w:rsidRPr="00B82DD3">
        <w:rPr>
          <w:rFonts w:eastAsia="標楷體"/>
          <w:sz w:val="28"/>
          <w:szCs w:val="28"/>
        </w:rPr>
        <w:t>調查</w:t>
      </w:r>
      <w:r w:rsidR="00E44CC5" w:rsidRPr="00B82DD3">
        <w:rPr>
          <w:rFonts w:eastAsia="標楷體"/>
          <w:sz w:val="28"/>
          <w:szCs w:val="28"/>
        </w:rPr>
        <w:t>對象：計畫</w:t>
      </w:r>
      <w:proofErr w:type="gramStart"/>
      <w:r w:rsidR="00E44CC5" w:rsidRPr="00B82DD3">
        <w:rPr>
          <w:rFonts w:eastAsia="標楷體"/>
          <w:sz w:val="28"/>
          <w:szCs w:val="28"/>
        </w:rPr>
        <w:t>期間，</w:t>
      </w:r>
      <w:proofErr w:type="gramEnd"/>
      <w:r w:rsidR="00E44CC5" w:rsidRPr="00B82DD3">
        <w:rPr>
          <w:rFonts w:eastAsia="標楷體"/>
          <w:sz w:val="28"/>
          <w:szCs w:val="28"/>
        </w:rPr>
        <w:t>接受過支援醫師診療或治療之社區民眾。</w:t>
      </w:r>
    </w:p>
    <w:p w:rsidR="00627AD1" w:rsidRDefault="007A5010" w:rsidP="00DF1828">
      <w:pPr>
        <w:numPr>
          <w:ilvl w:val="0"/>
          <w:numId w:val="7"/>
        </w:numPr>
        <w:spacing w:line="480" w:lineRule="exact"/>
        <w:ind w:left="2127" w:hanging="284"/>
        <w:rPr>
          <w:rFonts w:eastAsia="標楷體"/>
          <w:sz w:val="28"/>
          <w:szCs w:val="28"/>
        </w:rPr>
      </w:pPr>
      <w:r w:rsidRPr="00B82DD3">
        <w:rPr>
          <w:rFonts w:eastAsia="標楷體"/>
          <w:sz w:val="28"/>
          <w:szCs w:val="28"/>
        </w:rPr>
        <w:lastRenderedPageBreak/>
        <w:t>調查</w:t>
      </w:r>
      <w:r w:rsidR="00E44CC5">
        <w:rPr>
          <w:rFonts w:eastAsia="標楷體"/>
          <w:sz w:val="28"/>
          <w:szCs w:val="28"/>
        </w:rPr>
        <w:t>時間：計畫</w:t>
      </w:r>
      <w:proofErr w:type="gramStart"/>
      <w:r w:rsidR="00E44CC5">
        <w:rPr>
          <w:rFonts w:eastAsia="標楷體"/>
          <w:sz w:val="28"/>
          <w:szCs w:val="28"/>
        </w:rPr>
        <w:t>期間，</w:t>
      </w:r>
      <w:proofErr w:type="gramEnd"/>
      <w:r w:rsidR="00E44CC5">
        <w:rPr>
          <w:rFonts w:eastAsia="標楷體"/>
          <w:sz w:val="28"/>
          <w:szCs w:val="28"/>
        </w:rPr>
        <w:t>不定時於社區醫院發放。</w:t>
      </w:r>
    </w:p>
    <w:p w:rsidR="00627AD1" w:rsidRDefault="00E44CC5" w:rsidP="00DF1828">
      <w:pPr>
        <w:numPr>
          <w:ilvl w:val="0"/>
          <w:numId w:val="7"/>
        </w:numPr>
        <w:spacing w:line="480" w:lineRule="exact"/>
        <w:ind w:left="2127" w:hanging="284"/>
        <w:rPr>
          <w:rFonts w:eastAsia="標楷體"/>
          <w:sz w:val="28"/>
          <w:szCs w:val="28"/>
        </w:rPr>
      </w:pPr>
      <w:r>
        <w:rPr>
          <w:rFonts w:eastAsia="標楷體"/>
          <w:sz w:val="28"/>
          <w:szCs w:val="28"/>
        </w:rPr>
        <w:t>預估回收份數：每一主責醫院至少</w:t>
      </w:r>
      <w:r>
        <w:rPr>
          <w:rFonts w:eastAsia="標楷體"/>
          <w:sz w:val="28"/>
          <w:szCs w:val="28"/>
        </w:rPr>
        <w:t>100</w:t>
      </w:r>
      <w:r>
        <w:rPr>
          <w:rFonts w:eastAsia="標楷體"/>
          <w:sz w:val="28"/>
          <w:szCs w:val="28"/>
        </w:rPr>
        <w:t>份。</w:t>
      </w:r>
    </w:p>
    <w:p w:rsidR="00627AD1" w:rsidRDefault="00E44CC5">
      <w:pPr>
        <w:tabs>
          <w:tab w:val="left" w:pos="2127"/>
          <w:tab w:val="left" w:pos="2268"/>
        </w:tabs>
        <w:spacing w:line="480" w:lineRule="exact"/>
        <w:ind w:left="1370"/>
      </w:pPr>
      <w:r>
        <w:rPr>
          <w:rFonts w:eastAsia="標楷體"/>
          <w:sz w:val="28"/>
        </w:rPr>
        <w:t>(</w:t>
      </w:r>
      <w:r>
        <w:rPr>
          <w:rFonts w:eastAsia="標楷體"/>
          <w:sz w:val="28"/>
        </w:rPr>
        <w:t>二</w:t>
      </w:r>
      <w:r>
        <w:rPr>
          <w:rFonts w:eastAsia="標楷體"/>
          <w:sz w:val="28"/>
        </w:rPr>
        <w:t>)</w:t>
      </w:r>
      <w:r>
        <w:rPr>
          <w:rFonts w:eastAsia="標楷體"/>
          <w:sz w:val="28"/>
        </w:rPr>
        <w:t>參與本計畫支援醫師及醫院之調查</w:t>
      </w:r>
    </w:p>
    <w:p w:rsidR="00627AD1" w:rsidRDefault="00E44CC5" w:rsidP="00DF1828">
      <w:pPr>
        <w:numPr>
          <w:ilvl w:val="0"/>
          <w:numId w:val="8"/>
        </w:numPr>
        <w:spacing w:line="480" w:lineRule="exact"/>
        <w:ind w:left="2127" w:hanging="284"/>
        <w:rPr>
          <w:rFonts w:eastAsia="標楷體"/>
          <w:sz w:val="28"/>
          <w:szCs w:val="28"/>
        </w:rPr>
      </w:pPr>
      <w:r>
        <w:rPr>
          <w:rFonts w:eastAsia="標楷體"/>
          <w:sz w:val="28"/>
          <w:szCs w:val="28"/>
        </w:rPr>
        <w:t>調查工具：</w:t>
      </w:r>
      <w:proofErr w:type="gramStart"/>
      <w:r>
        <w:rPr>
          <w:rFonts w:eastAsia="標楷體"/>
          <w:sz w:val="28"/>
          <w:szCs w:val="28"/>
        </w:rPr>
        <w:t>採</w:t>
      </w:r>
      <w:proofErr w:type="gramEnd"/>
      <w:r>
        <w:rPr>
          <w:rFonts w:eastAsia="標楷體"/>
          <w:sz w:val="28"/>
          <w:szCs w:val="28"/>
        </w:rPr>
        <w:t>問卷調查。</w:t>
      </w:r>
    </w:p>
    <w:p w:rsidR="00627AD1" w:rsidRDefault="007A5010" w:rsidP="00DF1828">
      <w:pPr>
        <w:numPr>
          <w:ilvl w:val="0"/>
          <w:numId w:val="8"/>
        </w:numPr>
        <w:spacing w:line="480" w:lineRule="exact"/>
        <w:ind w:left="2127" w:hanging="284"/>
        <w:rPr>
          <w:rFonts w:eastAsia="標楷體"/>
          <w:sz w:val="28"/>
          <w:szCs w:val="28"/>
        </w:rPr>
      </w:pPr>
      <w:r w:rsidRPr="00B82DD3">
        <w:rPr>
          <w:rFonts w:eastAsia="標楷體"/>
          <w:sz w:val="28"/>
          <w:szCs w:val="28"/>
        </w:rPr>
        <w:t>調查</w:t>
      </w:r>
      <w:r w:rsidR="00E44CC5">
        <w:rPr>
          <w:rFonts w:eastAsia="標楷體"/>
          <w:sz w:val="28"/>
          <w:szCs w:val="28"/>
        </w:rPr>
        <w:t>對象：計畫</w:t>
      </w:r>
      <w:proofErr w:type="gramStart"/>
      <w:r w:rsidR="00E44CC5">
        <w:rPr>
          <w:rFonts w:eastAsia="標楷體"/>
          <w:sz w:val="28"/>
          <w:szCs w:val="28"/>
        </w:rPr>
        <w:t>期間，</w:t>
      </w:r>
      <w:proofErr w:type="gramEnd"/>
      <w:r w:rsidR="00E44CC5">
        <w:rPr>
          <w:rFonts w:eastAsia="標楷體"/>
          <w:sz w:val="28"/>
          <w:szCs w:val="28"/>
        </w:rPr>
        <w:t>參與支援之醫師及醫院。</w:t>
      </w:r>
    </w:p>
    <w:p w:rsidR="00627AD1" w:rsidRPr="00E83003" w:rsidRDefault="00E44CC5" w:rsidP="00E83003">
      <w:pPr>
        <w:spacing w:before="240" w:line="480" w:lineRule="exact"/>
        <w:rPr>
          <w:rFonts w:eastAsia="標楷體"/>
          <w:b/>
          <w:sz w:val="28"/>
          <w:szCs w:val="28"/>
        </w:rPr>
      </w:pPr>
      <w:r>
        <w:rPr>
          <w:rFonts w:eastAsia="標楷體"/>
          <w:b/>
          <w:sz w:val="28"/>
          <w:szCs w:val="28"/>
        </w:rPr>
        <w:t>陸、評核指標</w:t>
      </w:r>
    </w:p>
    <w:p w:rsidR="00627AD1" w:rsidRDefault="00E44CC5" w:rsidP="00CD4EAE">
      <w:pPr>
        <w:numPr>
          <w:ilvl w:val="0"/>
          <w:numId w:val="9"/>
        </w:numPr>
        <w:spacing w:line="480" w:lineRule="exact"/>
        <w:ind w:left="1148" w:hanging="574"/>
        <w:rPr>
          <w:rFonts w:eastAsia="標楷體"/>
          <w:sz w:val="28"/>
          <w:szCs w:val="28"/>
        </w:rPr>
      </w:pPr>
      <w:r>
        <w:rPr>
          <w:rFonts w:eastAsia="標楷體"/>
          <w:sz w:val="28"/>
          <w:szCs w:val="28"/>
        </w:rPr>
        <w:t>參與本計畫民眾就醫滿意度</w:t>
      </w:r>
      <w:proofErr w:type="gramStart"/>
      <w:r>
        <w:rPr>
          <w:rFonts w:eastAsia="標楷體"/>
          <w:sz w:val="28"/>
          <w:szCs w:val="28"/>
        </w:rPr>
        <w:t>≧</w:t>
      </w:r>
      <w:proofErr w:type="gramEnd"/>
      <w:r>
        <w:rPr>
          <w:rFonts w:eastAsia="標楷體"/>
          <w:sz w:val="28"/>
          <w:szCs w:val="28"/>
        </w:rPr>
        <w:t>85%</w:t>
      </w:r>
      <w:r>
        <w:rPr>
          <w:rFonts w:eastAsia="標楷體"/>
          <w:sz w:val="28"/>
          <w:szCs w:val="28"/>
        </w:rPr>
        <w:t>。</w:t>
      </w:r>
    </w:p>
    <w:p w:rsidR="00627AD1" w:rsidRDefault="00E44CC5" w:rsidP="00CD4EAE">
      <w:pPr>
        <w:numPr>
          <w:ilvl w:val="0"/>
          <w:numId w:val="9"/>
        </w:numPr>
        <w:spacing w:line="480" w:lineRule="exact"/>
        <w:ind w:left="1148" w:hanging="574"/>
        <w:rPr>
          <w:rFonts w:eastAsia="標楷體"/>
          <w:sz w:val="28"/>
          <w:szCs w:val="28"/>
        </w:rPr>
      </w:pPr>
      <w:r>
        <w:rPr>
          <w:rFonts w:eastAsia="標楷體"/>
          <w:sz w:val="28"/>
          <w:szCs w:val="28"/>
        </w:rPr>
        <w:t>分級醫療指標：接受支援地區醫院總門診就醫人次較去年同期增加。</w:t>
      </w:r>
      <w:r>
        <w:rPr>
          <w:rFonts w:eastAsia="標楷體"/>
          <w:sz w:val="28"/>
          <w:szCs w:val="28"/>
        </w:rPr>
        <w:t xml:space="preserve"> </w:t>
      </w:r>
    </w:p>
    <w:p w:rsidR="00627AD1" w:rsidRDefault="00E44CC5" w:rsidP="00CD4EAE">
      <w:pPr>
        <w:numPr>
          <w:ilvl w:val="0"/>
          <w:numId w:val="9"/>
        </w:numPr>
        <w:spacing w:line="480" w:lineRule="exact"/>
        <w:ind w:left="1148" w:hanging="574"/>
        <w:rPr>
          <w:rFonts w:eastAsia="標楷體"/>
          <w:sz w:val="28"/>
          <w:szCs w:val="28"/>
        </w:rPr>
      </w:pPr>
      <w:r>
        <w:rPr>
          <w:rFonts w:eastAsia="標楷體"/>
          <w:sz w:val="28"/>
          <w:szCs w:val="28"/>
        </w:rPr>
        <w:t>參加「全民健康保險醫療費用總額其他預算項目</w:t>
      </w:r>
      <w:r>
        <w:rPr>
          <w:rFonts w:eastAsia="標楷體"/>
          <w:sz w:val="28"/>
          <w:szCs w:val="28"/>
        </w:rPr>
        <w:t>-</w:t>
      </w:r>
      <w:r>
        <w:rPr>
          <w:rFonts w:eastAsia="標楷體"/>
          <w:sz w:val="28"/>
          <w:szCs w:val="28"/>
        </w:rPr>
        <w:t>鼓勵醫療院所即時查詢就醫資訊方案」：接受支援地區醫院「門診病人健保雲端藥歷系統查詢率」</w:t>
      </w:r>
      <w:proofErr w:type="gramStart"/>
      <w:r>
        <w:rPr>
          <w:rFonts w:eastAsia="標楷體"/>
          <w:sz w:val="28"/>
          <w:szCs w:val="28"/>
        </w:rPr>
        <w:t>≧</w:t>
      </w:r>
      <w:proofErr w:type="gramEnd"/>
      <w:r>
        <w:rPr>
          <w:rFonts w:eastAsia="標楷體"/>
          <w:sz w:val="28"/>
          <w:szCs w:val="28"/>
        </w:rPr>
        <w:t>當年全部醫院查詢率</w:t>
      </w:r>
      <w:r>
        <w:rPr>
          <w:rFonts w:eastAsia="標楷體"/>
          <w:sz w:val="28"/>
          <w:szCs w:val="28"/>
        </w:rPr>
        <w:t>60</w:t>
      </w:r>
      <w:r>
        <w:rPr>
          <w:rFonts w:eastAsia="標楷體"/>
          <w:sz w:val="28"/>
          <w:szCs w:val="28"/>
        </w:rPr>
        <w:t>百分位。</w:t>
      </w:r>
    </w:p>
    <w:p w:rsidR="00627AD1" w:rsidRDefault="00E44CC5" w:rsidP="00CD4EAE">
      <w:pPr>
        <w:numPr>
          <w:ilvl w:val="0"/>
          <w:numId w:val="9"/>
        </w:numPr>
        <w:spacing w:line="480" w:lineRule="exact"/>
        <w:ind w:left="1148" w:hanging="574"/>
        <w:rPr>
          <w:rFonts w:eastAsia="標楷體"/>
          <w:sz w:val="28"/>
          <w:szCs w:val="28"/>
        </w:rPr>
      </w:pPr>
      <w:r>
        <w:rPr>
          <w:rFonts w:eastAsia="標楷體"/>
          <w:sz w:val="28"/>
          <w:szCs w:val="28"/>
        </w:rPr>
        <w:t>醫療品質指標：以保險人「醫療品質公開網站」</w:t>
      </w:r>
      <w:proofErr w:type="gramStart"/>
      <w:r>
        <w:rPr>
          <w:rFonts w:eastAsia="標楷體"/>
          <w:sz w:val="28"/>
          <w:szCs w:val="28"/>
        </w:rPr>
        <w:t>院所別醫療</w:t>
      </w:r>
      <w:proofErr w:type="gramEnd"/>
      <w:r>
        <w:rPr>
          <w:rFonts w:eastAsia="標楷體"/>
          <w:sz w:val="28"/>
          <w:szCs w:val="28"/>
        </w:rPr>
        <w:t>品質資訊之資料分析，受補助地區醫院下列各指標較去年同期下降：</w:t>
      </w:r>
    </w:p>
    <w:p w:rsidR="00627AD1" w:rsidRDefault="00E44CC5" w:rsidP="00CD4EAE">
      <w:pPr>
        <w:spacing w:line="480" w:lineRule="exact"/>
        <w:ind w:left="1778" w:hanging="658"/>
        <w:rPr>
          <w:rFonts w:eastAsia="標楷體"/>
          <w:sz w:val="28"/>
        </w:rPr>
      </w:pPr>
      <w:r>
        <w:rPr>
          <w:rFonts w:eastAsia="標楷體"/>
          <w:sz w:val="28"/>
        </w:rPr>
        <w:t>(</w:t>
      </w:r>
      <w:proofErr w:type="gramStart"/>
      <w:r>
        <w:rPr>
          <w:rFonts w:eastAsia="標楷體"/>
          <w:sz w:val="28"/>
        </w:rPr>
        <w:t>一</w:t>
      </w:r>
      <w:proofErr w:type="gramEnd"/>
      <w:r>
        <w:rPr>
          <w:rFonts w:eastAsia="標楷體"/>
          <w:sz w:val="28"/>
        </w:rPr>
        <w:t>)</w:t>
      </w:r>
      <w:r>
        <w:rPr>
          <w:rFonts w:eastAsia="標楷體"/>
          <w:sz w:val="28"/>
        </w:rPr>
        <w:t>跨醫院門診同藥理用藥日數重疊率</w:t>
      </w:r>
      <w:r>
        <w:rPr>
          <w:rFonts w:eastAsia="標楷體"/>
          <w:sz w:val="28"/>
        </w:rPr>
        <w:t>-</w:t>
      </w:r>
      <w:r>
        <w:rPr>
          <w:rFonts w:eastAsia="標楷體"/>
          <w:sz w:val="28"/>
        </w:rPr>
        <w:t>降血壓</w:t>
      </w:r>
      <w:r>
        <w:rPr>
          <w:rFonts w:eastAsia="標楷體"/>
          <w:sz w:val="28"/>
        </w:rPr>
        <w:t>(</w:t>
      </w:r>
      <w:r>
        <w:rPr>
          <w:rFonts w:eastAsia="標楷體"/>
          <w:sz w:val="28"/>
        </w:rPr>
        <w:t>口服</w:t>
      </w:r>
      <w:r>
        <w:rPr>
          <w:rFonts w:eastAsia="標楷體"/>
          <w:sz w:val="28"/>
        </w:rPr>
        <w:t>)</w:t>
      </w:r>
      <w:r>
        <w:rPr>
          <w:rFonts w:eastAsia="標楷體"/>
          <w:sz w:val="28"/>
        </w:rPr>
        <w:t>、降血脂</w:t>
      </w:r>
      <w:r>
        <w:rPr>
          <w:rFonts w:eastAsia="標楷體"/>
          <w:sz w:val="28"/>
        </w:rPr>
        <w:t xml:space="preserve"> (</w:t>
      </w:r>
      <w:r>
        <w:rPr>
          <w:rFonts w:eastAsia="標楷體"/>
          <w:sz w:val="28"/>
        </w:rPr>
        <w:t>口服</w:t>
      </w:r>
      <w:r>
        <w:rPr>
          <w:rFonts w:eastAsia="標楷體"/>
          <w:sz w:val="28"/>
        </w:rPr>
        <w:t>)</w:t>
      </w:r>
      <w:r>
        <w:rPr>
          <w:rFonts w:eastAsia="標楷體"/>
          <w:sz w:val="28"/>
        </w:rPr>
        <w:t>。</w:t>
      </w:r>
    </w:p>
    <w:p w:rsidR="00627AD1" w:rsidRDefault="00E44CC5" w:rsidP="00CD4EAE">
      <w:pPr>
        <w:tabs>
          <w:tab w:val="left" w:pos="2127"/>
          <w:tab w:val="left" w:pos="2268"/>
        </w:tabs>
        <w:spacing w:line="480" w:lineRule="exact"/>
        <w:ind w:left="1778" w:hanging="658"/>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跨醫院門診同藥理用藥日數重疊率</w:t>
      </w:r>
      <w:r>
        <w:rPr>
          <w:rFonts w:eastAsia="標楷體"/>
          <w:sz w:val="28"/>
        </w:rPr>
        <w:t>-</w:t>
      </w:r>
      <w:r>
        <w:rPr>
          <w:rFonts w:eastAsia="標楷體"/>
          <w:sz w:val="28"/>
        </w:rPr>
        <w:t>安眠</w:t>
      </w:r>
      <w:proofErr w:type="gramStart"/>
      <w:r>
        <w:rPr>
          <w:rFonts w:eastAsia="標楷體"/>
          <w:sz w:val="28"/>
        </w:rPr>
        <w:t>鎮靜、</w:t>
      </w:r>
      <w:proofErr w:type="gramEnd"/>
      <w:r>
        <w:rPr>
          <w:rFonts w:eastAsia="標楷體"/>
          <w:sz w:val="28"/>
        </w:rPr>
        <w:t>抗憂鬱症。</w:t>
      </w:r>
    </w:p>
    <w:p w:rsidR="00627AD1" w:rsidRPr="00E83003" w:rsidRDefault="00E44CC5" w:rsidP="00E83003">
      <w:pPr>
        <w:spacing w:before="240" w:line="480" w:lineRule="exact"/>
        <w:rPr>
          <w:rFonts w:eastAsia="標楷體"/>
          <w:b/>
          <w:sz w:val="28"/>
          <w:szCs w:val="28"/>
        </w:rPr>
      </w:pPr>
      <w:proofErr w:type="gramStart"/>
      <w:r>
        <w:rPr>
          <w:rFonts w:eastAsia="標楷體"/>
          <w:b/>
          <w:sz w:val="28"/>
          <w:szCs w:val="28"/>
        </w:rPr>
        <w:t>柒</w:t>
      </w:r>
      <w:proofErr w:type="gramEnd"/>
      <w:r>
        <w:rPr>
          <w:rFonts w:eastAsia="標楷體"/>
          <w:b/>
          <w:sz w:val="28"/>
          <w:szCs w:val="28"/>
        </w:rPr>
        <w:t>、</w:t>
      </w:r>
      <w:r w:rsidRPr="00E83003">
        <w:rPr>
          <w:rFonts w:eastAsia="標楷體"/>
          <w:b/>
          <w:sz w:val="28"/>
          <w:szCs w:val="28"/>
        </w:rPr>
        <w:t>實施期程及評估</w:t>
      </w:r>
    </w:p>
    <w:p w:rsidR="00627AD1" w:rsidRDefault="00E44CC5" w:rsidP="00CD4EAE">
      <w:pPr>
        <w:numPr>
          <w:ilvl w:val="0"/>
          <w:numId w:val="10"/>
        </w:numPr>
        <w:spacing w:line="480" w:lineRule="exact"/>
        <w:ind w:left="1120" w:hanging="588"/>
        <w:jc w:val="both"/>
        <w:rPr>
          <w:rFonts w:eastAsia="標楷體"/>
          <w:sz w:val="28"/>
        </w:rPr>
      </w:pPr>
      <w:r>
        <w:rPr>
          <w:rFonts w:eastAsia="標楷體"/>
          <w:sz w:val="28"/>
        </w:rPr>
        <w:t>參加醫院團隊應於計畫執行後，依保險人規定格式每半年提送執行成果報告</w:t>
      </w:r>
      <w:r>
        <w:rPr>
          <w:rFonts w:eastAsia="標楷體"/>
          <w:sz w:val="28"/>
        </w:rPr>
        <w:t>(</w:t>
      </w:r>
      <w:r>
        <w:rPr>
          <w:rFonts w:eastAsia="標楷體"/>
          <w:sz w:val="28"/>
        </w:rPr>
        <w:t>內容包含轉診服務統計、專業訓練、醫院跨層級合作具體措施及成效</w:t>
      </w:r>
      <w:r>
        <w:rPr>
          <w:rFonts w:eastAsia="標楷體"/>
          <w:sz w:val="28"/>
        </w:rPr>
        <w:t>)</w:t>
      </w:r>
      <w:r>
        <w:rPr>
          <w:rFonts w:eastAsia="標楷體"/>
          <w:sz w:val="28"/>
        </w:rPr>
        <w:t>，全期完成應提出總報告予保險人分區業務組，</w:t>
      </w:r>
      <w:proofErr w:type="gramStart"/>
      <w:r>
        <w:rPr>
          <w:rFonts w:eastAsia="標楷體"/>
          <w:sz w:val="28"/>
        </w:rPr>
        <w:t>俾</w:t>
      </w:r>
      <w:proofErr w:type="gramEnd"/>
      <w:r>
        <w:rPr>
          <w:rFonts w:eastAsia="標楷體"/>
          <w:sz w:val="28"/>
        </w:rPr>
        <w:t>作為未來是否續辦之考量。</w:t>
      </w:r>
    </w:p>
    <w:p w:rsidR="00627AD1" w:rsidRPr="00E83003" w:rsidRDefault="00E44CC5" w:rsidP="00E83003">
      <w:pPr>
        <w:numPr>
          <w:ilvl w:val="0"/>
          <w:numId w:val="10"/>
        </w:numPr>
        <w:spacing w:line="480" w:lineRule="exact"/>
        <w:ind w:left="1120" w:hanging="588"/>
        <w:jc w:val="both"/>
        <w:rPr>
          <w:rFonts w:eastAsia="標楷體"/>
          <w:sz w:val="28"/>
        </w:rPr>
      </w:pPr>
      <w:r>
        <w:rPr>
          <w:rFonts w:eastAsia="標楷體"/>
          <w:sz w:val="28"/>
        </w:rPr>
        <w:t>保險人將彙整各醫院團隊所提執行報告，進行整體執行成效之評估，作為繼續實施之依據。</w:t>
      </w:r>
    </w:p>
    <w:p w:rsidR="00627AD1" w:rsidRPr="00E83003" w:rsidRDefault="00E44CC5" w:rsidP="00E83003">
      <w:pPr>
        <w:spacing w:before="240" w:line="480" w:lineRule="exact"/>
        <w:rPr>
          <w:rFonts w:eastAsia="標楷體"/>
          <w:b/>
          <w:sz w:val="28"/>
          <w:szCs w:val="28"/>
        </w:rPr>
      </w:pPr>
      <w:r>
        <w:rPr>
          <w:rFonts w:eastAsia="標楷體"/>
          <w:b/>
          <w:sz w:val="28"/>
          <w:szCs w:val="28"/>
        </w:rPr>
        <w:t>捌、</w:t>
      </w:r>
      <w:r w:rsidRPr="00E83003">
        <w:rPr>
          <w:rFonts w:eastAsia="標楷體"/>
          <w:b/>
          <w:sz w:val="28"/>
          <w:szCs w:val="28"/>
        </w:rPr>
        <w:t>其他事項</w:t>
      </w:r>
    </w:p>
    <w:p w:rsidR="00627AD1" w:rsidRDefault="00E44CC5" w:rsidP="00CD4EAE">
      <w:pPr>
        <w:numPr>
          <w:ilvl w:val="0"/>
          <w:numId w:val="11"/>
        </w:numPr>
        <w:spacing w:line="480" w:lineRule="exact"/>
        <w:ind w:left="1134" w:hanging="574"/>
        <w:rPr>
          <w:rFonts w:eastAsia="標楷體"/>
          <w:sz w:val="28"/>
        </w:rPr>
      </w:pPr>
      <w:r>
        <w:rPr>
          <w:rFonts w:eastAsia="標楷體"/>
          <w:sz w:val="28"/>
        </w:rPr>
        <w:t>支援規定：支援醫師</w:t>
      </w:r>
      <w:proofErr w:type="gramStart"/>
      <w:r>
        <w:rPr>
          <w:rFonts w:eastAsia="標楷體"/>
          <w:sz w:val="28"/>
        </w:rPr>
        <w:t>均應依醫</w:t>
      </w:r>
      <w:proofErr w:type="gramEnd"/>
      <w:r>
        <w:rPr>
          <w:rFonts w:eastAsia="標楷體"/>
          <w:sz w:val="28"/>
        </w:rPr>
        <w:t>事法規相關規定向當地衛生主管機關辦理報備支援，並請醫師考量負擔能力提供支援服務。</w:t>
      </w:r>
    </w:p>
    <w:p w:rsidR="00627AD1" w:rsidRDefault="00E44CC5" w:rsidP="00CD4EAE">
      <w:pPr>
        <w:numPr>
          <w:ilvl w:val="0"/>
          <w:numId w:val="11"/>
        </w:numPr>
        <w:spacing w:line="480" w:lineRule="exact"/>
        <w:ind w:left="1134" w:hanging="574"/>
        <w:rPr>
          <w:rFonts w:eastAsia="標楷體"/>
          <w:sz w:val="28"/>
        </w:rPr>
      </w:pPr>
      <w:r>
        <w:rPr>
          <w:rFonts w:eastAsia="標楷體"/>
          <w:sz w:val="28"/>
        </w:rPr>
        <w:t>終止要件：</w:t>
      </w:r>
    </w:p>
    <w:p w:rsidR="00627AD1" w:rsidRDefault="00E44CC5" w:rsidP="00CD4EAE">
      <w:pPr>
        <w:spacing w:line="480" w:lineRule="exact"/>
        <w:ind w:left="1582" w:hanging="490"/>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醫院如有下列情形之</w:t>
      </w:r>
      <w:proofErr w:type="gramStart"/>
      <w:r>
        <w:rPr>
          <w:rFonts w:eastAsia="標楷體"/>
          <w:sz w:val="28"/>
          <w:szCs w:val="28"/>
        </w:rPr>
        <w:t>一</w:t>
      </w:r>
      <w:proofErr w:type="gramEnd"/>
      <w:r>
        <w:rPr>
          <w:rFonts w:eastAsia="標楷體"/>
          <w:sz w:val="28"/>
          <w:szCs w:val="28"/>
        </w:rPr>
        <w:t>者，應停止適用本計畫：</w:t>
      </w:r>
    </w:p>
    <w:p w:rsidR="00627AD1" w:rsidRDefault="00E44CC5" w:rsidP="00CD4EAE">
      <w:pPr>
        <w:numPr>
          <w:ilvl w:val="0"/>
          <w:numId w:val="12"/>
        </w:numPr>
        <w:spacing w:line="480" w:lineRule="exact"/>
        <w:ind w:left="1904" w:hanging="294"/>
        <w:rPr>
          <w:rFonts w:eastAsia="標楷體"/>
          <w:sz w:val="28"/>
          <w:szCs w:val="28"/>
        </w:rPr>
      </w:pPr>
      <w:r>
        <w:rPr>
          <w:rFonts w:eastAsia="標楷體"/>
          <w:sz w:val="28"/>
          <w:szCs w:val="28"/>
        </w:rPr>
        <w:t>經查證申報不實資料者。</w:t>
      </w:r>
    </w:p>
    <w:p w:rsidR="00627AD1" w:rsidRDefault="00E44CC5" w:rsidP="00CD4EAE">
      <w:pPr>
        <w:numPr>
          <w:ilvl w:val="0"/>
          <w:numId w:val="12"/>
        </w:numPr>
        <w:spacing w:line="480" w:lineRule="exact"/>
        <w:ind w:left="1904" w:hanging="294"/>
      </w:pPr>
      <w:r>
        <w:rPr>
          <w:rFonts w:eastAsia="標楷體"/>
          <w:sz w:val="28"/>
          <w:szCs w:val="28"/>
        </w:rPr>
        <w:lastRenderedPageBreak/>
        <w:t>未能配合提供本計畫相關內容，經保險人發函</w:t>
      </w:r>
      <w:proofErr w:type="gramStart"/>
      <w:r>
        <w:rPr>
          <w:rFonts w:eastAsia="標楷體"/>
          <w:sz w:val="28"/>
          <w:szCs w:val="28"/>
        </w:rPr>
        <w:t>兩次催</w:t>
      </w:r>
      <w:proofErr w:type="gramEnd"/>
      <w:r>
        <w:rPr>
          <w:rFonts w:eastAsia="標楷體"/>
          <w:sz w:val="28"/>
          <w:szCs w:val="28"/>
        </w:rPr>
        <w:t>繳未提供者。</w:t>
      </w:r>
    </w:p>
    <w:p w:rsidR="00627AD1" w:rsidRDefault="00E44CC5" w:rsidP="00CD4EAE">
      <w:pPr>
        <w:numPr>
          <w:ilvl w:val="0"/>
          <w:numId w:val="12"/>
        </w:numPr>
        <w:spacing w:line="480" w:lineRule="exact"/>
        <w:ind w:left="1904" w:hanging="294"/>
        <w:rPr>
          <w:rFonts w:eastAsia="標楷體"/>
          <w:sz w:val="28"/>
          <w:szCs w:val="28"/>
        </w:rPr>
      </w:pPr>
      <w:r>
        <w:rPr>
          <w:rFonts w:eastAsia="標楷體"/>
          <w:sz w:val="28"/>
          <w:szCs w:val="28"/>
        </w:rPr>
        <w:t>轉診個案專案審查結果顯屬異常，或查有重大違規，且屬情節重大者。</w:t>
      </w:r>
    </w:p>
    <w:p w:rsidR="00627AD1" w:rsidRPr="00B82DD3" w:rsidRDefault="00E44CC5" w:rsidP="00CD4EAE">
      <w:pPr>
        <w:numPr>
          <w:ilvl w:val="0"/>
          <w:numId w:val="12"/>
        </w:numPr>
        <w:spacing w:line="480" w:lineRule="exact"/>
        <w:ind w:left="1904" w:hanging="294"/>
        <w:rPr>
          <w:rFonts w:eastAsia="標楷體"/>
          <w:sz w:val="28"/>
          <w:szCs w:val="28"/>
        </w:rPr>
      </w:pPr>
      <w:r w:rsidRPr="00B82DD3">
        <w:rPr>
          <w:rFonts w:eastAsia="標楷體"/>
          <w:sz w:val="28"/>
          <w:szCs w:val="28"/>
        </w:rPr>
        <w:t>執行計畫</w:t>
      </w:r>
      <w:proofErr w:type="gramStart"/>
      <w:r w:rsidRPr="00B82DD3">
        <w:rPr>
          <w:rFonts w:eastAsia="標楷體"/>
          <w:sz w:val="28"/>
          <w:szCs w:val="28"/>
        </w:rPr>
        <w:t>期間，</w:t>
      </w:r>
      <w:proofErr w:type="gramEnd"/>
      <w:r w:rsidRPr="00B82DD3">
        <w:rPr>
          <w:rFonts w:eastAsia="標楷體"/>
          <w:sz w:val="28"/>
          <w:szCs w:val="28"/>
        </w:rPr>
        <w:t>經保險人各分區</w:t>
      </w:r>
      <w:proofErr w:type="gramStart"/>
      <w:r w:rsidRPr="00B82DD3">
        <w:rPr>
          <w:rFonts w:eastAsia="標楷體"/>
          <w:sz w:val="28"/>
          <w:szCs w:val="28"/>
        </w:rPr>
        <w:t>業務組評核</w:t>
      </w:r>
      <w:proofErr w:type="gramEnd"/>
      <w:r w:rsidRPr="00B82DD3">
        <w:rPr>
          <w:rFonts w:eastAsia="標楷體"/>
          <w:sz w:val="28"/>
          <w:szCs w:val="28"/>
        </w:rPr>
        <w:t>、稽查，發現申辦醫療院所提供之醫療服務內容有違背本方案目的或規定時，保險人各分區業務組得終止該醫療院所計畫之執行。</w:t>
      </w:r>
    </w:p>
    <w:p w:rsidR="00627AD1" w:rsidRDefault="00E44CC5">
      <w:pPr>
        <w:spacing w:line="480" w:lineRule="exact"/>
        <w:ind w:left="1736" w:hanging="490"/>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醫院因故提出終止本計畫者，自停止日起本年內不得再申請加入本計畫。</w:t>
      </w:r>
    </w:p>
    <w:p w:rsidR="00627AD1" w:rsidRDefault="00E44CC5">
      <w:pPr>
        <w:spacing w:line="480" w:lineRule="exact"/>
        <w:ind w:left="1736" w:hanging="490"/>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計畫終止日期：以保險人發函所載終止日期為</w:t>
      </w:r>
      <w:proofErr w:type="gramStart"/>
      <w:r>
        <w:rPr>
          <w:rFonts w:eastAsia="標楷體"/>
          <w:sz w:val="28"/>
          <w:szCs w:val="28"/>
        </w:rPr>
        <w:t>準</w:t>
      </w:r>
      <w:proofErr w:type="gramEnd"/>
      <w:r>
        <w:rPr>
          <w:rFonts w:eastAsia="標楷體"/>
          <w:sz w:val="28"/>
          <w:szCs w:val="28"/>
        </w:rPr>
        <w:t>。</w:t>
      </w:r>
    </w:p>
    <w:p w:rsidR="00627AD1" w:rsidRDefault="00E44CC5">
      <w:pPr>
        <w:numPr>
          <w:ilvl w:val="0"/>
          <w:numId w:val="11"/>
        </w:numPr>
        <w:spacing w:line="480" w:lineRule="exact"/>
        <w:rPr>
          <w:rFonts w:eastAsia="標楷體"/>
          <w:sz w:val="28"/>
        </w:rPr>
      </w:pPr>
      <w:r>
        <w:rPr>
          <w:rFonts w:eastAsia="標楷體"/>
          <w:sz w:val="28"/>
        </w:rPr>
        <w:t>辦理本計畫核發作業後，若有醫院團隊提出申復等行政救濟事宜，案經審核同意列入</w:t>
      </w:r>
      <w:proofErr w:type="gramStart"/>
      <w:r>
        <w:rPr>
          <w:rFonts w:eastAsia="標楷體"/>
          <w:sz w:val="28"/>
        </w:rPr>
        <w:t>補付者</w:t>
      </w:r>
      <w:proofErr w:type="gramEnd"/>
      <w:r>
        <w:rPr>
          <w:rFonts w:eastAsia="標楷體"/>
          <w:sz w:val="28"/>
        </w:rPr>
        <w:t>，其核發金額將自當年其他預算部門本計畫項下支應。</w:t>
      </w:r>
    </w:p>
    <w:p w:rsidR="00627AD1" w:rsidRDefault="00E44CC5">
      <w:pPr>
        <w:numPr>
          <w:ilvl w:val="0"/>
          <w:numId w:val="11"/>
        </w:numPr>
        <w:spacing w:line="480" w:lineRule="exact"/>
      </w:pPr>
      <w:r>
        <w:rPr>
          <w:rFonts w:eastAsia="標楷體"/>
          <w:sz w:val="28"/>
        </w:rPr>
        <w:t>本計畫由保險人報請主管機關核定後公告實施，並送全民健康保險會備查。屬執行面之</w:t>
      </w:r>
      <w:r>
        <w:rPr>
          <w:rFonts w:ascii="標楷體" w:eastAsia="標楷體" w:hAnsi="標楷體"/>
          <w:sz w:val="28"/>
          <w:szCs w:val="28"/>
        </w:rPr>
        <w:t>修正，由保險人逕行修正公告。</w:t>
      </w:r>
    </w:p>
    <w:sectPr w:rsidR="00627AD1">
      <w:footerReference w:type="default" r:id="rId9"/>
      <w:pgSz w:w="11906" w:h="16838"/>
      <w:pgMar w:top="1134" w:right="1274" w:bottom="993" w:left="1077"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96" w:rsidRDefault="00133596">
      <w:r>
        <w:separator/>
      </w:r>
    </w:p>
  </w:endnote>
  <w:endnote w:type="continuationSeparator" w:id="0">
    <w:p w:rsidR="00133596" w:rsidRDefault="0013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8EA" w:rsidRDefault="00E44CC5">
    <w:pPr>
      <w:pStyle w:val="ac"/>
      <w:jc w:val="center"/>
    </w:pPr>
    <w:r>
      <w:rPr>
        <w:lang w:val="zh-TW"/>
      </w:rPr>
      <w:fldChar w:fldCharType="begin"/>
    </w:r>
    <w:r>
      <w:rPr>
        <w:lang w:val="zh-TW"/>
      </w:rPr>
      <w:instrText xml:space="preserve"> PAGE </w:instrText>
    </w:r>
    <w:r>
      <w:rPr>
        <w:lang w:val="zh-TW"/>
      </w:rPr>
      <w:fldChar w:fldCharType="separate"/>
    </w:r>
    <w:r w:rsidR="00B03C8E">
      <w:rPr>
        <w:noProof/>
        <w:lang w:val="zh-TW"/>
      </w:rPr>
      <w:t>1</w:t>
    </w:r>
    <w:r>
      <w:rPr>
        <w:lang w:val="zh-TW"/>
      </w:rPr>
      <w:fldChar w:fldCharType="end"/>
    </w:r>
  </w:p>
  <w:p w:rsidR="005418EA" w:rsidRDefault="001335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96" w:rsidRDefault="00133596">
      <w:r>
        <w:rPr>
          <w:color w:val="000000"/>
        </w:rPr>
        <w:separator/>
      </w:r>
    </w:p>
  </w:footnote>
  <w:footnote w:type="continuationSeparator" w:id="0">
    <w:p w:rsidR="00133596" w:rsidRDefault="00133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C4E"/>
    <w:multiLevelType w:val="multilevel"/>
    <w:tmpl w:val="747E7390"/>
    <w:lvl w:ilvl="0">
      <w:start w:val="1"/>
      <w:numFmt w:val="decimal"/>
      <w:lvlText w:val="%1."/>
      <w:lvlJc w:val="left"/>
      <w:pPr>
        <w:ind w:left="27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6C10DF2"/>
    <w:multiLevelType w:val="multilevel"/>
    <w:tmpl w:val="82E4E94C"/>
    <w:lvl w:ilvl="0">
      <w:start w:val="1"/>
      <w:numFmt w:val="taiwaneseCountingThousand"/>
      <w:lvlText w:val="(%1)"/>
      <w:lvlJc w:val="left"/>
      <w:pPr>
        <w:ind w:left="1346" w:hanging="360"/>
      </w:pPr>
    </w:lvl>
    <w:lvl w:ilvl="1">
      <w:start w:val="1"/>
      <w:numFmt w:val="ideographTraditional"/>
      <w:lvlText w:val="%2、"/>
      <w:lvlJc w:val="left"/>
      <w:pPr>
        <w:ind w:left="1946" w:hanging="480"/>
      </w:pPr>
    </w:lvl>
    <w:lvl w:ilvl="2">
      <w:start w:val="1"/>
      <w:numFmt w:val="lowerRoman"/>
      <w:lvlText w:val="%3."/>
      <w:lvlJc w:val="right"/>
      <w:pPr>
        <w:ind w:left="2426" w:hanging="480"/>
      </w:pPr>
    </w:lvl>
    <w:lvl w:ilvl="3">
      <w:start w:val="1"/>
      <w:numFmt w:val="decimal"/>
      <w:lvlText w:val="%4."/>
      <w:lvlJc w:val="left"/>
      <w:pPr>
        <w:ind w:left="2906" w:hanging="480"/>
      </w:pPr>
    </w:lvl>
    <w:lvl w:ilvl="4">
      <w:start w:val="1"/>
      <w:numFmt w:val="ideographTraditional"/>
      <w:lvlText w:val="%5、"/>
      <w:lvlJc w:val="left"/>
      <w:pPr>
        <w:ind w:left="3386" w:hanging="480"/>
      </w:pPr>
    </w:lvl>
    <w:lvl w:ilvl="5">
      <w:start w:val="1"/>
      <w:numFmt w:val="lowerRoman"/>
      <w:lvlText w:val="%6."/>
      <w:lvlJc w:val="right"/>
      <w:pPr>
        <w:ind w:left="3866" w:hanging="480"/>
      </w:pPr>
    </w:lvl>
    <w:lvl w:ilvl="6">
      <w:start w:val="1"/>
      <w:numFmt w:val="decimal"/>
      <w:lvlText w:val="%7."/>
      <w:lvlJc w:val="left"/>
      <w:pPr>
        <w:ind w:left="4346" w:hanging="480"/>
      </w:pPr>
    </w:lvl>
    <w:lvl w:ilvl="7">
      <w:start w:val="1"/>
      <w:numFmt w:val="ideographTraditional"/>
      <w:lvlText w:val="%8、"/>
      <w:lvlJc w:val="left"/>
      <w:pPr>
        <w:ind w:left="4826" w:hanging="480"/>
      </w:pPr>
    </w:lvl>
    <w:lvl w:ilvl="8">
      <w:start w:val="1"/>
      <w:numFmt w:val="lowerRoman"/>
      <w:lvlText w:val="%9."/>
      <w:lvlJc w:val="right"/>
      <w:pPr>
        <w:ind w:left="5306" w:hanging="480"/>
      </w:pPr>
    </w:lvl>
  </w:abstractNum>
  <w:abstractNum w:abstractNumId="2">
    <w:nsid w:val="22694E2F"/>
    <w:multiLevelType w:val="multilevel"/>
    <w:tmpl w:val="F920F65A"/>
    <w:lvl w:ilvl="0">
      <w:start w:val="1"/>
      <w:numFmt w:val="taiwaneseCountingThousand"/>
      <w:lvlText w:val="%1、"/>
      <w:lvlJc w:val="left"/>
      <w:pPr>
        <w:ind w:left="120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6DA29A7"/>
    <w:multiLevelType w:val="multilevel"/>
    <w:tmpl w:val="5EBE14C2"/>
    <w:lvl w:ilvl="0">
      <w:start w:val="1"/>
      <w:numFmt w:val="decimal"/>
      <w:lvlText w:val="%1."/>
      <w:lvlJc w:val="left"/>
      <w:pPr>
        <w:ind w:left="2748" w:hanging="480"/>
      </w:pPr>
    </w:lvl>
    <w:lvl w:ilvl="1">
      <w:start w:val="1"/>
      <w:numFmt w:val="ideographTraditional"/>
      <w:lvlText w:val="%2、"/>
      <w:lvlJc w:val="left"/>
      <w:pPr>
        <w:ind w:left="3228" w:hanging="480"/>
      </w:pPr>
    </w:lvl>
    <w:lvl w:ilvl="2">
      <w:start w:val="1"/>
      <w:numFmt w:val="lowerRoman"/>
      <w:lvlText w:val="%3."/>
      <w:lvlJc w:val="right"/>
      <w:pPr>
        <w:ind w:left="3708" w:hanging="480"/>
      </w:pPr>
    </w:lvl>
    <w:lvl w:ilvl="3">
      <w:start w:val="1"/>
      <w:numFmt w:val="decimal"/>
      <w:lvlText w:val="%4."/>
      <w:lvlJc w:val="left"/>
      <w:pPr>
        <w:ind w:left="4188" w:hanging="480"/>
      </w:pPr>
    </w:lvl>
    <w:lvl w:ilvl="4">
      <w:start w:val="1"/>
      <w:numFmt w:val="ideographTraditional"/>
      <w:lvlText w:val="%5、"/>
      <w:lvlJc w:val="left"/>
      <w:pPr>
        <w:ind w:left="4668" w:hanging="480"/>
      </w:pPr>
    </w:lvl>
    <w:lvl w:ilvl="5">
      <w:start w:val="1"/>
      <w:numFmt w:val="lowerRoman"/>
      <w:lvlText w:val="%6."/>
      <w:lvlJc w:val="right"/>
      <w:pPr>
        <w:ind w:left="5148" w:hanging="480"/>
      </w:pPr>
    </w:lvl>
    <w:lvl w:ilvl="6">
      <w:start w:val="1"/>
      <w:numFmt w:val="decimal"/>
      <w:lvlText w:val="%7."/>
      <w:lvlJc w:val="left"/>
      <w:pPr>
        <w:ind w:left="5628" w:hanging="480"/>
      </w:pPr>
    </w:lvl>
    <w:lvl w:ilvl="7">
      <w:start w:val="1"/>
      <w:numFmt w:val="ideographTraditional"/>
      <w:lvlText w:val="%8、"/>
      <w:lvlJc w:val="left"/>
      <w:pPr>
        <w:ind w:left="6108" w:hanging="480"/>
      </w:pPr>
    </w:lvl>
    <w:lvl w:ilvl="8">
      <w:start w:val="1"/>
      <w:numFmt w:val="lowerRoman"/>
      <w:lvlText w:val="%9."/>
      <w:lvlJc w:val="right"/>
      <w:pPr>
        <w:ind w:left="6588" w:hanging="480"/>
      </w:pPr>
    </w:lvl>
  </w:abstractNum>
  <w:abstractNum w:abstractNumId="4">
    <w:nsid w:val="2BBE4D39"/>
    <w:multiLevelType w:val="multilevel"/>
    <w:tmpl w:val="D890859E"/>
    <w:lvl w:ilvl="0">
      <w:start w:val="1"/>
      <w:numFmt w:val="taiwaneseCountingThousand"/>
      <w:lvlText w:val="(%1)"/>
      <w:lvlJc w:val="left"/>
      <w:pPr>
        <w:ind w:left="1906" w:hanging="480"/>
      </w:pPr>
      <w:rPr>
        <w:rFonts w:ascii="標楷體" w:eastAsia="標楷體" w:hAnsi="標楷體"/>
      </w:rPr>
    </w:lvl>
    <w:lvl w:ilvl="1">
      <w:start w:val="1"/>
      <w:numFmt w:val="ideographTraditional"/>
      <w:lvlText w:val="%2、"/>
      <w:lvlJc w:val="left"/>
      <w:pPr>
        <w:ind w:left="2386" w:hanging="480"/>
      </w:pPr>
    </w:lvl>
    <w:lvl w:ilvl="2">
      <w:start w:val="1"/>
      <w:numFmt w:val="lowerRoman"/>
      <w:lvlText w:val="%3."/>
      <w:lvlJc w:val="right"/>
      <w:pPr>
        <w:ind w:left="2866" w:hanging="480"/>
      </w:pPr>
    </w:lvl>
    <w:lvl w:ilvl="3">
      <w:start w:val="1"/>
      <w:numFmt w:val="decimal"/>
      <w:lvlText w:val="%4."/>
      <w:lvlJc w:val="left"/>
      <w:pPr>
        <w:ind w:left="3346" w:hanging="480"/>
      </w:pPr>
    </w:lvl>
    <w:lvl w:ilvl="4">
      <w:start w:val="1"/>
      <w:numFmt w:val="ideographTraditional"/>
      <w:lvlText w:val="%5、"/>
      <w:lvlJc w:val="left"/>
      <w:pPr>
        <w:ind w:left="3826" w:hanging="480"/>
      </w:pPr>
    </w:lvl>
    <w:lvl w:ilvl="5">
      <w:start w:val="1"/>
      <w:numFmt w:val="lowerRoman"/>
      <w:lvlText w:val="%6."/>
      <w:lvlJc w:val="right"/>
      <w:pPr>
        <w:ind w:left="4306" w:hanging="480"/>
      </w:pPr>
    </w:lvl>
    <w:lvl w:ilvl="6">
      <w:start w:val="1"/>
      <w:numFmt w:val="decimal"/>
      <w:lvlText w:val="%7."/>
      <w:lvlJc w:val="left"/>
      <w:pPr>
        <w:ind w:left="4786" w:hanging="480"/>
      </w:pPr>
    </w:lvl>
    <w:lvl w:ilvl="7">
      <w:start w:val="1"/>
      <w:numFmt w:val="ideographTraditional"/>
      <w:lvlText w:val="%8、"/>
      <w:lvlJc w:val="left"/>
      <w:pPr>
        <w:ind w:left="5266" w:hanging="480"/>
      </w:pPr>
    </w:lvl>
    <w:lvl w:ilvl="8">
      <w:start w:val="1"/>
      <w:numFmt w:val="lowerRoman"/>
      <w:lvlText w:val="%9."/>
      <w:lvlJc w:val="right"/>
      <w:pPr>
        <w:ind w:left="5746" w:hanging="480"/>
      </w:pPr>
    </w:lvl>
  </w:abstractNum>
  <w:abstractNum w:abstractNumId="5">
    <w:nsid w:val="366A3B4B"/>
    <w:multiLevelType w:val="multilevel"/>
    <w:tmpl w:val="FB0A3FD2"/>
    <w:lvl w:ilvl="0">
      <w:start w:val="1"/>
      <w:numFmt w:val="taiwaneseCountingThousand"/>
      <w:lvlText w:val="%1、"/>
      <w:lvlJc w:val="left"/>
      <w:pPr>
        <w:ind w:left="1189"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44A61A3"/>
    <w:multiLevelType w:val="multilevel"/>
    <w:tmpl w:val="DBF2969C"/>
    <w:lvl w:ilvl="0">
      <w:start w:val="1"/>
      <w:numFmt w:val="decimal"/>
      <w:lvlText w:val="%1."/>
      <w:lvlJc w:val="left"/>
      <w:pPr>
        <w:ind w:left="27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56A05AB"/>
    <w:multiLevelType w:val="multilevel"/>
    <w:tmpl w:val="86DE51F6"/>
    <w:lvl w:ilvl="0">
      <w:start w:val="1"/>
      <w:numFmt w:val="taiwaneseCountingThousand"/>
      <w:lvlText w:val="%1、"/>
      <w:lvlJc w:val="left"/>
      <w:pPr>
        <w:ind w:left="1189" w:hanging="480"/>
      </w:pPr>
      <w:rPr>
        <w:rFonts w:ascii="標楷體" w:eastAsia="標楷體" w:hAnsi="標楷體"/>
        <w:b w:val="0"/>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8">
    <w:nsid w:val="5ACE633A"/>
    <w:multiLevelType w:val="multilevel"/>
    <w:tmpl w:val="EF7AC042"/>
    <w:lvl w:ilvl="0">
      <w:start w:val="1"/>
      <w:numFmt w:val="decimal"/>
      <w:lvlText w:val="%1."/>
      <w:lvlJc w:val="left"/>
      <w:pPr>
        <w:ind w:left="2748" w:hanging="480"/>
      </w:pPr>
    </w:lvl>
    <w:lvl w:ilvl="1">
      <w:start w:val="1"/>
      <w:numFmt w:val="ideographTraditional"/>
      <w:lvlText w:val="%2、"/>
      <w:lvlJc w:val="left"/>
      <w:pPr>
        <w:ind w:left="3228" w:hanging="480"/>
      </w:pPr>
    </w:lvl>
    <w:lvl w:ilvl="2">
      <w:start w:val="1"/>
      <w:numFmt w:val="lowerRoman"/>
      <w:lvlText w:val="%3."/>
      <w:lvlJc w:val="right"/>
      <w:pPr>
        <w:ind w:left="3708" w:hanging="480"/>
      </w:pPr>
    </w:lvl>
    <w:lvl w:ilvl="3">
      <w:start w:val="1"/>
      <w:numFmt w:val="decimal"/>
      <w:lvlText w:val="%4."/>
      <w:lvlJc w:val="left"/>
      <w:pPr>
        <w:ind w:left="4188" w:hanging="480"/>
      </w:pPr>
    </w:lvl>
    <w:lvl w:ilvl="4">
      <w:start w:val="1"/>
      <w:numFmt w:val="ideographTraditional"/>
      <w:lvlText w:val="%5、"/>
      <w:lvlJc w:val="left"/>
      <w:pPr>
        <w:ind w:left="4668" w:hanging="480"/>
      </w:pPr>
    </w:lvl>
    <w:lvl w:ilvl="5">
      <w:start w:val="1"/>
      <w:numFmt w:val="lowerRoman"/>
      <w:lvlText w:val="%6."/>
      <w:lvlJc w:val="right"/>
      <w:pPr>
        <w:ind w:left="5148" w:hanging="480"/>
      </w:pPr>
    </w:lvl>
    <w:lvl w:ilvl="6">
      <w:start w:val="1"/>
      <w:numFmt w:val="decimal"/>
      <w:lvlText w:val="%7."/>
      <w:lvlJc w:val="left"/>
      <w:pPr>
        <w:ind w:left="5628" w:hanging="480"/>
      </w:pPr>
    </w:lvl>
    <w:lvl w:ilvl="7">
      <w:start w:val="1"/>
      <w:numFmt w:val="ideographTraditional"/>
      <w:lvlText w:val="%8、"/>
      <w:lvlJc w:val="left"/>
      <w:pPr>
        <w:ind w:left="6108" w:hanging="480"/>
      </w:pPr>
    </w:lvl>
    <w:lvl w:ilvl="8">
      <w:start w:val="1"/>
      <w:numFmt w:val="lowerRoman"/>
      <w:lvlText w:val="%9."/>
      <w:lvlJc w:val="right"/>
      <w:pPr>
        <w:ind w:left="6588" w:hanging="480"/>
      </w:pPr>
    </w:lvl>
  </w:abstractNum>
  <w:abstractNum w:abstractNumId="9">
    <w:nsid w:val="5C4B6E2D"/>
    <w:multiLevelType w:val="multilevel"/>
    <w:tmpl w:val="141E1228"/>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F92243C"/>
    <w:multiLevelType w:val="multilevel"/>
    <w:tmpl w:val="B6B61454"/>
    <w:lvl w:ilvl="0">
      <w:start w:val="1"/>
      <w:numFmt w:val="taiwaneseCountingThousand"/>
      <w:lvlText w:val="%1、"/>
      <w:lvlJc w:val="left"/>
      <w:pPr>
        <w:ind w:left="1189" w:hanging="480"/>
      </w:pPr>
      <w:rPr>
        <w:rFonts w:ascii="標楷體" w:eastAsia="標楷體" w:hAnsi="標楷體" w:hint="default"/>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F1E6936"/>
    <w:multiLevelType w:val="multilevel"/>
    <w:tmpl w:val="01B0FD30"/>
    <w:lvl w:ilvl="0">
      <w:start w:val="1"/>
      <w:numFmt w:val="decimal"/>
      <w:lvlText w:val="%1."/>
      <w:lvlJc w:val="left"/>
      <w:pPr>
        <w:ind w:left="274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1"/>
  </w:num>
  <w:num w:numId="3">
    <w:abstractNumId w:val="10"/>
  </w:num>
  <w:num w:numId="4">
    <w:abstractNumId w:val="8"/>
  </w:num>
  <w:num w:numId="5">
    <w:abstractNumId w:val="4"/>
  </w:num>
  <w:num w:numId="6">
    <w:abstractNumId w:val="3"/>
  </w:num>
  <w:num w:numId="7">
    <w:abstractNumId w:val="0"/>
  </w:num>
  <w:num w:numId="8">
    <w:abstractNumId w:val="6"/>
  </w:num>
  <w:num w:numId="9">
    <w:abstractNumId w:val="5"/>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27AD1"/>
    <w:rsid w:val="000C42B0"/>
    <w:rsid w:val="000E7DCC"/>
    <w:rsid w:val="00133596"/>
    <w:rsid w:val="001705EB"/>
    <w:rsid w:val="00223603"/>
    <w:rsid w:val="0032756C"/>
    <w:rsid w:val="00355BC5"/>
    <w:rsid w:val="00374F79"/>
    <w:rsid w:val="00426BE5"/>
    <w:rsid w:val="00476C0B"/>
    <w:rsid w:val="00481EAA"/>
    <w:rsid w:val="00496276"/>
    <w:rsid w:val="005901CE"/>
    <w:rsid w:val="005A1C08"/>
    <w:rsid w:val="005F3F3F"/>
    <w:rsid w:val="00627AD1"/>
    <w:rsid w:val="006523BE"/>
    <w:rsid w:val="006F0E23"/>
    <w:rsid w:val="00700C0D"/>
    <w:rsid w:val="007A5010"/>
    <w:rsid w:val="00885210"/>
    <w:rsid w:val="009E3AB5"/>
    <w:rsid w:val="009E6933"/>
    <w:rsid w:val="00A814A3"/>
    <w:rsid w:val="00B03C8E"/>
    <w:rsid w:val="00B21725"/>
    <w:rsid w:val="00B82DD3"/>
    <w:rsid w:val="00C045A3"/>
    <w:rsid w:val="00C37C59"/>
    <w:rsid w:val="00C57D91"/>
    <w:rsid w:val="00CB66DD"/>
    <w:rsid w:val="00CD4EAE"/>
    <w:rsid w:val="00D61A31"/>
    <w:rsid w:val="00DF1828"/>
    <w:rsid w:val="00DF2CFE"/>
    <w:rsid w:val="00E34E14"/>
    <w:rsid w:val="00E44CC5"/>
    <w:rsid w:val="00E83003"/>
    <w:rsid w:val="00F4754C"/>
    <w:rsid w:val="00F60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a6">
    <w:name w:val="Body Text"/>
    <w:basedOn w:val="a"/>
    <w:pPr>
      <w:snapToGrid w:val="0"/>
      <w:spacing w:line="360" w:lineRule="auto"/>
      <w:jc w:val="center"/>
    </w:pPr>
    <w:rPr>
      <w:rFonts w:ascii="標楷體" w:eastAsia="標楷體" w:hAnsi="標楷體"/>
      <w:sz w:val="32"/>
    </w:rPr>
  </w:style>
  <w:style w:type="paragraph" w:styleId="a7">
    <w:name w:val="header"/>
    <w:basedOn w:val="a"/>
    <w:pPr>
      <w:tabs>
        <w:tab w:val="center" w:pos="4153"/>
        <w:tab w:val="right" w:pos="8306"/>
      </w:tabs>
      <w:snapToGrid w:val="0"/>
    </w:pPr>
    <w:rPr>
      <w:sz w:val="20"/>
      <w:szCs w:val="20"/>
    </w:rPr>
  </w:style>
  <w:style w:type="character" w:styleId="HTML">
    <w:name w:val="HTML Typewriter"/>
    <w:rPr>
      <w:rFonts w:ascii="細明體" w:eastAsia="細明體" w:hAnsi="細明體" w:cs="細明體"/>
      <w:sz w:val="24"/>
      <w:szCs w:val="24"/>
    </w:rPr>
  </w:style>
  <w:style w:type="paragraph" w:styleId="Web">
    <w:name w:val="Normal (Web)"/>
    <w:basedOn w:val="a"/>
    <w:pPr>
      <w:widowControl/>
      <w:spacing w:before="100" w:after="100"/>
    </w:pPr>
    <w:rPr>
      <w:rFonts w:ascii="新細明體" w:hAnsi="新細明體" w:cs="新細明體"/>
      <w:color w:val="000000"/>
      <w:kern w:val="0"/>
    </w:rPr>
  </w:style>
  <w:style w:type="paragraph" w:styleId="a8">
    <w:name w:val="caption"/>
    <w:basedOn w:val="a"/>
    <w:next w:val="a"/>
    <w:pPr>
      <w:tabs>
        <w:tab w:val="left" w:pos="720"/>
      </w:tabs>
      <w:ind w:left="360"/>
      <w:jc w:val="center"/>
    </w:pPr>
    <w:rPr>
      <w:rFonts w:ascii="Monotype Corsiva" w:hAnsi="Monotype Corsiva"/>
      <w:sz w:val="28"/>
    </w:rPr>
  </w:style>
  <w:style w:type="character" w:styleId="a9">
    <w:name w:val="annotation reference"/>
    <w:rPr>
      <w:sz w:val="18"/>
      <w:szCs w:val="18"/>
    </w:rPr>
  </w:style>
  <w:style w:type="paragraph" w:styleId="aa">
    <w:name w:val="annotation text"/>
    <w:basedOn w:val="a"/>
  </w:style>
  <w:style w:type="paragraph" w:styleId="ab">
    <w:name w:val="annotation subject"/>
    <w:basedOn w:val="aa"/>
    <w:next w:val="aa"/>
    <w:rPr>
      <w:b/>
      <w:bCs/>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paragraph" w:styleId="ae">
    <w:name w:val="Plain Text"/>
    <w:basedOn w:val="a"/>
    <w:rPr>
      <w:rFonts w:ascii="細明體" w:eastAsia="細明體" w:hAnsi="細明體"/>
      <w:szCs w:val="20"/>
    </w:rPr>
  </w:style>
  <w:style w:type="paragraph" w:styleId="af">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a6">
    <w:name w:val="Body Text"/>
    <w:basedOn w:val="a"/>
    <w:pPr>
      <w:snapToGrid w:val="0"/>
      <w:spacing w:line="360" w:lineRule="auto"/>
      <w:jc w:val="center"/>
    </w:pPr>
    <w:rPr>
      <w:rFonts w:ascii="標楷體" w:eastAsia="標楷體" w:hAnsi="標楷體"/>
      <w:sz w:val="32"/>
    </w:rPr>
  </w:style>
  <w:style w:type="paragraph" w:styleId="a7">
    <w:name w:val="header"/>
    <w:basedOn w:val="a"/>
    <w:pPr>
      <w:tabs>
        <w:tab w:val="center" w:pos="4153"/>
        <w:tab w:val="right" w:pos="8306"/>
      </w:tabs>
      <w:snapToGrid w:val="0"/>
    </w:pPr>
    <w:rPr>
      <w:sz w:val="20"/>
      <w:szCs w:val="20"/>
    </w:rPr>
  </w:style>
  <w:style w:type="character" w:styleId="HTML">
    <w:name w:val="HTML Typewriter"/>
    <w:rPr>
      <w:rFonts w:ascii="細明體" w:eastAsia="細明體" w:hAnsi="細明體" w:cs="細明體"/>
      <w:sz w:val="24"/>
      <w:szCs w:val="24"/>
    </w:rPr>
  </w:style>
  <w:style w:type="paragraph" w:styleId="Web">
    <w:name w:val="Normal (Web)"/>
    <w:basedOn w:val="a"/>
    <w:pPr>
      <w:widowControl/>
      <w:spacing w:before="100" w:after="100"/>
    </w:pPr>
    <w:rPr>
      <w:rFonts w:ascii="新細明體" w:hAnsi="新細明體" w:cs="新細明體"/>
      <w:color w:val="000000"/>
      <w:kern w:val="0"/>
    </w:rPr>
  </w:style>
  <w:style w:type="paragraph" w:styleId="a8">
    <w:name w:val="caption"/>
    <w:basedOn w:val="a"/>
    <w:next w:val="a"/>
    <w:pPr>
      <w:tabs>
        <w:tab w:val="left" w:pos="720"/>
      </w:tabs>
      <w:ind w:left="360"/>
      <w:jc w:val="center"/>
    </w:pPr>
    <w:rPr>
      <w:rFonts w:ascii="Monotype Corsiva" w:hAnsi="Monotype Corsiva"/>
      <w:sz w:val="28"/>
    </w:rPr>
  </w:style>
  <w:style w:type="character" w:styleId="a9">
    <w:name w:val="annotation reference"/>
    <w:rPr>
      <w:sz w:val="18"/>
      <w:szCs w:val="18"/>
    </w:rPr>
  </w:style>
  <w:style w:type="paragraph" w:styleId="aa">
    <w:name w:val="annotation text"/>
    <w:basedOn w:val="a"/>
  </w:style>
  <w:style w:type="paragraph" w:styleId="ab">
    <w:name w:val="annotation subject"/>
    <w:basedOn w:val="aa"/>
    <w:next w:val="aa"/>
    <w:rPr>
      <w:b/>
      <w:bCs/>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paragraph" w:styleId="ae">
    <w:name w:val="Plain Text"/>
    <w:basedOn w:val="a"/>
    <w:rPr>
      <w:rFonts w:ascii="細明體" w:eastAsia="細明體" w:hAnsi="細明體"/>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B153-BF60-4861-BDC3-70A83850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Words>
  <Characters>2463</Characters>
  <Application>Microsoft Office Word</Application>
  <DocSecurity>0</DocSecurity>
  <Lines>20</Lines>
  <Paragraphs>5</Paragraphs>
  <ScaleCrop>false</ScaleCrop>
  <Company>DOH</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台灣地區醫院協會　 函</dc:title>
  <dc:creator>SuperXP</dc:creator>
  <cp:lastModifiedBy>黃奕瑄</cp:lastModifiedBy>
  <cp:revision>2</cp:revision>
  <cp:lastPrinted>2017-01-06T07:11:00Z</cp:lastPrinted>
  <dcterms:created xsi:type="dcterms:W3CDTF">2017-01-17T00:08:00Z</dcterms:created>
  <dcterms:modified xsi:type="dcterms:W3CDTF">2017-01-17T00:08:00Z</dcterms:modified>
</cp:coreProperties>
</file>