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7791" w14:textId="77777777" w:rsidR="000257EE" w:rsidRPr="008912DD" w:rsidRDefault="003669B2" w:rsidP="00AA0EEE">
      <w:pPr>
        <w:pStyle w:val="aff4"/>
        <w:rPr>
          <w:rFonts w:ascii="Times New Roman" w:hAnsi="Times New Roman"/>
        </w:rPr>
      </w:pPr>
      <w:bookmarkStart w:id="0" w:name="_Toc148604469"/>
      <w:r w:rsidRPr="008912DD">
        <w:rPr>
          <w:rFonts w:ascii="Times New Roman" w:hAnsi="Times New Roman"/>
        </w:rPr>
        <w:t>貳、</w:t>
      </w:r>
      <w:r w:rsidR="00274757" w:rsidRPr="008912DD">
        <w:rPr>
          <w:rFonts w:ascii="Times New Roman" w:hAnsi="Times New Roman"/>
        </w:rPr>
        <w:t>各科審查注意事項：</w:t>
      </w:r>
      <w:bookmarkEnd w:id="0"/>
    </w:p>
    <w:p w14:paraId="27ACC2A1" w14:textId="77777777" w:rsidR="000257EE" w:rsidRPr="008912DD" w:rsidRDefault="00274757" w:rsidP="00AA0EEE">
      <w:pPr>
        <w:pStyle w:val="aff6"/>
        <w:rPr>
          <w:rFonts w:ascii="Times New Roman" w:hAnsi="Times New Roman"/>
        </w:rPr>
      </w:pPr>
      <w:bookmarkStart w:id="1" w:name="_Toc148604470"/>
      <w:r w:rsidRPr="008912DD">
        <w:rPr>
          <w:rFonts w:ascii="Times New Roman" w:hAnsi="Times New Roman"/>
        </w:rPr>
        <w:t>一、</w:t>
      </w:r>
      <w:r w:rsidR="008A68DC" w:rsidRPr="008912DD">
        <w:rPr>
          <w:rFonts w:ascii="Times New Roman" w:hAnsi="Times New Roman"/>
        </w:rPr>
        <w:t>西醫基層醫療費用審查注意事項</w:t>
      </w:r>
      <w:r w:rsidR="00B059B0" w:rsidRPr="008912DD">
        <w:rPr>
          <w:rFonts w:ascii="Times New Roman" w:hAnsi="Times New Roman"/>
        </w:rPr>
        <w:t>-</w:t>
      </w:r>
      <w:r w:rsidRPr="008912DD">
        <w:rPr>
          <w:rFonts w:ascii="Times New Roman" w:hAnsi="Times New Roman"/>
        </w:rPr>
        <w:t>家庭醫學科</w:t>
      </w:r>
      <w:bookmarkEnd w:id="1"/>
    </w:p>
    <w:p w14:paraId="29B362DF" w14:textId="77777777" w:rsidR="000257EE" w:rsidRPr="008912DD" w:rsidRDefault="00274757" w:rsidP="00AA0EEE">
      <w:pPr>
        <w:snapToGrid w:val="0"/>
        <w:spacing w:line="600" w:lineRule="exact"/>
        <w:ind w:left="240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proofErr w:type="gramStart"/>
      <w:r w:rsidRPr="008912DD">
        <w:rPr>
          <w:rFonts w:ascii="Times New Roman" w:eastAsia="標楷體" w:hAnsi="Times New Roman"/>
          <w:sz w:val="28"/>
        </w:rPr>
        <w:t>一</w:t>
      </w:r>
      <w:proofErr w:type="gramEnd"/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門診部分審查原則：</w:t>
      </w:r>
    </w:p>
    <w:p w14:paraId="61E4CA52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r w:rsidRPr="008912DD">
        <w:rPr>
          <w:rFonts w:ascii="Times New Roman" w:eastAsia="標楷體" w:hAnsi="Times New Roman"/>
          <w:sz w:val="28"/>
        </w:rPr>
        <w:t>門診處方用藥之審查，依健保用藥之相關規定，進行詳細審查。除應注意用藥之適應症外，也須注意使用之劑量與期間長短是否恰當。</w:t>
      </w:r>
    </w:p>
    <w:p w14:paraId="2132864E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Pr="008912DD">
        <w:rPr>
          <w:rFonts w:ascii="Times New Roman" w:eastAsia="標楷體" w:hAnsi="Times New Roman"/>
          <w:sz w:val="28"/>
        </w:rPr>
        <w:t>抗生素使用原則：</w:t>
      </w:r>
      <w:r w:rsidR="00C54EE9"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97/6/1</w:t>
      </w:r>
      <w:r w:rsidR="00C54EE9" w:rsidRPr="008912DD">
        <w:rPr>
          <w:rFonts w:ascii="Times New Roman" w:eastAsia="標楷體" w:hAnsi="Times New Roman"/>
          <w:sz w:val="28"/>
        </w:rPr>
        <w:t>)</w:t>
      </w:r>
    </w:p>
    <w:p w14:paraId="2A5721FF" w14:textId="77777777" w:rsidR="000257EE" w:rsidRPr="008912DD" w:rsidRDefault="00274757" w:rsidP="00AA0EEE">
      <w:pPr>
        <w:snapToGrid w:val="0"/>
        <w:spacing w:line="600" w:lineRule="exact"/>
        <w:ind w:left="1526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(1)</w:t>
      </w:r>
      <w:r w:rsidRPr="008912DD">
        <w:rPr>
          <w:rFonts w:ascii="Times New Roman" w:eastAsia="標楷體" w:hAnsi="Times New Roman"/>
          <w:sz w:val="28"/>
          <w:szCs w:val="28"/>
        </w:rPr>
        <w:t>對使用第一線以外之抗生素、多種抗生素、或其他高價藥物，應附此次使用抗生素之過程病歷。但符合藥品給付規定</w:t>
      </w:r>
      <w:r w:rsidRPr="008912DD">
        <w:rPr>
          <w:rFonts w:ascii="Times New Roman" w:eastAsia="標楷體" w:hAnsi="Times New Roman"/>
          <w:sz w:val="28"/>
          <w:szCs w:val="28"/>
        </w:rPr>
        <w:t xml:space="preserve">10.2 </w:t>
      </w:r>
      <w:proofErr w:type="spellStart"/>
      <w:r w:rsidRPr="008912DD">
        <w:rPr>
          <w:rFonts w:ascii="Times New Roman" w:eastAsia="標楷體" w:hAnsi="Times New Roman"/>
          <w:sz w:val="28"/>
          <w:szCs w:val="28"/>
        </w:rPr>
        <w:t>Penicillins</w:t>
      </w:r>
      <w:proofErr w:type="spellEnd"/>
      <w:r w:rsidRPr="008912DD">
        <w:rPr>
          <w:rFonts w:ascii="Times New Roman" w:eastAsia="標楷體" w:hAnsi="Times New Roman"/>
          <w:sz w:val="28"/>
          <w:szCs w:val="28"/>
        </w:rPr>
        <w:t xml:space="preserve"> &amp; 10.3 Cephalosporins</w:t>
      </w:r>
      <w:r w:rsidRPr="008912DD">
        <w:rPr>
          <w:rFonts w:ascii="Times New Roman" w:eastAsia="標楷體" w:hAnsi="Times New Roman"/>
          <w:sz w:val="28"/>
          <w:szCs w:val="28"/>
        </w:rPr>
        <w:t>之使用適應症者不在此限。</w:t>
      </w:r>
      <w:r w:rsidRPr="008912DD">
        <w:rPr>
          <w:rFonts w:ascii="Times New Roman" w:eastAsia="標楷體" w:hAnsi="Times New Roman"/>
          <w:sz w:val="28"/>
          <w:szCs w:val="28"/>
        </w:rPr>
        <w:t>(100/1/1) (102/3/1)</w:t>
      </w:r>
    </w:p>
    <w:p w14:paraId="6BC00E4C" w14:textId="77777777" w:rsidR="000257EE" w:rsidRPr="008912DD" w:rsidRDefault="00274757" w:rsidP="00AA0EEE">
      <w:pPr>
        <w:snapToGrid w:val="0"/>
        <w:spacing w:line="600" w:lineRule="exact"/>
        <w:ind w:left="1526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(2)</w:t>
      </w:r>
      <w:r w:rsidRPr="008912DD">
        <w:rPr>
          <w:rFonts w:ascii="Times New Roman" w:eastAsia="標楷體" w:hAnsi="Times New Roman"/>
          <w:sz w:val="28"/>
        </w:rPr>
        <w:t>刪除</w:t>
      </w:r>
      <w:r w:rsidRPr="008912DD">
        <w:rPr>
          <w:rFonts w:ascii="Times New Roman" w:eastAsia="標楷體" w:hAnsi="Times New Roman"/>
          <w:sz w:val="28"/>
          <w:szCs w:val="28"/>
        </w:rPr>
        <w:t>(100/1/1)</w:t>
      </w:r>
    </w:p>
    <w:p w14:paraId="41F17192" w14:textId="77777777" w:rsidR="000257EE" w:rsidRPr="008912DD" w:rsidRDefault="00274757" w:rsidP="00AA0EEE">
      <w:pPr>
        <w:snapToGrid w:val="0"/>
        <w:spacing w:line="600" w:lineRule="exact"/>
        <w:ind w:left="1524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(3)</w:t>
      </w:r>
      <w:r w:rsidRPr="008912DD">
        <w:rPr>
          <w:rFonts w:ascii="Times New Roman" w:eastAsia="標楷體" w:hAnsi="Times New Roman"/>
          <w:sz w:val="28"/>
        </w:rPr>
        <w:t>刪除</w:t>
      </w:r>
      <w:r w:rsidRPr="008912DD">
        <w:rPr>
          <w:rFonts w:ascii="Times New Roman" w:eastAsia="標楷體" w:hAnsi="Times New Roman"/>
          <w:sz w:val="28"/>
          <w:szCs w:val="28"/>
        </w:rPr>
        <w:t>(100/1/1)</w:t>
      </w:r>
    </w:p>
    <w:p w14:paraId="669EC088" w14:textId="77777777" w:rsidR="000257EE" w:rsidRPr="008912DD" w:rsidRDefault="00274757" w:rsidP="00AA0EEE">
      <w:pPr>
        <w:pStyle w:val="20"/>
        <w:snapToGrid w:val="0"/>
        <w:spacing w:line="600" w:lineRule="exact"/>
        <w:ind w:left="1134" w:hanging="306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3.</w:t>
      </w:r>
      <w:r w:rsidR="00CD11A5" w:rsidRPr="008912DD">
        <w:rPr>
          <w:rFonts w:ascii="Times New Roman" w:eastAsia="標楷體" w:hAnsi="Times New Roman"/>
          <w:sz w:val="28"/>
          <w:szCs w:val="28"/>
        </w:rPr>
        <w:t xml:space="preserve"> </w:t>
      </w:r>
      <w:r w:rsidR="00CD11A5" w:rsidRPr="008912DD">
        <w:rPr>
          <w:rFonts w:ascii="Times New Roman" w:eastAsia="標楷體" w:hAnsi="Times New Roman"/>
          <w:sz w:val="28"/>
          <w:szCs w:val="28"/>
        </w:rPr>
        <w:t>類固醇藥物之使用應確定為病人病情之所需，且應有詳實之病歷記載。</w:t>
      </w:r>
      <w:proofErr w:type="gramStart"/>
      <w:r w:rsidR="00CD11A5" w:rsidRPr="008912DD">
        <w:rPr>
          <w:rFonts w:ascii="Times New Roman" w:eastAsia="標楷體" w:hAnsi="Times New Roman"/>
          <w:sz w:val="28"/>
          <w:szCs w:val="28"/>
        </w:rPr>
        <w:t>類固醇鼻噴劑</w:t>
      </w:r>
      <w:proofErr w:type="gramEnd"/>
      <w:r w:rsidR="00CD11A5" w:rsidRPr="008912DD">
        <w:rPr>
          <w:rFonts w:ascii="Times New Roman" w:eastAsia="標楷體" w:hAnsi="Times New Roman"/>
          <w:sz w:val="28"/>
          <w:szCs w:val="28"/>
        </w:rPr>
        <w:t>之開立，一個月以</w:t>
      </w:r>
      <w:r w:rsidR="00CD11A5" w:rsidRPr="008912DD">
        <w:rPr>
          <w:rFonts w:ascii="Times New Roman" w:eastAsia="標楷體" w:hAnsi="Times New Roman"/>
          <w:sz w:val="28"/>
          <w:szCs w:val="28"/>
        </w:rPr>
        <w:t>1~2</w:t>
      </w:r>
      <w:r w:rsidR="00CD11A5" w:rsidRPr="008912DD">
        <w:rPr>
          <w:rFonts w:ascii="Times New Roman" w:eastAsia="標楷體" w:hAnsi="Times New Roman"/>
          <w:sz w:val="28"/>
          <w:szCs w:val="28"/>
        </w:rPr>
        <w:t>瓶為原則。</w:t>
      </w:r>
      <w:r w:rsidR="00CD11A5"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734D2115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4.</w:t>
      </w:r>
      <w:r w:rsidRPr="008912DD">
        <w:rPr>
          <w:rFonts w:ascii="Times New Roman" w:eastAsia="標楷體" w:hAnsi="Times New Roman"/>
          <w:sz w:val="28"/>
        </w:rPr>
        <w:t>其他有關之審查原則：</w:t>
      </w:r>
    </w:p>
    <w:p w14:paraId="70FB103F" w14:textId="77777777" w:rsidR="000257EE" w:rsidRPr="008912DD" w:rsidRDefault="00274757" w:rsidP="00AA0EEE">
      <w:pPr>
        <w:snapToGrid w:val="0"/>
        <w:spacing w:line="600" w:lineRule="exact"/>
        <w:ind w:left="1526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(1)</w:t>
      </w:r>
      <w:r w:rsidRPr="008912DD">
        <w:rPr>
          <w:rFonts w:ascii="Times New Roman" w:eastAsia="標楷體" w:hAnsi="Times New Roman"/>
          <w:sz w:val="28"/>
        </w:rPr>
        <w:t>維生素及</w:t>
      </w:r>
      <w:proofErr w:type="gramStart"/>
      <w:r w:rsidRPr="008912DD">
        <w:rPr>
          <w:rFonts w:ascii="Times New Roman" w:eastAsia="標楷體" w:hAnsi="Times New Roman"/>
          <w:sz w:val="28"/>
        </w:rPr>
        <w:t>鐵劑之醣漿</w:t>
      </w:r>
      <w:proofErr w:type="gramEnd"/>
      <w:r w:rsidRPr="008912DD">
        <w:rPr>
          <w:rFonts w:ascii="Times New Roman" w:eastAsia="標楷體" w:hAnsi="Times New Roman"/>
          <w:sz w:val="28"/>
        </w:rPr>
        <w:t>製劑，應只限定於治療性使用</w:t>
      </w: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如：早產兒、缺鐵性貧血等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。</w:t>
      </w:r>
    </w:p>
    <w:p w14:paraId="6AAB3732" w14:textId="77777777" w:rsidR="000257EE" w:rsidRPr="008912DD" w:rsidRDefault="00274757" w:rsidP="00AA0EEE">
      <w:pPr>
        <w:snapToGrid w:val="0"/>
        <w:spacing w:line="600" w:lineRule="exact"/>
        <w:ind w:left="1526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(2)</w:t>
      </w:r>
      <w:r w:rsidRPr="008912DD">
        <w:rPr>
          <w:rFonts w:ascii="Times New Roman" w:eastAsia="標楷體" w:hAnsi="Times New Roman"/>
          <w:sz w:val="28"/>
        </w:rPr>
        <w:t>應加強審查不正常浮濫使用高價藥品之院所，一般以非類固醇抗發炎藥物類、糖尿病之口服降血糖藥物、微循環促進劑、抗生素、制酸劑及抗巴金森氏症等類藥物容易發生使用不合常理之情形，</w:t>
      </w:r>
      <w:proofErr w:type="gramStart"/>
      <w:r w:rsidRPr="008912DD">
        <w:rPr>
          <w:rFonts w:ascii="Times New Roman" w:eastAsia="標楷體" w:hAnsi="Times New Roman"/>
          <w:sz w:val="28"/>
        </w:rPr>
        <w:t>即此院所</w:t>
      </w:r>
      <w:proofErr w:type="gramEnd"/>
      <w:r w:rsidRPr="008912DD">
        <w:rPr>
          <w:rFonts w:ascii="Times New Roman" w:eastAsia="標楷體" w:hAnsi="Times New Roman"/>
          <w:sz w:val="28"/>
        </w:rPr>
        <w:t>之所有病例均使用高價藥品而不見一般常用之低價療效相近藥物。</w:t>
      </w:r>
    </w:p>
    <w:p w14:paraId="4571722C" w14:textId="77777777" w:rsidR="000257EE" w:rsidRPr="008912DD" w:rsidRDefault="00274757" w:rsidP="00AA0EEE">
      <w:pPr>
        <w:snapToGrid w:val="0"/>
        <w:spacing w:line="600" w:lineRule="exact"/>
        <w:ind w:left="10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(3)</w:t>
      </w:r>
      <w:r w:rsidRPr="008912DD">
        <w:rPr>
          <w:rFonts w:ascii="Times New Roman" w:eastAsia="標楷體" w:hAnsi="Times New Roman"/>
          <w:sz w:val="28"/>
        </w:rPr>
        <w:t>對使用維生素、止痛劑、類固醇之注射劑應嚴格審查。</w:t>
      </w:r>
    </w:p>
    <w:p w14:paraId="2C35E93D" w14:textId="77777777" w:rsidR="000257EE" w:rsidRPr="008912DD" w:rsidRDefault="00274757" w:rsidP="00AA0EEE">
      <w:pPr>
        <w:pageBreakBefore/>
        <w:snapToGrid w:val="0"/>
        <w:spacing w:line="600" w:lineRule="exact"/>
        <w:ind w:left="10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lastRenderedPageBreak/>
        <w:t>(4)</w:t>
      </w:r>
      <w:r w:rsidRPr="008912DD">
        <w:rPr>
          <w:rFonts w:ascii="Times New Roman" w:eastAsia="標楷體" w:hAnsi="Times New Roman"/>
          <w:kern w:val="3"/>
          <w:sz w:val="28"/>
        </w:rPr>
        <w:t>注意功能相同之藥物重複使用。</w:t>
      </w:r>
    </w:p>
    <w:p w14:paraId="2B41882D" w14:textId="77777777" w:rsidR="000257EE" w:rsidRPr="008912DD" w:rsidRDefault="00274757" w:rsidP="00AA0EEE">
      <w:pPr>
        <w:snapToGrid w:val="0"/>
        <w:spacing w:line="600" w:lineRule="exact"/>
        <w:ind w:left="1526" w:hanging="42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(5)</w:t>
      </w:r>
      <w:r w:rsidRPr="008912DD">
        <w:rPr>
          <w:rFonts w:ascii="Times New Roman" w:eastAsia="標楷體" w:hAnsi="Times New Roman"/>
          <w:kern w:val="3"/>
          <w:sz w:val="28"/>
        </w:rPr>
        <w:t>注意慢性病處方中，是否有同時開立使用天數過長之非慢性病用藥。</w:t>
      </w:r>
    </w:p>
    <w:p w14:paraId="0C11F6F9" w14:textId="77777777" w:rsidR="000257EE" w:rsidRPr="008912DD" w:rsidRDefault="00274757" w:rsidP="00AA0EEE">
      <w:pPr>
        <w:snapToGrid w:val="0"/>
        <w:spacing w:line="600" w:lineRule="exact"/>
        <w:ind w:left="1526" w:hanging="42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(6)</w:t>
      </w:r>
      <w:r w:rsidRPr="008912DD">
        <w:rPr>
          <w:rFonts w:ascii="Times New Roman" w:eastAsia="標楷體" w:hAnsi="Times New Roman"/>
          <w:kern w:val="3"/>
          <w:sz w:val="28"/>
        </w:rPr>
        <w:t>必要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時得調閱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病歷影本參考。</w:t>
      </w:r>
    </w:p>
    <w:p w14:paraId="283C7305" w14:textId="77777777" w:rsidR="000257EE" w:rsidRPr="008912DD" w:rsidRDefault="00274757" w:rsidP="00AA0EEE">
      <w:pPr>
        <w:snapToGrid w:val="0"/>
        <w:spacing w:line="600" w:lineRule="exact"/>
        <w:ind w:left="1526" w:hanging="42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(7)</w:t>
      </w:r>
      <w:r w:rsidRPr="008912DD">
        <w:rPr>
          <w:rFonts w:ascii="Times New Roman" w:eastAsia="標楷體" w:hAnsi="Times New Roman"/>
          <w:kern w:val="3"/>
          <w:sz w:val="28"/>
        </w:rPr>
        <w:t>病患因病情需要予以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備血未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使用時，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備血之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交叉試驗以不超過兩次為原則，並應附檢驗報告，申報費用時須註明「備用血」。備用之輸血套以一副為原則。</w:t>
      </w:r>
    </w:p>
    <w:p w14:paraId="32154203" w14:textId="77777777" w:rsidR="000257EE" w:rsidRPr="008912DD" w:rsidRDefault="00274757" w:rsidP="00AA0EEE">
      <w:pPr>
        <w:tabs>
          <w:tab w:val="left" w:pos="5670"/>
        </w:tabs>
        <w:snapToGrid w:val="0"/>
        <w:spacing w:line="600" w:lineRule="exact"/>
        <w:ind w:left="1560" w:hanging="454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(8)</w:t>
      </w:r>
      <w:r w:rsidRPr="008912DD">
        <w:rPr>
          <w:rFonts w:ascii="Times New Roman" w:eastAsia="標楷體" w:hAnsi="Times New Roman"/>
          <w:kern w:val="3"/>
          <w:sz w:val="28"/>
        </w:rPr>
        <w:t>傷口之處置、換藥，其傷口面積之計算，係將全身劃分為頭頸部、</w:t>
      </w:r>
      <w:r w:rsidR="00A61173" w:rsidRPr="008912DD">
        <w:rPr>
          <w:rFonts w:ascii="Times New Roman" w:eastAsia="標楷體" w:hAnsi="Times New Roman"/>
          <w:kern w:val="3"/>
          <w:sz w:val="28"/>
        </w:rPr>
        <w:t>軀幹前、軀幹後</w:t>
      </w:r>
      <w:r w:rsidRPr="008912DD">
        <w:rPr>
          <w:rFonts w:ascii="Times New Roman" w:eastAsia="標楷體" w:hAnsi="Times New Roman"/>
          <w:kern w:val="3"/>
          <w:sz w:val="28"/>
        </w:rPr>
        <w:t>、四個肢體共</w:t>
      </w:r>
      <w:r w:rsidR="00A61173" w:rsidRPr="008912DD">
        <w:rPr>
          <w:rFonts w:ascii="Times New Roman" w:eastAsia="標楷體" w:hAnsi="Times New Roman"/>
          <w:kern w:val="3"/>
          <w:sz w:val="28"/>
        </w:rPr>
        <w:t>七</w:t>
      </w:r>
      <w:r w:rsidRPr="008912DD">
        <w:rPr>
          <w:rFonts w:ascii="Times New Roman" w:eastAsia="標楷體" w:hAnsi="Times New Roman"/>
          <w:kern w:val="3"/>
          <w:sz w:val="28"/>
        </w:rPr>
        <w:t>區，同一區域之傷口長度或面積應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併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計核算；申報創傷處置，應符合「</w:t>
      </w:r>
      <w:r w:rsidRPr="008912DD">
        <w:rPr>
          <w:rFonts w:ascii="Times New Roman" w:eastAsia="標楷體" w:hAnsi="Times New Roman"/>
          <w:sz w:val="28"/>
          <w:szCs w:val="28"/>
        </w:rPr>
        <w:t>全民健康保險醫療服務給付項目及支付標準</w:t>
      </w:r>
      <w:r w:rsidRPr="008912DD">
        <w:rPr>
          <w:rFonts w:ascii="Times New Roman" w:eastAsia="標楷體" w:hAnsi="Times New Roman"/>
          <w:kern w:val="3"/>
          <w:sz w:val="28"/>
        </w:rPr>
        <w:t>」「創傷處置」之規定，並附圖示；</w:t>
      </w:r>
      <w:r w:rsidRPr="008912DD">
        <w:rPr>
          <w:rFonts w:ascii="Times New Roman" w:eastAsia="標楷體" w:hAnsi="Times New Roman"/>
          <w:sz w:val="28"/>
          <w:szCs w:val="28"/>
        </w:rPr>
        <w:t>申報深部複雜創傷處置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48004C</w:t>
      </w:r>
      <w:r w:rsidRPr="008912DD">
        <w:rPr>
          <w:rFonts w:ascii="Times New Roman" w:eastAsia="標楷體" w:hAnsi="Times New Roman"/>
          <w:sz w:val="28"/>
          <w:szCs w:val="28"/>
        </w:rPr>
        <w:t>－</w:t>
      </w:r>
      <w:r w:rsidRPr="008912DD">
        <w:rPr>
          <w:rFonts w:ascii="Times New Roman" w:eastAsia="標楷體" w:hAnsi="Times New Roman"/>
          <w:sz w:val="28"/>
          <w:szCs w:val="28"/>
        </w:rPr>
        <w:t>48006C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，應檢附彩色照片，乳房及會陰部以及臉部傷口可以詳細繪圖指示或說明；申報臉部創傷處理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48022C</w:t>
      </w:r>
      <w:r w:rsidRPr="008912DD">
        <w:rPr>
          <w:rFonts w:ascii="Times New Roman" w:eastAsia="標楷體" w:hAnsi="Times New Roman"/>
          <w:sz w:val="28"/>
          <w:szCs w:val="28"/>
        </w:rPr>
        <w:t>－</w:t>
      </w:r>
      <w:r w:rsidRPr="008912DD">
        <w:rPr>
          <w:rFonts w:ascii="Times New Roman" w:eastAsia="標楷體" w:hAnsi="Times New Roman"/>
          <w:sz w:val="28"/>
          <w:szCs w:val="28"/>
        </w:rPr>
        <w:t>48024C</w:t>
      </w:r>
      <w:r w:rsidRPr="008912DD">
        <w:rPr>
          <w:rFonts w:ascii="Times New Roman" w:eastAsia="標楷體" w:hAnsi="Times New Roman"/>
          <w:sz w:val="28"/>
          <w:szCs w:val="28"/>
        </w:rPr>
        <w:t>，</w:t>
      </w:r>
      <w:r w:rsidRPr="008912DD">
        <w:rPr>
          <w:rFonts w:ascii="Times New Roman" w:eastAsia="標楷體" w:hAnsi="Times New Roman"/>
          <w:sz w:val="28"/>
          <w:szCs w:val="28"/>
        </w:rPr>
        <w:t>48033C</w:t>
      </w:r>
      <w:r w:rsidRPr="008912DD">
        <w:rPr>
          <w:rFonts w:ascii="Times New Roman" w:eastAsia="標楷體" w:hAnsi="Times New Roman"/>
          <w:sz w:val="28"/>
          <w:szCs w:val="28"/>
        </w:rPr>
        <w:t>－</w:t>
      </w:r>
      <w:r w:rsidRPr="008912DD">
        <w:rPr>
          <w:rFonts w:ascii="Times New Roman" w:eastAsia="標楷體" w:hAnsi="Times New Roman"/>
          <w:sz w:val="28"/>
          <w:szCs w:val="28"/>
        </w:rPr>
        <w:t>48035C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，須於病歷詳細繪圖指示說明，並檢附彩色相片為原則，如有困難另行詳述說明。</w:t>
      </w:r>
      <w:r w:rsidRPr="008912DD">
        <w:rPr>
          <w:rFonts w:ascii="Times New Roman" w:eastAsia="標楷體" w:hAnsi="Times New Roman"/>
          <w:sz w:val="28"/>
          <w:szCs w:val="28"/>
        </w:rPr>
        <w:t>(97/5/1) (102/3/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1)</w:t>
      </w:r>
      <w:r w:rsidR="00D762C7" w:rsidRPr="008912DD">
        <w:rPr>
          <w:rFonts w:ascii="Times New Roman" w:eastAsia="標楷體" w:hAnsi="Times New Roman"/>
          <w:sz w:val="28"/>
          <w:szCs w:val="28"/>
        </w:rPr>
        <w:t>(</w:t>
      </w:r>
      <w:proofErr w:type="gramEnd"/>
      <w:r w:rsidR="00D762C7" w:rsidRPr="008912DD">
        <w:rPr>
          <w:rFonts w:ascii="Times New Roman" w:eastAsia="標楷體" w:hAnsi="Times New Roman"/>
          <w:sz w:val="28"/>
          <w:szCs w:val="28"/>
        </w:rPr>
        <w:t>106/1/1)</w:t>
      </w:r>
    </w:p>
    <w:p w14:paraId="74923398" w14:textId="77777777" w:rsidR="000257EE" w:rsidRPr="008912DD" w:rsidRDefault="00274757" w:rsidP="00AA0EEE">
      <w:pPr>
        <w:snapToGrid w:val="0"/>
        <w:spacing w:line="600" w:lineRule="exact"/>
        <w:ind w:left="1526" w:hanging="42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(9)</w:t>
      </w:r>
      <w:r w:rsidRPr="008912DD">
        <w:rPr>
          <w:rFonts w:ascii="Times New Roman" w:eastAsia="標楷體" w:hAnsi="Times New Roman"/>
          <w:kern w:val="3"/>
          <w:sz w:val="28"/>
        </w:rPr>
        <w:t>為達手術最終目的過程中之各項切開、剝離、摘除、吻合、切片、縫合、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灌洗等附帶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之手術及處置，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不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另給付。</w:t>
      </w:r>
    </w:p>
    <w:p w14:paraId="27D24B80" w14:textId="77777777" w:rsidR="000257EE" w:rsidRPr="008912DD" w:rsidRDefault="00274757" w:rsidP="00AA0EEE">
      <w:pPr>
        <w:snapToGrid w:val="0"/>
        <w:spacing w:line="600" w:lineRule="exact"/>
        <w:ind w:left="1667" w:hanging="561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(10)</w:t>
      </w:r>
      <w:r w:rsidR="00CD11A5" w:rsidRPr="008912DD">
        <w:rPr>
          <w:rFonts w:ascii="Times New Roman" w:eastAsia="標楷體" w:hAnsi="Times New Roman"/>
          <w:sz w:val="28"/>
          <w:szCs w:val="28"/>
        </w:rPr>
        <w:t>施行手術時，附加非治療必須之其他手術，</w:t>
      </w:r>
      <w:proofErr w:type="gramStart"/>
      <w:r w:rsidR="00CD11A5" w:rsidRPr="008912DD">
        <w:rPr>
          <w:rFonts w:ascii="Times New Roman" w:eastAsia="標楷體" w:hAnsi="Times New Roman"/>
          <w:sz w:val="28"/>
          <w:szCs w:val="28"/>
        </w:rPr>
        <w:t>不</w:t>
      </w:r>
      <w:proofErr w:type="gramEnd"/>
      <w:r w:rsidR="00CD11A5" w:rsidRPr="008912DD">
        <w:rPr>
          <w:rFonts w:ascii="Times New Roman" w:eastAsia="標楷體" w:hAnsi="Times New Roman"/>
          <w:sz w:val="28"/>
          <w:szCs w:val="28"/>
        </w:rPr>
        <w:t>另給付。</w:t>
      </w:r>
      <w:r w:rsidR="00CD11A5"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49A73BF3" w14:textId="77777777" w:rsidR="000257EE" w:rsidRPr="008912DD" w:rsidRDefault="00274757" w:rsidP="00AA0EEE">
      <w:pPr>
        <w:snapToGrid w:val="0"/>
        <w:spacing w:line="600" w:lineRule="exact"/>
        <w:ind w:left="1701" w:hanging="595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(11)</w:t>
      </w:r>
      <w:r w:rsidRPr="008912DD">
        <w:rPr>
          <w:rFonts w:ascii="Times New Roman" w:eastAsia="標楷體" w:hAnsi="Times New Roman"/>
          <w:kern w:val="3"/>
          <w:sz w:val="28"/>
        </w:rPr>
        <w:t>手術過程用於灌洗之藥品如</w:t>
      </w:r>
      <w:r w:rsidRPr="008912DD">
        <w:rPr>
          <w:rFonts w:ascii="Times New Roman" w:eastAsia="標楷體" w:hAnsi="Times New Roman"/>
          <w:kern w:val="3"/>
          <w:sz w:val="28"/>
        </w:rPr>
        <w:t>Balance Salt Solution</w:t>
      </w:r>
      <w:r w:rsidRPr="008912DD">
        <w:rPr>
          <w:rFonts w:ascii="Times New Roman" w:eastAsia="標楷體" w:hAnsi="Times New Roman"/>
          <w:kern w:val="3"/>
          <w:sz w:val="28"/>
        </w:rPr>
        <w:t>或</w:t>
      </w:r>
      <w:r w:rsidRPr="008912DD">
        <w:rPr>
          <w:rFonts w:ascii="Times New Roman" w:eastAsia="標楷體" w:hAnsi="Times New Roman"/>
          <w:kern w:val="3"/>
          <w:sz w:val="28"/>
        </w:rPr>
        <w:t>Physiologic Irrigating Solution</w:t>
      </w:r>
      <w:r w:rsidRPr="008912DD">
        <w:rPr>
          <w:rFonts w:ascii="Times New Roman" w:eastAsia="標楷體" w:hAnsi="Times New Roman"/>
          <w:kern w:val="3"/>
          <w:sz w:val="28"/>
        </w:rPr>
        <w:t>等，應包含於手術之一般材料費內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不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另給付。</w:t>
      </w:r>
    </w:p>
    <w:p w14:paraId="2FB3B9F0" w14:textId="77777777" w:rsidR="000257EE" w:rsidRPr="008912DD" w:rsidRDefault="00274757" w:rsidP="00AA0EEE">
      <w:pPr>
        <w:snapToGrid w:val="0"/>
        <w:spacing w:line="600" w:lineRule="exact"/>
        <w:ind w:left="1666" w:hanging="56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(12)</w:t>
      </w:r>
      <w:r w:rsidRPr="008912DD">
        <w:rPr>
          <w:rFonts w:ascii="Times New Roman" w:eastAsia="標楷體" w:hAnsi="Times New Roman"/>
          <w:kern w:val="3"/>
          <w:sz w:val="28"/>
        </w:rPr>
        <w:t>刪除</w:t>
      </w:r>
      <w:r w:rsidRPr="008912DD">
        <w:rPr>
          <w:rFonts w:ascii="Times New Roman" w:eastAsia="標楷體" w:hAnsi="Times New Roman"/>
          <w:kern w:val="3"/>
          <w:sz w:val="28"/>
        </w:rPr>
        <w:t>(101/5/1)</w:t>
      </w:r>
    </w:p>
    <w:p w14:paraId="1CF0EBCE" w14:textId="77777777" w:rsidR="000257EE" w:rsidRPr="008912DD" w:rsidRDefault="00274757" w:rsidP="00AA0EEE">
      <w:pPr>
        <w:snapToGrid w:val="0"/>
        <w:spacing w:line="600" w:lineRule="exact"/>
        <w:ind w:left="1701" w:hanging="595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lastRenderedPageBreak/>
        <w:t>(13)</w:t>
      </w:r>
      <w:r w:rsidRPr="008912DD">
        <w:rPr>
          <w:rFonts w:ascii="Times New Roman" w:eastAsia="標楷體" w:hAnsi="Times New Roman"/>
          <w:sz w:val="28"/>
          <w:szCs w:val="28"/>
        </w:rPr>
        <w:t>全民健康保險醫療服務給付項目及支付標準</w:t>
      </w:r>
      <w:r w:rsidRPr="008912DD">
        <w:rPr>
          <w:rFonts w:ascii="Times New Roman" w:eastAsia="標楷體" w:hAnsi="Times New Roman"/>
          <w:kern w:val="3"/>
          <w:sz w:val="28"/>
        </w:rPr>
        <w:t>表中急診定義及適用範圍第十二條之規定：生命徵象不穩定或其他可能造成生命危急症狀者。以適用本條規定，申報急診加成時，應註明病情緊急處理之原因、必要性。</w:t>
      </w:r>
      <w:r w:rsidRPr="008912DD">
        <w:rPr>
          <w:rFonts w:ascii="Times New Roman" w:eastAsia="標楷體" w:hAnsi="Times New Roman"/>
          <w:kern w:val="3"/>
          <w:sz w:val="28"/>
        </w:rPr>
        <w:t>(102/3/1)</w:t>
      </w:r>
    </w:p>
    <w:p w14:paraId="6192F97A" w14:textId="77777777" w:rsidR="000257EE" w:rsidRPr="008912DD" w:rsidRDefault="00274757" w:rsidP="00AA0EEE">
      <w:pPr>
        <w:snapToGrid w:val="0"/>
        <w:spacing w:line="600" w:lineRule="exact"/>
        <w:ind w:left="1674" w:hanging="56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(14)</w:t>
      </w:r>
      <w:r w:rsidR="00BC195E" w:rsidRPr="008912DD">
        <w:rPr>
          <w:rFonts w:ascii="Times New Roman" w:eastAsia="標楷體" w:hAnsi="Times New Roman" w:hint="eastAsia"/>
          <w:sz w:val="28"/>
        </w:rPr>
        <w:t>刪</w:t>
      </w:r>
      <w:r w:rsidR="00BC195E" w:rsidRPr="008912DD">
        <w:rPr>
          <w:rFonts w:ascii="Times New Roman" w:eastAsia="標楷體" w:hAnsi="Times New Roman"/>
          <w:sz w:val="28"/>
        </w:rPr>
        <w:t>除</w:t>
      </w:r>
      <w:r w:rsidR="00BC195E" w:rsidRPr="008912DD">
        <w:rPr>
          <w:rFonts w:ascii="Times New Roman" w:eastAsia="標楷體" w:hAnsi="Times New Roman" w:hint="eastAsia"/>
          <w:sz w:val="28"/>
        </w:rPr>
        <w:t>(</w:t>
      </w:r>
      <w:r w:rsidR="00A20D4E" w:rsidRPr="008912DD">
        <w:rPr>
          <w:rFonts w:ascii="Times New Roman" w:eastAsia="標楷體" w:hAnsi="Times New Roman" w:hint="eastAsia"/>
          <w:sz w:val="28"/>
        </w:rPr>
        <w:t>110/6/1</w:t>
      </w:r>
      <w:r w:rsidR="00BC195E" w:rsidRPr="008912DD">
        <w:rPr>
          <w:rFonts w:ascii="Times New Roman" w:eastAsia="標楷體" w:hAnsi="Times New Roman" w:hint="eastAsia"/>
          <w:sz w:val="28"/>
        </w:rPr>
        <w:t>)</w:t>
      </w:r>
    </w:p>
    <w:p w14:paraId="5E79ADA3" w14:textId="77777777" w:rsidR="000257EE" w:rsidRPr="008912DD" w:rsidRDefault="00274757" w:rsidP="00AA0EEE">
      <w:pPr>
        <w:snapToGrid w:val="0"/>
        <w:spacing w:line="600" w:lineRule="exact"/>
        <w:ind w:left="1674" w:hanging="56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(15)</w:t>
      </w:r>
      <w:r w:rsidRPr="008912DD">
        <w:rPr>
          <w:rFonts w:ascii="Times New Roman" w:eastAsia="標楷體" w:hAnsi="Times New Roman"/>
          <w:sz w:val="28"/>
          <w:szCs w:val="28"/>
        </w:rPr>
        <w:t>處方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鐵劑時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，應檢附客觀具體缺鐵證據。</w:t>
      </w:r>
      <w:r w:rsidRPr="008912DD">
        <w:rPr>
          <w:rFonts w:ascii="Times New Roman" w:eastAsia="標楷體" w:hAnsi="Times New Roman"/>
          <w:sz w:val="28"/>
          <w:szCs w:val="28"/>
        </w:rPr>
        <w:t>(97/5/1)</w:t>
      </w:r>
    </w:p>
    <w:p w14:paraId="7D072AC4" w14:textId="77777777" w:rsidR="000257EE" w:rsidRPr="008912DD" w:rsidRDefault="00274757" w:rsidP="00AA0EEE">
      <w:pPr>
        <w:snapToGrid w:val="0"/>
        <w:spacing w:line="600" w:lineRule="exact"/>
        <w:ind w:left="1640" w:hanging="56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(16)</w:t>
      </w:r>
      <w:r w:rsidRPr="008912DD">
        <w:rPr>
          <w:rFonts w:ascii="Times New Roman" w:eastAsia="標楷體" w:hAnsi="Times New Roman"/>
          <w:sz w:val="28"/>
          <w:szCs w:val="28"/>
        </w:rPr>
        <w:t>全民健康保險西醫基層總額降尿酸藥物使用建議表」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詳附表二十三</w:t>
      </w:r>
      <w:r w:rsidRPr="008912DD">
        <w:rPr>
          <w:rFonts w:ascii="Times New Roman" w:eastAsia="標楷體" w:hAnsi="Times New Roman"/>
          <w:sz w:val="28"/>
          <w:szCs w:val="28"/>
        </w:rPr>
        <w:t>) (97/5/1)</w:t>
      </w:r>
      <w:r w:rsidR="00C24CE0" w:rsidRPr="008912DD">
        <w:rPr>
          <w:rFonts w:ascii="Times New Roman" w:eastAsia="標楷體" w:hAnsi="Times New Roman"/>
          <w:sz w:val="28"/>
          <w:szCs w:val="28"/>
        </w:rPr>
        <w:t xml:space="preserve"> (106/1/1)</w:t>
      </w:r>
    </w:p>
    <w:p w14:paraId="17009844" w14:textId="77777777" w:rsidR="000257EE" w:rsidRPr="008912DD" w:rsidRDefault="00274757" w:rsidP="00AA0EEE">
      <w:pPr>
        <w:snapToGrid w:val="0"/>
        <w:spacing w:line="600" w:lineRule="exact"/>
        <w:ind w:left="240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二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門診部分審查注意事項：</w:t>
      </w:r>
    </w:p>
    <w:p w14:paraId="0CDE344F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r w:rsidRPr="008912DD">
        <w:rPr>
          <w:rFonts w:ascii="Times New Roman" w:eastAsia="標楷體" w:hAnsi="Times New Roman"/>
          <w:sz w:val="28"/>
        </w:rPr>
        <w:t>皮下肌肉、小量靜脈注</w:t>
      </w:r>
      <w:r w:rsidRPr="008912DD">
        <w:rPr>
          <w:rFonts w:ascii="Times New Roman" w:eastAsia="標楷體" w:hAnsi="Times New Roman"/>
          <w:kern w:val="3"/>
          <w:sz w:val="28"/>
        </w:rPr>
        <w:t>射及</w:t>
      </w:r>
      <w:r w:rsidRPr="008912DD">
        <w:rPr>
          <w:rFonts w:ascii="Times New Roman" w:eastAsia="標楷體" w:hAnsi="Times New Roman"/>
          <w:kern w:val="3"/>
          <w:sz w:val="28"/>
        </w:rPr>
        <w:t xml:space="preserve">IV Push </w:t>
      </w:r>
      <w:r w:rsidRPr="008912DD">
        <w:rPr>
          <w:rFonts w:ascii="Times New Roman" w:eastAsia="標楷體" w:hAnsi="Times New Roman"/>
          <w:sz w:val="28"/>
        </w:rPr>
        <w:t>等注射技術費，包括於門診診察費內，不得另行申報，但材料費得另計。六歲以下嬰幼兒因病情需要施行小量靜脈注射，得以</w:t>
      </w:r>
      <w:r w:rsidRPr="008912DD">
        <w:rPr>
          <w:rFonts w:ascii="Times New Roman" w:eastAsia="標楷體" w:hAnsi="Times New Roman"/>
          <w:kern w:val="3"/>
          <w:sz w:val="28"/>
        </w:rPr>
        <w:t>57111C</w:t>
      </w:r>
      <w:r w:rsidRPr="008912DD">
        <w:rPr>
          <w:rFonts w:ascii="Times New Roman" w:eastAsia="標楷體" w:hAnsi="Times New Roman"/>
          <w:sz w:val="28"/>
        </w:rPr>
        <w:t>申報。</w:t>
      </w:r>
    </w:p>
    <w:p w14:paraId="438978BD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Pr="008912DD">
        <w:rPr>
          <w:rFonts w:ascii="Times New Roman" w:eastAsia="標楷體" w:hAnsi="Times New Roman"/>
          <w:sz w:val="28"/>
          <w:szCs w:val="28"/>
        </w:rPr>
        <w:t>全民健康保險醫療服務給付項目及支付標準</w:t>
      </w:r>
      <w:r w:rsidRPr="008912DD">
        <w:rPr>
          <w:rFonts w:ascii="Times New Roman" w:eastAsia="標楷體" w:hAnsi="Times New Roman"/>
          <w:sz w:val="28"/>
        </w:rPr>
        <w:t>第二部第二章第一節之第一項至第四項中的尿、糞、血液、生化檢查費用，累計項次數達規定次數時，應折扣之規定，審查時須注意有無確實執行。</w:t>
      </w:r>
      <w:r w:rsidRPr="008912DD">
        <w:rPr>
          <w:rFonts w:ascii="Times New Roman" w:eastAsia="標楷體" w:hAnsi="Times New Roman"/>
          <w:sz w:val="28"/>
        </w:rPr>
        <w:t>(101/5/</w:t>
      </w:r>
      <w:proofErr w:type="gramStart"/>
      <w:r w:rsidRPr="008912DD">
        <w:rPr>
          <w:rFonts w:ascii="Times New Roman" w:eastAsia="標楷體" w:hAnsi="Times New Roman"/>
          <w:sz w:val="28"/>
        </w:rPr>
        <w:t>1)(</w:t>
      </w:r>
      <w:proofErr w:type="gramEnd"/>
      <w:r w:rsidRPr="008912DD">
        <w:rPr>
          <w:rFonts w:ascii="Times New Roman" w:eastAsia="標楷體" w:hAnsi="Times New Roman"/>
          <w:sz w:val="28"/>
        </w:rPr>
        <w:t>102/3/1)</w:t>
      </w:r>
    </w:p>
    <w:p w14:paraId="0BE9D3CA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3.</w:t>
      </w:r>
      <w:r w:rsidR="00E3479D" w:rsidRPr="008912DD">
        <w:rPr>
          <w:rFonts w:ascii="Times New Roman" w:eastAsia="標楷體" w:hAnsi="Times New Roman"/>
          <w:kern w:val="3"/>
          <w:sz w:val="28"/>
        </w:rPr>
        <w:t>刪除</w:t>
      </w:r>
      <w:r w:rsidR="00E3479D" w:rsidRPr="008912DD">
        <w:rPr>
          <w:rFonts w:ascii="Times New Roman" w:eastAsia="標楷體" w:hAnsi="Times New Roman"/>
          <w:kern w:val="3"/>
          <w:sz w:val="28"/>
        </w:rPr>
        <w:t>(</w:t>
      </w:r>
      <w:r w:rsidR="003C072F" w:rsidRPr="008912DD">
        <w:rPr>
          <w:rFonts w:ascii="Times New Roman" w:eastAsia="標楷體" w:hAnsi="Times New Roman"/>
          <w:kern w:val="3"/>
          <w:sz w:val="28"/>
        </w:rPr>
        <w:t>109/5/1</w:t>
      </w:r>
      <w:r w:rsidR="00E3479D" w:rsidRPr="008912DD">
        <w:rPr>
          <w:rFonts w:ascii="Times New Roman" w:eastAsia="標楷體" w:hAnsi="Times New Roman"/>
          <w:kern w:val="3"/>
          <w:sz w:val="28"/>
        </w:rPr>
        <w:t>)</w:t>
      </w:r>
      <w:r w:rsidR="00E3479D" w:rsidRPr="008912DD">
        <w:rPr>
          <w:rFonts w:ascii="Times New Roman" w:hAnsi="Times New Roman"/>
        </w:rPr>
        <w:t xml:space="preserve"> </w:t>
      </w:r>
    </w:p>
    <w:p w14:paraId="246E99CB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4.</w:t>
      </w:r>
      <w:r w:rsidRPr="008912DD">
        <w:rPr>
          <w:rFonts w:ascii="Times New Roman" w:eastAsia="標楷體" w:hAnsi="Times New Roman"/>
          <w:sz w:val="28"/>
        </w:rPr>
        <w:t>使用</w:t>
      </w:r>
      <w:proofErr w:type="gramStart"/>
      <w:r w:rsidRPr="008912DD">
        <w:rPr>
          <w:rFonts w:ascii="Times New Roman" w:eastAsia="標楷體" w:hAnsi="Times New Roman"/>
          <w:sz w:val="28"/>
        </w:rPr>
        <w:t>袪痰劑或誘痰劑時</w:t>
      </w:r>
      <w:proofErr w:type="gramEnd"/>
      <w:r w:rsidRPr="008912DD">
        <w:rPr>
          <w:rFonts w:ascii="Times New Roman" w:eastAsia="標楷體" w:hAnsi="Times New Roman"/>
          <w:sz w:val="28"/>
        </w:rPr>
        <w:t>，如同時處方兩種以上止咳劑</w:t>
      </w:r>
      <w:r w:rsidRPr="008912DD">
        <w:rPr>
          <w:rFonts w:ascii="Times New Roman" w:eastAsia="標楷體" w:hAnsi="Times New Roman"/>
          <w:sz w:val="28"/>
          <w:szCs w:val="28"/>
        </w:rPr>
        <w:t>，或不當使用高價藥品者</w:t>
      </w:r>
      <w:r w:rsidRPr="008912DD">
        <w:rPr>
          <w:rFonts w:ascii="Times New Roman" w:eastAsia="標楷體" w:hAnsi="Times New Roman"/>
          <w:sz w:val="28"/>
        </w:rPr>
        <w:t>應加強審核。</w:t>
      </w:r>
      <w:r w:rsidRPr="008912DD">
        <w:rPr>
          <w:rFonts w:ascii="Times New Roman" w:eastAsia="標楷體" w:hAnsi="Times New Roman"/>
          <w:sz w:val="28"/>
        </w:rPr>
        <w:t>(100/1/1)</w:t>
      </w:r>
    </w:p>
    <w:p w14:paraId="420EB712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5.</w:t>
      </w:r>
      <w:r w:rsidRPr="008912DD">
        <w:rPr>
          <w:rFonts w:ascii="Times New Roman" w:eastAsia="標楷體" w:hAnsi="Times New Roman"/>
          <w:sz w:val="28"/>
        </w:rPr>
        <w:t>支氣管擴張症或慢性支氣管炎，如長期使用第二線或第三線高價抗生素，應加強審核急性發作期可短期使用普通有效的抗生素。</w:t>
      </w:r>
    </w:p>
    <w:p w14:paraId="4991FB77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6.</w:t>
      </w:r>
      <w:r w:rsidRPr="008912DD">
        <w:rPr>
          <w:rFonts w:ascii="Times New Roman" w:eastAsia="標楷體" w:hAnsi="Times New Roman"/>
          <w:sz w:val="28"/>
        </w:rPr>
        <w:t>手術後預防性抗生素之使用及無併發症之骨盆腔發炎之抗生素使用，應依</w:t>
      </w:r>
      <w:r w:rsidRPr="008912DD">
        <w:rPr>
          <w:rFonts w:ascii="Times New Roman" w:eastAsia="標楷體" w:hAnsi="Times New Roman"/>
          <w:sz w:val="28"/>
          <w:szCs w:val="28"/>
        </w:rPr>
        <w:t>藥品給付規定</w:t>
      </w:r>
      <w:r w:rsidRPr="008912DD">
        <w:rPr>
          <w:rFonts w:ascii="Times New Roman" w:eastAsia="標楷體" w:hAnsi="Times New Roman"/>
          <w:sz w:val="28"/>
        </w:rPr>
        <w:t>之抗生素使用原則使用。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</w:p>
    <w:p w14:paraId="0068DA7A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bookmarkStart w:id="2" w:name="_GoBack"/>
      <w:bookmarkEnd w:id="2"/>
      <w:r w:rsidRPr="008912DD">
        <w:rPr>
          <w:rFonts w:ascii="Times New Roman" w:eastAsia="標楷體" w:hAnsi="Times New Roman"/>
          <w:kern w:val="3"/>
          <w:sz w:val="28"/>
        </w:rPr>
        <w:lastRenderedPageBreak/>
        <w:t>7.</w:t>
      </w:r>
      <w:r w:rsidRPr="008912DD">
        <w:rPr>
          <w:rFonts w:ascii="Times New Roman" w:eastAsia="標楷體" w:hAnsi="Times New Roman"/>
          <w:sz w:val="28"/>
        </w:rPr>
        <w:t>注射藥品使用時機，應以經醫師診斷後，判斷病情需要且病人不能口服，或口服仍不能期待其有治療效果，記明於病歷表者，方得為之。</w:t>
      </w:r>
    </w:p>
    <w:p w14:paraId="5192306B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8.</w:t>
      </w:r>
      <w:r w:rsidRPr="008912DD">
        <w:rPr>
          <w:rFonts w:ascii="Times New Roman" w:eastAsia="標楷體" w:hAnsi="Times New Roman"/>
          <w:sz w:val="28"/>
        </w:rPr>
        <w:t>荷爾蒙之使用：停經後荷爾蒙之使用得依醫師診斷使用於閉經、更年期症候群、骨質疏鬆症等疾病治療</w:t>
      </w:r>
      <w:r w:rsidRPr="008912DD">
        <w:rPr>
          <w:rFonts w:ascii="Times New Roman" w:eastAsia="標楷體" w:hAnsi="Times New Roman"/>
          <w:sz w:val="28"/>
          <w:szCs w:val="28"/>
        </w:rPr>
        <w:t>，但接受子宮切除後之病患不宜使用含黃體素之荷爾蒙製劑。</w:t>
      </w:r>
      <w:r w:rsidRPr="008912DD">
        <w:rPr>
          <w:rFonts w:ascii="Times New Roman" w:eastAsia="標楷體" w:hAnsi="Times New Roman"/>
          <w:sz w:val="28"/>
          <w:szCs w:val="28"/>
        </w:rPr>
        <w:t>(97/5/1)</w:t>
      </w:r>
    </w:p>
    <w:p w14:paraId="70585841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9.</w:t>
      </w:r>
      <w:r w:rsidRPr="008912DD">
        <w:rPr>
          <w:rFonts w:ascii="Times New Roman" w:eastAsia="標楷體" w:hAnsi="Times New Roman"/>
          <w:sz w:val="28"/>
        </w:rPr>
        <w:t>維他命之使用應注意其臨床適應症。</w:t>
      </w:r>
    </w:p>
    <w:p w14:paraId="083EA69C" w14:textId="77777777" w:rsidR="000257EE" w:rsidRPr="008912DD" w:rsidRDefault="00274757" w:rsidP="00AA0EEE">
      <w:pPr>
        <w:pStyle w:val="20"/>
        <w:snapToGrid w:val="0"/>
        <w:spacing w:line="600" w:lineRule="exact"/>
        <w:ind w:left="1246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10.</w:t>
      </w:r>
      <w:r w:rsidRPr="008912DD">
        <w:rPr>
          <w:rFonts w:ascii="Times New Roman" w:eastAsia="標楷體" w:hAnsi="Times New Roman"/>
          <w:sz w:val="28"/>
        </w:rPr>
        <w:t>止血劑及酵素消腫劑：應慎重選擇使用。</w:t>
      </w:r>
      <w:proofErr w:type="gramStart"/>
      <w:r w:rsidRPr="008912DD">
        <w:rPr>
          <w:rFonts w:ascii="Times New Roman" w:eastAsia="標楷體" w:hAnsi="Times New Roman"/>
          <w:sz w:val="28"/>
        </w:rPr>
        <w:t>正常凝</w:t>
      </w:r>
      <w:proofErr w:type="gramEnd"/>
      <w:r w:rsidRPr="008912DD">
        <w:rPr>
          <w:rFonts w:ascii="Times New Roman" w:eastAsia="標楷體" w:hAnsi="Times New Roman"/>
          <w:sz w:val="28"/>
        </w:rPr>
        <w:t>血機能下之手術後及脅迫流產等，應不必使用止血劑。</w:t>
      </w:r>
    </w:p>
    <w:p w14:paraId="668A5ED9" w14:textId="77777777" w:rsidR="000257EE" w:rsidRPr="008912DD" w:rsidRDefault="00274757" w:rsidP="00AA0EEE">
      <w:pPr>
        <w:pStyle w:val="20"/>
        <w:snapToGrid w:val="0"/>
        <w:spacing w:line="600" w:lineRule="exact"/>
        <w:ind w:left="1246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11.</w:t>
      </w:r>
      <w:r w:rsidRPr="008912DD">
        <w:rPr>
          <w:rFonts w:ascii="Times New Roman" w:eastAsia="標楷體" w:hAnsi="Times New Roman"/>
          <w:sz w:val="28"/>
        </w:rPr>
        <w:t>安胎藥之使</w:t>
      </w:r>
      <w:r w:rsidRPr="008912DD">
        <w:rPr>
          <w:rFonts w:ascii="Times New Roman" w:eastAsia="標楷體" w:hAnsi="Times New Roman"/>
          <w:kern w:val="3"/>
          <w:sz w:val="28"/>
        </w:rPr>
        <w:t>用原則：</w:t>
      </w:r>
      <w:r w:rsidRPr="008912DD">
        <w:rPr>
          <w:rFonts w:ascii="Times New Roman" w:eastAsia="標楷體" w:hAnsi="Times New Roman"/>
          <w:kern w:val="3"/>
          <w:sz w:val="28"/>
        </w:rPr>
        <w:t>tocolytics</w:t>
      </w:r>
      <w:r w:rsidRPr="008912DD">
        <w:rPr>
          <w:rFonts w:ascii="Times New Roman" w:eastAsia="標楷體" w:hAnsi="Times New Roman"/>
          <w:kern w:val="3"/>
          <w:sz w:val="28"/>
        </w:rPr>
        <w:t>、包括</w:t>
      </w:r>
      <w:r w:rsidRPr="008912DD">
        <w:rPr>
          <w:rFonts w:ascii="Times New Roman" w:eastAsia="Symbol" w:hAnsi="Times New Roman"/>
          <w:kern w:val="3"/>
          <w:sz w:val="28"/>
        </w:rPr>
        <w:t></w:t>
      </w:r>
      <w:r w:rsidRPr="008912DD">
        <w:rPr>
          <w:rFonts w:ascii="Times New Roman" w:eastAsia="標楷體" w:hAnsi="Times New Roman"/>
          <w:kern w:val="3"/>
          <w:sz w:val="28"/>
        </w:rPr>
        <w:t>-mimetics</w:t>
      </w:r>
      <w:r w:rsidRPr="008912DD">
        <w:rPr>
          <w:rFonts w:ascii="Times New Roman" w:eastAsia="標楷體" w:hAnsi="Times New Roman"/>
          <w:kern w:val="3"/>
          <w:sz w:val="28"/>
        </w:rPr>
        <w:t>等，</w:t>
      </w:r>
      <w:r w:rsidRPr="008912DD">
        <w:rPr>
          <w:rFonts w:ascii="Times New Roman" w:eastAsia="標楷體" w:hAnsi="Times New Roman"/>
          <w:sz w:val="28"/>
        </w:rPr>
        <w:t>應視產婦需要給藥，在妊娠滿三十七</w:t>
      </w:r>
      <w:proofErr w:type="gramStart"/>
      <w:r w:rsidRPr="008912DD">
        <w:rPr>
          <w:rFonts w:ascii="Times New Roman" w:eastAsia="標楷體" w:hAnsi="Times New Roman"/>
          <w:sz w:val="28"/>
        </w:rPr>
        <w:t>週</w:t>
      </w:r>
      <w:proofErr w:type="gramEnd"/>
      <w:r w:rsidRPr="008912DD">
        <w:rPr>
          <w:rFonts w:ascii="Times New Roman" w:eastAsia="標楷體" w:hAnsi="Times New Roman"/>
          <w:sz w:val="28"/>
        </w:rPr>
        <w:t>前使用，且通常不應使用於十六</w:t>
      </w:r>
      <w:proofErr w:type="gramStart"/>
      <w:r w:rsidRPr="008912DD">
        <w:rPr>
          <w:rFonts w:ascii="Times New Roman" w:eastAsia="標楷體" w:hAnsi="Times New Roman"/>
          <w:sz w:val="28"/>
        </w:rPr>
        <w:t>週</w:t>
      </w:r>
      <w:proofErr w:type="gramEnd"/>
      <w:r w:rsidRPr="008912DD">
        <w:rPr>
          <w:rFonts w:ascii="Times New Roman" w:eastAsia="標楷體" w:hAnsi="Times New Roman"/>
          <w:sz w:val="28"/>
        </w:rPr>
        <w:t>前及三十七</w:t>
      </w:r>
      <w:proofErr w:type="gramStart"/>
      <w:r w:rsidRPr="008912DD">
        <w:rPr>
          <w:rFonts w:ascii="Times New Roman" w:eastAsia="標楷體" w:hAnsi="Times New Roman"/>
          <w:sz w:val="28"/>
        </w:rPr>
        <w:t>週</w:t>
      </w:r>
      <w:proofErr w:type="gramEnd"/>
      <w:r w:rsidRPr="008912DD">
        <w:rPr>
          <w:rFonts w:ascii="Times New Roman" w:eastAsia="標楷體" w:hAnsi="Times New Roman"/>
          <w:sz w:val="28"/>
        </w:rPr>
        <w:t>後。</w:t>
      </w:r>
    </w:p>
    <w:p w14:paraId="6565A32A" w14:textId="77777777" w:rsidR="000257EE" w:rsidRPr="008912DD" w:rsidRDefault="00274757" w:rsidP="00AA0EEE">
      <w:pPr>
        <w:pStyle w:val="20"/>
        <w:snapToGrid w:val="0"/>
        <w:spacing w:line="600" w:lineRule="exact"/>
        <w:ind w:left="1246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12.</w:t>
      </w:r>
      <w:r w:rsidRPr="008912DD">
        <w:rPr>
          <w:rFonts w:ascii="Times New Roman" w:eastAsia="標楷體" w:hAnsi="Times New Roman"/>
          <w:sz w:val="28"/>
        </w:rPr>
        <w:t>驗孕及產後檢查屬本保險給付範圍。</w:t>
      </w:r>
    </w:p>
    <w:p w14:paraId="07317786" w14:textId="77777777" w:rsidR="000257EE" w:rsidRPr="008912DD" w:rsidRDefault="00274757" w:rsidP="00AA0EEE">
      <w:pPr>
        <w:pStyle w:val="20"/>
        <w:snapToGrid w:val="0"/>
        <w:spacing w:line="600" w:lineRule="exact"/>
        <w:ind w:left="1246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13.</w:t>
      </w:r>
      <w:r w:rsidRPr="008912DD">
        <w:rPr>
          <w:rFonts w:ascii="Times New Roman" w:eastAsia="標楷體" w:hAnsi="Times New Roman"/>
          <w:sz w:val="28"/>
        </w:rPr>
        <w:t>兒科針劑費用之計算：</w:t>
      </w:r>
    </w:p>
    <w:p w14:paraId="0FC30D6D" w14:textId="77777777" w:rsidR="000257EE" w:rsidRPr="008912DD" w:rsidRDefault="00274757" w:rsidP="00AA0EEE">
      <w:pPr>
        <w:snapToGrid w:val="0"/>
        <w:spacing w:line="600" w:lineRule="exact"/>
        <w:ind w:left="3160" w:hanging="196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(1)</w:t>
      </w:r>
      <w:r w:rsidRPr="008912DD">
        <w:rPr>
          <w:rFonts w:ascii="Times New Roman" w:eastAsia="標楷體" w:hAnsi="Times New Roman"/>
          <w:sz w:val="28"/>
        </w:rPr>
        <w:t>可長期重覆使用之瓶裝</w:t>
      </w:r>
      <w:r w:rsidRPr="008912DD">
        <w:rPr>
          <w:rFonts w:ascii="Times New Roman" w:eastAsia="標楷體" w:hAnsi="Times New Roman"/>
          <w:kern w:val="3"/>
          <w:sz w:val="28"/>
        </w:rPr>
        <w:t>針劑</w:t>
      </w:r>
      <w:r w:rsidRPr="008912DD">
        <w:rPr>
          <w:rFonts w:ascii="Times New Roman" w:eastAsia="標楷體" w:hAnsi="Times New Roman"/>
          <w:kern w:val="3"/>
          <w:sz w:val="28"/>
        </w:rPr>
        <w:t>(vial)</w:t>
      </w:r>
      <w:r w:rsidRPr="008912DD">
        <w:rPr>
          <w:rFonts w:ascii="Times New Roman" w:eastAsia="標楷體" w:hAnsi="Times New Roman"/>
          <w:kern w:val="3"/>
          <w:sz w:val="28"/>
        </w:rPr>
        <w:t>，</w:t>
      </w:r>
      <w:r w:rsidRPr="008912DD">
        <w:rPr>
          <w:rFonts w:ascii="Times New Roman" w:eastAsia="標楷體" w:hAnsi="Times New Roman"/>
          <w:sz w:val="28"/>
        </w:rPr>
        <w:t>應按實際之使用量申報。</w:t>
      </w:r>
    </w:p>
    <w:p w14:paraId="48E6B57C" w14:textId="77777777" w:rsidR="000257EE" w:rsidRPr="008912DD" w:rsidRDefault="00274757" w:rsidP="00AA0EEE">
      <w:pPr>
        <w:snapToGrid w:val="0"/>
        <w:spacing w:line="600" w:lineRule="exact"/>
        <w:ind w:left="120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(2)</w:t>
      </w:r>
      <w:r w:rsidRPr="008912DD">
        <w:rPr>
          <w:rFonts w:ascii="Times New Roman" w:eastAsia="標楷體" w:hAnsi="Times New Roman"/>
          <w:sz w:val="28"/>
        </w:rPr>
        <w:t>單劑量安</w:t>
      </w:r>
      <w:proofErr w:type="gramStart"/>
      <w:r w:rsidRPr="008912DD">
        <w:rPr>
          <w:rFonts w:ascii="Times New Roman" w:eastAsia="標楷體" w:hAnsi="Times New Roman"/>
          <w:sz w:val="28"/>
        </w:rPr>
        <w:t>碚</w:t>
      </w:r>
      <w:proofErr w:type="gramEnd"/>
      <w:r w:rsidRPr="008912DD">
        <w:rPr>
          <w:rFonts w:ascii="Times New Roman" w:eastAsia="標楷體" w:hAnsi="Times New Roman"/>
          <w:sz w:val="28"/>
        </w:rPr>
        <w:t>裝</w:t>
      </w:r>
      <w:r w:rsidRPr="008912DD">
        <w:rPr>
          <w:rFonts w:ascii="Times New Roman" w:eastAsia="標楷體" w:hAnsi="Times New Roman"/>
          <w:kern w:val="3"/>
          <w:sz w:val="28"/>
        </w:rPr>
        <w:t>針劑</w:t>
      </w:r>
      <w:r w:rsidRPr="008912DD">
        <w:rPr>
          <w:rFonts w:ascii="Times New Roman" w:eastAsia="標楷體" w:hAnsi="Times New Roman"/>
          <w:kern w:val="3"/>
          <w:sz w:val="28"/>
        </w:rPr>
        <w:t>(ampoule)</w:t>
      </w:r>
      <w:r w:rsidRPr="008912DD">
        <w:rPr>
          <w:rFonts w:ascii="Times New Roman" w:eastAsia="標楷體" w:hAnsi="Times New Roman"/>
          <w:kern w:val="3"/>
          <w:sz w:val="28"/>
        </w:rPr>
        <w:t>每</w:t>
      </w:r>
      <w:r w:rsidRPr="008912DD">
        <w:rPr>
          <w:rFonts w:ascii="Times New Roman" w:eastAsia="標楷體" w:hAnsi="Times New Roman"/>
          <w:sz w:val="28"/>
        </w:rPr>
        <w:t>次</w:t>
      </w:r>
      <w:proofErr w:type="gramStart"/>
      <w:r w:rsidRPr="008912DD">
        <w:rPr>
          <w:rFonts w:ascii="Times New Roman" w:eastAsia="標楷體" w:hAnsi="Times New Roman"/>
          <w:sz w:val="28"/>
        </w:rPr>
        <w:t>按支數計算</w:t>
      </w:r>
      <w:proofErr w:type="gramEnd"/>
      <w:r w:rsidRPr="008912DD">
        <w:rPr>
          <w:rFonts w:ascii="Times New Roman" w:eastAsia="標楷體" w:hAnsi="Times New Roman"/>
          <w:sz w:val="28"/>
        </w:rPr>
        <w:t>申報。</w:t>
      </w:r>
    </w:p>
    <w:p w14:paraId="55CD3A4D" w14:textId="77777777" w:rsidR="000257EE" w:rsidRPr="008912DD" w:rsidRDefault="00274757" w:rsidP="00AA0EEE">
      <w:pPr>
        <w:pStyle w:val="20"/>
        <w:snapToGrid w:val="0"/>
        <w:spacing w:line="600" w:lineRule="exact"/>
        <w:ind w:left="1246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14.</w:t>
      </w:r>
      <w:r w:rsidRPr="008912DD">
        <w:rPr>
          <w:rFonts w:ascii="Times New Roman" w:eastAsia="標楷體" w:hAnsi="Times New Roman"/>
          <w:sz w:val="28"/>
          <w:szCs w:val="28"/>
        </w:rPr>
        <w:t>有關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申報耳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鼻喉局部治療</w:t>
      </w:r>
      <w:r w:rsidRPr="008912DD">
        <w:rPr>
          <w:rFonts w:ascii="Times New Roman" w:eastAsia="標楷體" w:hAnsi="Times New Roman"/>
          <w:sz w:val="28"/>
          <w:szCs w:val="28"/>
        </w:rPr>
        <w:t>(54019C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54027C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54037C</w:t>
      </w:r>
      <w:r w:rsidRPr="008912DD">
        <w:rPr>
          <w:rFonts w:ascii="Times New Roman" w:eastAsia="標楷體" w:hAnsi="Times New Roman"/>
          <w:sz w:val="28"/>
          <w:szCs w:val="28"/>
        </w:rPr>
        <w:t>、</w:t>
      </w:r>
      <w:r w:rsidRPr="008912DD">
        <w:rPr>
          <w:rFonts w:ascii="Times New Roman" w:eastAsia="標楷體" w:hAnsi="Times New Roman"/>
          <w:sz w:val="28"/>
          <w:szCs w:val="28"/>
        </w:rPr>
        <w:t>54038C)</w:t>
      </w:r>
      <w:r w:rsidRPr="008912DD">
        <w:rPr>
          <w:rFonts w:ascii="Times New Roman" w:eastAsia="標楷體" w:hAnsi="Times New Roman"/>
          <w:sz w:val="28"/>
          <w:szCs w:val="28"/>
        </w:rPr>
        <w:t>請參照耳鼻喉科審查注意事項。</w:t>
      </w:r>
      <w:r w:rsidRPr="008912DD">
        <w:rPr>
          <w:rFonts w:ascii="Times New Roman" w:eastAsia="標楷體" w:hAnsi="Times New Roman"/>
          <w:sz w:val="28"/>
          <w:szCs w:val="28"/>
        </w:rPr>
        <w:t>(101/7/1)</w:t>
      </w:r>
    </w:p>
    <w:p w14:paraId="3D427729" w14:textId="77777777" w:rsidR="000257EE" w:rsidRPr="008912DD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三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住院部分審查原則及注意事項：審查時應注意個案住院之必要性、住院日數之長短及病房種類</w:t>
      </w: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如加護病房等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之適當性。</w:t>
      </w:r>
    </w:p>
    <w:p w14:paraId="39E23BE8" w14:textId="0C07B21D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r w:rsidRPr="008912DD">
        <w:rPr>
          <w:rFonts w:ascii="Times New Roman" w:eastAsia="標楷體" w:hAnsi="Times New Roman"/>
          <w:sz w:val="28"/>
        </w:rPr>
        <w:t>急性支氣管炎、肝炎、暈眩症等特定疾病住院，應符合特定疾病之住院基本要件。</w:t>
      </w:r>
      <w:r w:rsidRPr="008912DD">
        <w:rPr>
          <w:rFonts w:ascii="Times New Roman" w:eastAsia="標楷體" w:hAnsi="Times New Roman"/>
          <w:sz w:val="28"/>
        </w:rPr>
        <w:t>(</w:t>
      </w:r>
      <w:r w:rsidR="00A70AB9" w:rsidRPr="008912DD">
        <w:rPr>
          <w:rFonts w:ascii="Times New Roman" w:eastAsia="標楷體" w:hAnsi="Times New Roman"/>
          <w:sz w:val="28"/>
        </w:rPr>
        <w:t>詳附表十八</w:t>
      </w:r>
      <w:r w:rsidRPr="008912DD">
        <w:rPr>
          <w:rFonts w:ascii="Times New Roman" w:eastAsia="標楷體" w:hAnsi="Times New Roman"/>
          <w:sz w:val="28"/>
        </w:rPr>
        <w:t>)(102/3/1)</w:t>
      </w:r>
      <w:r w:rsidR="00A70AB9" w:rsidRPr="008912DD">
        <w:rPr>
          <w:rFonts w:ascii="Times New Roman" w:eastAsia="標楷體" w:hAnsi="Times New Roman"/>
          <w:sz w:val="28"/>
        </w:rPr>
        <w:t>(105/1/1)</w:t>
      </w:r>
      <w:r w:rsidR="00622CBC" w:rsidRPr="00D2191C">
        <w:rPr>
          <w:rFonts w:ascii="Times New Roman" w:eastAsia="標楷體" w:hAnsi="Times New Roman" w:hint="eastAsia"/>
          <w:color w:val="000000" w:themeColor="text1"/>
          <w:sz w:val="28"/>
        </w:rPr>
        <w:t>(114/</w:t>
      </w:r>
      <w:r w:rsidR="00D2191C" w:rsidRPr="00D2191C">
        <w:rPr>
          <w:rFonts w:ascii="Times New Roman" w:eastAsia="標楷體" w:hAnsi="Times New Roman"/>
          <w:color w:val="000000" w:themeColor="text1"/>
          <w:sz w:val="28"/>
        </w:rPr>
        <w:t>2</w:t>
      </w:r>
      <w:r w:rsidR="00622CBC" w:rsidRPr="00D2191C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="00D2191C" w:rsidRPr="00D2191C">
        <w:rPr>
          <w:rFonts w:ascii="Times New Roman" w:eastAsia="標楷體" w:hAnsi="Times New Roman"/>
          <w:color w:val="000000" w:themeColor="text1"/>
          <w:sz w:val="28"/>
        </w:rPr>
        <w:t>1</w:t>
      </w:r>
      <w:r w:rsidR="00622CBC" w:rsidRPr="00D2191C"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37210F38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Pr="008912DD">
        <w:rPr>
          <w:rFonts w:ascii="Times New Roman" w:eastAsia="標楷體" w:hAnsi="Times New Roman"/>
          <w:sz w:val="28"/>
        </w:rPr>
        <w:t>住院處方用藥之審查，應依照健保用藥之相關規定，進行詳細審查。</w:t>
      </w:r>
      <w:r w:rsidRPr="008912DD">
        <w:rPr>
          <w:rFonts w:ascii="Times New Roman" w:eastAsia="標楷體" w:hAnsi="Times New Roman"/>
          <w:sz w:val="28"/>
        </w:rPr>
        <w:lastRenderedPageBreak/>
        <w:t>除注意用藥之適應症外，也須注意使用之劑量與期間長短是否恰當。</w:t>
      </w: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一些管理不善院所，易出現長期未進行醫令重整，致使用藥物期間過長。</w:t>
      </w:r>
      <w:r w:rsidRPr="008912DD">
        <w:rPr>
          <w:rFonts w:ascii="Times New Roman" w:eastAsia="標楷體" w:hAnsi="Times New Roman"/>
          <w:sz w:val="28"/>
        </w:rPr>
        <w:t>)</w:t>
      </w:r>
    </w:p>
    <w:p w14:paraId="0A51AC51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3.</w:t>
      </w:r>
      <w:r w:rsidRPr="008912DD">
        <w:rPr>
          <w:rFonts w:ascii="Times New Roman" w:eastAsia="標楷體" w:hAnsi="Times New Roman"/>
          <w:sz w:val="28"/>
        </w:rPr>
        <w:t>應注意病歷摘要之診斷、診療記錄及明細表是否相符。</w:t>
      </w:r>
    </w:p>
    <w:p w14:paraId="7A4C5226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4.</w:t>
      </w:r>
      <w:r w:rsidRPr="008912DD">
        <w:rPr>
          <w:rFonts w:ascii="Times New Roman" w:eastAsia="標楷體" w:hAnsi="Times New Roman"/>
          <w:sz w:val="28"/>
        </w:rPr>
        <w:t>抗生素之使用，須符合</w:t>
      </w:r>
      <w:r w:rsidRPr="008912DD">
        <w:rPr>
          <w:rFonts w:ascii="Times New Roman" w:eastAsia="標楷體" w:hAnsi="Times New Roman"/>
          <w:sz w:val="28"/>
          <w:szCs w:val="28"/>
        </w:rPr>
        <w:t>藥品給付規定</w:t>
      </w:r>
      <w:r w:rsidRPr="008912DD">
        <w:rPr>
          <w:rFonts w:ascii="Times New Roman" w:eastAsia="標楷體" w:hAnsi="Times New Roman"/>
          <w:sz w:val="28"/>
        </w:rPr>
        <w:t>之「抗微生物製劑」規定。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</w:p>
    <w:p w14:paraId="5CF87AE2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5.</w:t>
      </w:r>
      <w:r w:rsidRPr="008912DD">
        <w:rPr>
          <w:rFonts w:ascii="Times New Roman" w:eastAsia="標楷體" w:hAnsi="Times New Roman"/>
          <w:sz w:val="28"/>
        </w:rPr>
        <w:t>多數院</w:t>
      </w:r>
      <w:proofErr w:type="gramStart"/>
      <w:r w:rsidRPr="008912DD">
        <w:rPr>
          <w:rFonts w:ascii="Times New Roman" w:eastAsia="標楷體" w:hAnsi="Times New Roman"/>
          <w:sz w:val="28"/>
        </w:rPr>
        <w:t>所均有套裝</w:t>
      </w:r>
      <w:proofErr w:type="gramEnd"/>
      <w:r w:rsidRPr="008912DD">
        <w:rPr>
          <w:rFonts w:ascii="Times New Roman" w:eastAsia="標楷體" w:hAnsi="Times New Roman"/>
          <w:sz w:val="28"/>
        </w:rPr>
        <w:t>生化檢查之設計，應注意同一住院</w:t>
      </w:r>
      <w:proofErr w:type="gramStart"/>
      <w:r w:rsidRPr="008912DD">
        <w:rPr>
          <w:rFonts w:ascii="Times New Roman" w:eastAsia="標楷體" w:hAnsi="Times New Roman"/>
          <w:sz w:val="28"/>
        </w:rPr>
        <w:t>期間，</w:t>
      </w:r>
      <w:proofErr w:type="gramEnd"/>
      <w:r w:rsidRPr="008912DD">
        <w:rPr>
          <w:rFonts w:ascii="Times New Roman" w:eastAsia="標楷體" w:hAnsi="Times New Roman"/>
          <w:sz w:val="28"/>
        </w:rPr>
        <w:t>是否有必要多次進行相同之套裝生化檢查，除非必要否則應以單項複選之方式，做為住院期間之追蹤。</w:t>
      </w:r>
    </w:p>
    <w:p w14:paraId="438F0C57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6.</w:t>
      </w:r>
      <w:r w:rsidRPr="008912DD">
        <w:rPr>
          <w:rFonts w:ascii="Times New Roman" w:eastAsia="標楷體" w:hAnsi="Times New Roman"/>
          <w:sz w:val="28"/>
        </w:rPr>
        <w:t>糖尿病患者除非正在調整胰島素劑量，或是病況危急，對每日測三至四次血糖以上者，注意加強審查。</w:t>
      </w:r>
    </w:p>
    <w:p w14:paraId="61D93015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7.</w:t>
      </w:r>
      <w:r w:rsidRPr="008912DD">
        <w:rPr>
          <w:rFonts w:ascii="Times New Roman" w:eastAsia="標楷體" w:hAnsi="Times New Roman"/>
          <w:sz w:val="28"/>
        </w:rPr>
        <w:t>細菌培養時未長出細菌，不可申報藥物敏感試驗。</w:t>
      </w:r>
    </w:p>
    <w:p w14:paraId="64168499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8.</w:t>
      </w:r>
      <w:r w:rsidRPr="008912DD">
        <w:rPr>
          <w:rFonts w:ascii="Times New Roman" w:eastAsia="標楷體" w:hAnsi="Times New Roman"/>
          <w:kern w:val="3"/>
          <w:sz w:val="28"/>
        </w:rPr>
        <w:t>皮</w:t>
      </w:r>
      <w:r w:rsidRPr="008912DD">
        <w:rPr>
          <w:rFonts w:ascii="Times New Roman" w:eastAsia="標楷體" w:hAnsi="Times New Roman"/>
          <w:sz w:val="28"/>
        </w:rPr>
        <w:t>下肌肉、小量靜脈注</w:t>
      </w:r>
      <w:r w:rsidRPr="008912DD">
        <w:rPr>
          <w:rFonts w:ascii="Times New Roman" w:eastAsia="標楷體" w:hAnsi="Times New Roman"/>
          <w:kern w:val="3"/>
          <w:sz w:val="28"/>
        </w:rPr>
        <w:t>射及</w:t>
      </w:r>
      <w:r w:rsidRPr="008912DD">
        <w:rPr>
          <w:rFonts w:ascii="Times New Roman" w:eastAsia="標楷體" w:hAnsi="Times New Roman"/>
          <w:kern w:val="3"/>
          <w:sz w:val="28"/>
        </w:rPr>
        <w:t>IV Push</w:t>
      </w:r>
      <w:r w:rsidRPr="008912DD">
        <w:rPr>
          <w:rFonts w:ascii="Times New Roman" w:eastAsia="標楷體" w:hAnsi="Times New Roman"/>
          <w:kern w:val="3"/>
          <w:sz w:val="28"/>
        </w:rPr>
        <w:t>等</w:t>
      </w:r>
      <w:r w:rsidRPr="008912DD">
        <w:rPr>
          <w:rFonts w:ascii="Times New Roman" w:eastAsia="標楷體" w:hAnsi="Times New Roman"/>
          <w:sz w:val="28"/>
        </w:rPr>
        <w:t>注射技術費包括於病房費中，不得另行申報，但材料費得另計。</w:t>
      </w:r>
    </w:p>
    <w:p w14:paraId="4EE9BBCC" w14:textId="77777777" w:rsidR="000257EE" w:rsidRPr="008912DD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四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急診部分審查原則及注意事項：</w:t>
      </w:r>
    </w:p>
    <w:p w14:paraId="77D64F42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r w:rsidRPr="008912DD">
        <w:rPr>
          <w:rFonts w:ascii="Times New Roman" w:eastAsia="標楷體" w:hAnsi="Times New Roman"/>
          <w:kern w:val="3"/>
          <w:sz w:val="28"/>
        </w:rPr>
        <w:t>急</w:t>
      </w:r>
      <w:r w:rsidRPr="008912DD">
        <w:rPr>
          <w:rFonts w:ascii="Times New Roman" w:eastAsia="標楷體" w:hAnsi="Times New Roman"/>
          <w:sz w:val="28"/>
        </w:rPr>
        <w:t>診定義及適用範圍依</w:t>
      </w:r>
      <w:r w:rsidRPr="008912DD">
        <w:rPr>
          <w:rFonts w:ascii="Times New Roman" w:eastAsia="標楷體" w:hAnsi="Times New Roman"/>
          <w:sz w:val="28"/>
          <w:szCs w:val="28"/>
        </w:rPr>
        <w:t>全民健康保險醫療服務給付項目及支付標準</w:t>
      </w:r>
      <w:r w:rsidRPr="008912DD">
        <w:rPr>
          <w:rFonts w:ascii="Times New Roman" w:eastAsia="標楷體" w:hAnsi="Times New Roman"/>
          <w:sz w:val="28"/>
        </w:rPr>
        <w:t>附表</w:t>
      </w:r>
      <w:proofErr w:type="gramStart"/>
      <w:r w:rsidRPr="008912DD">
        <w:rPr>
          <w:rFonts w:ascii="Times New Roman" w:eastAsia="標楷體" w:hAnsi="Times New Roman"/>
          <w:sz w:val="28"/>
        </w:rPr>
        <w:t>一</w:t>
      </w:r>
      <w:proofErr w:type="gramEnd"/>
      <w:r w:rsidRPr="008912DD">
        <w:rPr>
          <w:rFonts w:ascii="Times New Roman" w:eastAsia="標楷體" w:hAnsi="Times New Roman"/>
          <w:sz w:val="28"/>
        </w:rPr>
        <w:t>「急診定義及適用範圍」規定辦理。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</w:p>
    <w:p w14:paraId="73AB821F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Pr="008912DD">
        <w:rPr>
          <w:rFonts w:ascii="Times New Roman" w:eastAsia="標楷體" w:hAnsi="Times New Roman"/>
          <w:kern w:val="3"/>
          <w:sz w:val="28"/>
        </w:rPr>
        <w:t>急</w:t>
      </w:r>
      <w:r w:rsidRPr="008912DD">
        <w:rPr>
          <w:rFonts w:ascii="Times New Roman" w:eastAsia="標楷體" w:hAnsi="Times New Roman"/>
          <w:sz w:val="28"/>
        </w:rPr>
        <w:t>診病人因緊急傷病必須立即檢查時，其檢查費用得加算</w:t>
      </w:r>
      <w:r w:rsidRPr="008912DD">
        <w:rPr>
          <w:rFonts w:ascii="Times New Roman" w:eastAsia="標楷體" w:hAnsi="Times New Roman"/>
          <w:sz w:val="28"/>
        </w:rPr>
        <w:t>20%</w:t>
      </w:r>
      <w:r w:rsidRPr="008912DD">
        <w:rPr>
          <w:rFonts w:ascii="Times New Roman" w:eastAsia="標楷體" w:hAnsi="Times New Roman"/>
          <w:sz w:val="28"/>
        </w:rPr>
        <w:t>，但有</w:t>
      </w:r>
      <w:r w:rsidRPr="008912DD">
        <w:rPr>
          <w:rFonts w:ascii="Times New Roman" w:eastAsia="標楷體" w:hAnsi="Times New Roman"/>
          <w:kern w:val="3"/>
          <w:sz w:val="28"/>
        </w:rPr>
        <w:t>些如</w:t>
      </w:r>
      <w:r w:rsidRPr="008912DD">
        <w:rPr>
          <w:rFonts w:ascii="Times New Roman" w:eastAsia="標楷體" w:hAnsi="Times New Roman"/>
          <w:kern w:val="3"/>
          <w:sz w:val="28"/>
        </w:rPr>
        <w:t>blood gas</w:t>
      </w:r>
      <w:r w:rsidRPr="008912DD">
        <w:rPr>
          <w:rFonts w:ascii="Times New Roman" w:eastAsia="標楷體" w:hAnsi="Times New Roman"/>
          <w:sz w:val="28"/>
        </w:rPr>
        <w:t>等項目，應依健保規定不得加成，此外如急診病人之常規檢查亦不得加成。</w:t>
      </w:r>
    </w:p>
    <w:p w14:paraId="15ABD5E0" w14:textId="77777777" w:rsidR="000257EE" w:rsidRPr="008912DD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五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其他注意事項：其他未規範事宜得參考相關科審查注意事項辦理。</w:t>
      </w:r>
    </w:p>
    <w:p w14:paraId="7C38BA87" w14:textId="77777777" w:rsidR="000257EE" w:rsidRPr="008912DD" w:rsidRDefault="00274757" w:rsidP="00AA0EEE">
      <w:pPr>
        <w:snapToGrid w:val="0"/>
        <w:spacing w:line="600" w:lineRule="exact"/>
        <w:ind w:left="800" w:hanging="56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六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1.</w:t>
      </w:r>
      <w:r w:rsidRPr="008912DD">
        <w:rPr>
          <w:rFonts w:ascii="Times New Roman" w:eastAsia="標楷體" w:hAnsi="Times New Roman"/>
          <w:sz w:val="28"/>
        </w:rPr>
        <w:t>骨質密度測量檢查審查時應附之資料：</w:t>
      </w:r>
    </w:p>
    <w:p w14:paraId="2758CA2D" w14:textId="77777777" w:rsidR="000257EE" w:rsidRPr="008912DD" w:rsidRDefault="00274757" w:rsidP="00AA0EEE">
      <w:pPr>
        <w:snapToGrid w:val="0"/>
        <w:spacing w:line="600" w:lineRule="exact"/>
        <w:ind w:left="1512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(1)</w:t>
      </w:r>
      <w:r w:rsidRPr="008912DD">
        <w:rPr>
          <w:rFonts w:ascii="Times New Roman" w:eastAsia="標楷體" w:hAnsi="Times New Roman"/>
          <w:sz w:val="28"/>
        </w:rPr>
        <w:t>內分泌失調可能加速骨質流失</w:t>
      </w:r>
      <w:r w:rsidRPr="008912DD">
        <w:rPr>
          <w:rFonts w:ascii="Times New Roman" w:eastAsia="標楷體" w:hAnsi="Times New Roman"/>
          <w:kern w:val="3"/>
          <w:sz w:val="28"/>
        </w:rPr>
        <w:t>者</w:t>
      </w:r>
      <w:r w:rsidRPr="008912DD">
        <w:rPr>
          <w:rFonts w:ascii="Times New Roman" w:eastAsia="標楷體" w:hAnsi="Times New Roman"/>
          <w:sz w:val="28"/>
          <w:szCs w:val="28"/>
        </w:rPr>
        <w:t>，審查時需檢附相關數據</w:t>
      </w:r>
      <w:r w:rsidRPr="008912DD">
        <w:rPr>
          <w:rFonts w:ascii="Times New Roman" w:eastAsia="標楷體" w:hAnsi="Times New Roman"/>
          <w:kern w:val="3"/>
          <w:sz w:val="28"/>
        </w:rPr>
        <w:t>。</w:t>
      </w:r>
      <w:r w:rsidRPr="008912DD">
        <w:rPr>
          <w:rFonts w:ascii="Times New Roman" w:eastAsia="標楷體" w:hAnsi="Times New Roman"/>
          <w:kern w:val="3"/>
          <w:sz w:val="28"/>
        </w:rPr>
        <w:lastRenderedPageBreak/>
        <w:t>(100/1/1)</w:t>
      </w:r>
    </w:p>
    <w:p w14:paraId="1450E104" w14:textId="77777777" w:rsidR="000257EE" w:rsidRPr="008912DD" w:rsidRDefault="00274757" w:rsidP="00AA0EEE">
      <w:pPr>
        <w:snapToGrid w:val="0"/>
        <w:spacing w:line="600" w:lineRule="exact"/>
        <w:ind w:left="1512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(2)</w:t>
      </w:r>
      <w:r w:rsidRPr="008912DD">
        <w:rPr>
          <w:rFonts w:ascii="Times New Roman" w:eastAsia="標楷體" w:hAnsi="Times New Roman"/>
          <w:sz w:val="28"/>
        </w:rPr>
        <w:t>非創傷性之骨折者</w:t>
      </w:r>
      <w:r w:rsidRPr="008912DD">
        <w:rPr>
          <w:rFonts w:ascii="Times New Roman" w:eastAsia="標楷體" w:hAnsi="Times New Roman"/>
          <w:sz w:val="28"/>
          <w:szCs w:val="28"/>
        </w:rPr>
        <w:t>，審查時需檢附</w:t>
      </w:r>
      <w:r w:rsidRPr="008912DD">
        <w:rPr>
          <w:rFonts w:ascii="Times New Roman" w:eastAsia="標楷體" w:hAnsi="Times New Roman"/>
          <w:sz w:val="28"/>
          <w:szCs w:val="28"/>
        </w:rPr>
        <w:t>X</w:t>
      </w:r>
      <w:r w:rsidRPr="008912DD">
        <w:rPr>
          <w:rFonts w:ascii="Times New Roman" w:eastAsia="標楷體" w:hAnsi="Times New Roman"/>
          <w:sz w:val="28"/>
          <w:szCs w:val="28"/>
        </w:rPr>
        <w:t>光片</w:t>
      </w:r>
      <w:r w:rsidRPr="008912DD">
        <w:rPr>
          <w:rFonts w:ascii="Times New Roman" w:eastAsia="標楷體" w:hAnsi="Times New Roman"/>
          <w:sz w:val="28"/>
        </w:rPr>
        <w:t>。</w:t>
      </w:r>
      <w:r w:rsidRPr="008912DD">
        <w:rPr>
          <w:rFonts w:ascii="Times New Roman" w:eastAsia="標楷體" w:hAnsi="Times New Roman"/>
          <w:kern w:val="3"/>
          <w:sz w:val="28"/>
        </w:rPr>
        <w:t>(100/1/1)</w:t>
      </w:r>
    </w:p>
    <w:p w14:paraId="7DD5008F" w14:textId="77777777" w:rsidR="000257EE" w:rsidRPr="008912DD" w:rsidRDefault="00274757" w:rsidP="00AA0EEE">
      <w:pPr>
        <w:snapToGrid w:val="0"/>
        <w:spacing w:line="600" w:lineRule="exact"/>
        <w:ind w:left="1512" w:hanging="4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(3)</w:t>
      </w:r>
      <w:r w:rsidRPr="008912DD">
        <w:rPr>
          <w:rFonts w:ascii="Times New Roman" w:eastAsia="標楷體" w:hAnsi="Times New Roman"/>
          <w:kern w:val="3"/>
          <w:sz w:val="28"/>
        </w:rPr>
        <w:t>刪除</w:t>
      </w:r>
      <w:r w:rsidRPr="008912DD">
        <w:rPr>
          <w:rFonts w:ascii="Times New Roman" w:eastAsia="標楷體" w:hAnsi="Times New Roman"/>
          <w:sz w:val="28"/>
        </w:rPr>
        <w:t>(100/1/1)</w:t>
      </w:r>
    </w:p>
    <w:p w14:paraId="6F83714C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Pr="008912DD">
        <w:rPr>
          <w:rFonts w:ascii="Times New Roman" w:eastAsia="標楷體" w:hAnsi="Times New Roman"/>
          <w:sz w:val="28"/>
        </w:rPr>
        <w:t>前述保險對象因病情需要再次施行骨質密度測量檢查時，間隔時間應為一年以上，且是項檢查以三次為限。</w:t>
      </w:r>
    </w:p>
    <w:p w14:paraId="209E5A7C" w14:textId="77777777" w:rsidR="000257EE" w:rsidRPr="008912DD" w:rsidRDefault="00274757" w:rsidP="00AA0EEE">
      <w:pPr>
        <w:pStyle w:val="20"/>
        <w:snapToGrid w:val="0"/>
        <w:spacing w:line="600" w:lineRule="exact"/>
        <w:ind w:left="1106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3.</w:t>
      </w:r>
      <w:r w:rsidRPr="008912DD">
        <w:rPr>
          <w:rFonts w:ascii="Times New Roman" w:eastAsia="標楷體" w:hAnsi="Times New Roman"/>
          <w:sz w:val="28"/>
        </w:rPr>
        <w:t>篩檢性檢查不列入本保險給付範圍。</w:t>
      </w:r>
    </w:p>
    <w:p w14:paraId="760213D8" w14:textId="77777777" w:rsidR="000257EE" w:rsidRPr="008912DD" w:rsidRDefault="00274757" w:rsidP="00BC195E">
      <w:pPr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七</w:t>
      </w:r>
      <w:r w:rsidRPr="008912DD">
        <w:rPr>
          <w:rFonts w:ascii="Times New Roman" w:eastAsia="標楷體" w:hAnsi="Times New Roman"/>
          <w:sz w:val="28"/>
        </w:rPr>
        <w:t>)</w:t>
      </w:r>
      <w:r w:rsidR="00BC195E" w:rsidRPr="008912DD">
        <w:rPr>
          <w:rFonts w:ascii="Times New Roman" w:eastAsia="標楷體" w:hAnsi="Times New Roman" w:hint="eastAsia"/>
          <w:sz w:val="28"/>
        </w:rPr>
        <w:t>刪</w:t>
      </w:r>
      <w:r w:rsidR="00BC195E" w:rsidRPr="008912DD">
        <w:rPr>
          <w:rFonts w:ascii="Times New Roman" w:eastAsia="標楷體" w:hAnsi="Times New Roman"/>
          <w:sz w:val="28"/>
        </w:rPr>
        <w:t>除</w:t>
      </w:r>
      <w:r w:rsidR="00BC195E" w:rsidRPr="008912DD">
        <w:rPr>
          <w:rFonts w:ascii="Times New Roman" w:eastAsia="標楷體" w:hAnsi="Times New Roman" w:hint="eastAsia"/>
          <w:sz w:val="28"/>
        </w:rPr>
        <w:t>(</w:t>
      </w:r>
      <w:r w:rsidR="00A20D4E" w:rsidRPr="008912DD">
        <w:rPr>
          <w:rFonts w:ascii="Times New Roman" w:eastAsia="標楷體" w:hAnsi="Times New Roman" w:hint="eastAsia"/>
          <w:sz w:val="28"/>
        </w:rPr>
        <w:t>110/6/1</w:t>
      </w:r>
      <w:r w:rsidR="00BC195E" w:rsidRPr="008912DD">
        <w:rPr>
          <w:rFonts w:ascii="Times New Roman" w:eastAsia="標楷體" w:hAnsi="Times New Roman" w:hint="eastAsia"/>
          <w:sz w:val="28"/>
        </w:rPr>
        <w:t>)</w:t>
      </w:r>
    </w:p>
    <w:p w14:paraId="48C04CA4" w14:textId="77777777" w:rsidR="000257EE" w:rsidRPr="008912DD" w:rsidRDefault="00274757" w:rsidP="00AA0EEE">
      <w:pPr>
        <w:tabs>
          <w:tab w:val="left" w:pos="4153"/>
        </w:tabs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八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刪除</w:t>
      </w:r>
      <w:r w:rsidRPr="008912DD">
        <w:rPr>
          <w:rFonts w:ascii="Times New Roman" w:eastAsia="標楷體" w:hAnsi="Times New Roman"/>
          <w:sz w:val="28"/>
        </w:rPr>
        <w:t>(99/7/1)</w:t>
      </w:r>
    </w:p>
    <w:p w14:paraId="1448FD22" w14:textId="77777777" w:rsidR="000257EE" w:rsidRPr="008912DD" w:rsidRDefault="00274757" w:rsidP="00AA0EEE">
      <w:pPr>
        <w:snapToGrid w:val="0"/>
        <w:spacing w:line="600" w:lineRule="exact"/>
        <w:ind w:left="1117" w:hanging="834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九</w:t>
      </w:r>
      <w:r w:rsidRPr="008912DD">
        <w:rPr>
          <w:rFonts w:ascii="Times New Roman" w:eastAsia="標楷體" w:hAnsi="Times New Roman"/>
          <w:sz w:val="28"/>
        </w:rPr>
        <w:t>)</w:t>
      </w:r>
      <w:r w:rsidR="0004094A" w:rsidRPr="008912DD">
        <w:rPr>
          <w:rFonts w:ascii="Times New Roman" w:eastAsia="標楷體" w:hAnsi="Times New Roman"/>
          <w:sz w:val="28"/>
        </w:rPr>
        <w:t>刪除</w:t>
      </w:r>
      <w:r w:rsidR="0004094A" w:rsidRPr="008912DD">
        <w:rPr>
          <w:rFonts w:ascii="Times New Roman" w:eastAsia="標楷體" w:hAnsi="Times New Roman"/>
          <w:sz w:val="28"/>
        </w:rPr>
        <w:t>(</w:t>
      </w:r>
      <w:r w:rsidR="00817FDE" w:rsidRPr="008912DD">
        <w:rPr>
          <w:rFonts w:ascii="Times New Roman" w:eastAsia="標楷體" w:hAnsi="Times New Roman"/>
          <w:sz w:val="28"/>
        </w:rPr>
        <w:t>108/3/1</w:t>
      </w:r>
      <w:r w:rsidR="0004094A" w:rsidRPr="008912DD">
        <w:rPr>
          <w:rFonts w:ascii="Times New Roman" w:eastAsia="標楷體" w:hAnsi="Times New Roman"/>
          <w:sz w:val="28"/>
        </w:rPr>
        <w:t>)</w:t>
      </w:r>
      <w:r w:rsidR="0004094A" w:rsidRPr="008912DD" w:rsidDel="0004094A">
        <w:rPr>
          <w:rFonts w:ascii="Times New Roman" w:eastAsia="標楷體" w:hAnsi="Times New Roman"/>
          <w:kern w:val="3"/>
          <w:sz w:val="28"/>
        </w:rPr>
        <w:t xml:space="preserve"> </w:t>
      </w:r>
    </w:p>
    <w:p w14:paraId="4F23B4C0" w14:textId="77777777" w:rsidR="000257EE" w:rsidRPr="008912DD" w:rsidRDefault="00274757" w:rsidP="00AA0EEE">
      <w:pPr>
        <w:snapToGrid w:val="0"/>
        <w:spacing w:line="600" w:lineRule="exact"/>
        <w:ind w:left="567" w:hanging="567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bCs/>
          <w:sz w:val="28"/>
          <w:szCs w:val="28"/>
        </w:rPr>
        <w:t>(</w:t>
      </w:r>
      <w:r w:rsidRPr="008912DD">
        <w:rPr>
          <w:rFonts w:ascii="Times New Roman" w:eastAsia="標楷體" w:hAnsi="Times New Roman"/>
          <w:bCs/>
          <w:sz w:val="28"/>
          <w:szCs w:val="28"/>
        </w:rPr>
        <w:t>十</w:t>
      </w:r>
      <w:r w:rsidRPr="008912DD">
        <w:rPr>
          <w:rFonts w:ascii="Times New Roman" w:eastAsia="標楷體" w:hAnsi="Times New Roman"/>
          <w:bCs/>
          <w:sz w:val="28"/>
          <w:szCs w:val="28"/>
        </w:rPr>
        <w:t>)</w:t>
      </w:r>
      <w:r w:rsidRPr="008912DD">
        <w:rPr>
          <w:rFonts w:ascii="Times New Roman" w:eastAsia="標楷體" w:hAnsi="Times New Roman"/>
          <w:bCs/>
          <w:sz w:val="28"/>
          <w:szCs w:val="28"/>
        </w:rPr>
        <w:t>針對抽審案件中若有執行腹部超音波時請檢附正本照片</w:t>
      </w:r>
      <w:r w:rsidRPr="008912DD">
        <w:rPr>
          <w:rFonts w:ascii="Times New Roman" w:eastAsia="標楷體" w:hAnsi="Times New Roman"/>
          <w:bCs/>
          <w:sz w:val="28"/>
          <w:szCs w:val="28"/>
        </w:rPr>
        <w:t>(</w:t>
      </w:r>
      <w:r w:rsidRPr="008912DD">
        <w:rPr>
          <w:rFonts w:ascii="Times New Roman" w:eastAsia="標楷體" w:hAnsi="Times New Roman"/>
          <w:bCs/>
          <w:sz w:val="28"/>
          <w:szCs w:val="28"/>
        </w:rPr>
        <w:t>內含病</w:t>
      </w:r>
      <w:r w:rsidRPr="008912DD">
        <w:rPr>
          <w:rFonts w:ascii="Times New Roman" w:eastAsia="標楷體" w:hAnsi="Times New Roman"/>
          <w:kern w:val="3"/>
          <w:sz w:val="28"/>
        </w:rPr>
        <w:t>人</w:t>
      </w:r>
      <w:r w:rsidRPr="008912DD">
        <w:rPr>
          <w:rFonts w:ascii="Times New Roman" w:eastAsia="標楷體" w:hAnsi="Times New Roman"/>
          <w:kern w:val="3"/>
          <w:sz w:val="28"/>
        </w:rPr>
        <w:t>ID</w:t>
      </w:r>
      <w:r w:rsidRPr="008912DD">
        <w:rPr>
          <w:rFonts w:ascii="Times New Roman" w:eastAsia="標楷體" w:hAnsi="Times New Roman"/>
          <w:bCs/>
          <w:sz w:val="28"/>
          <w:szCs w:val="28"/>
        </w:rPr>
        <w:t>或病歷號碼、院所名稱及檢驗日期</w:t>
      </w:r>
      <w:r w:rsidRPr="008912DD">
        <w:rPr>
          <w:rFonts w:ascii="Times New Roman" w:eastAsia="標楷體" w:hAnsi="Times New Roman"/>
          <w:bCs/>
          <w:sz w:val="28"/>
          <w:szCs w:val="28"/>
        </w:rPr>
        <w:t>)</w:t>
      </w:r>
      <w:r w:rsidRPr="008912DD">
        <w:rPr>
          <w:rFonts w:ascii="Times New Roman" w:eastAsia="標楷體" w:hAnsi="Times New Roman"/>
          <w:bCs/>
          <w:sz w:val="28"/>
          <w:szCs w:val="28"/>
        </w:rPr>
        <w:t>以利專業審查判定。待審查完畢會將原正本照片</w:t>
      </w:r>
      <w:r w:rsidR="00C54EE9" w:rsidRPr="008912DD">
        <w:rPr>
          <w:rFonts w:ascii="Times New Roman" w:eastAsia="標楷體" w:hAnsi="Times New Roman"/>
          <w:bCs/>
          <w:sz w:val="28"/>
          <w:szCs w:val="28"/>
        </w:rPr>
        <w:t>(</w:t>
      </w:r>
      <w:r w:rsidRPr="008912DD">
        <w:rPr>
          <w:rFonts w:ascii="Times New Roman" w:eastAsia="標楷體" w:hAnsi="Times New Roman"/>
          <w:bCs/>
          <w:sz w:val="28"/>
          <w:szCs w:val="28"/>
        </w:rPr>
        <w:t>或清晰之照片、幻灯片等</w:t>
      </w:r>
      <w:r w:rsidR="00C54EE9" w:rsidRPr="008912DD">
        <w:rPr>
          <w:rFonts w:ascii="Times New Roman" w:eastAsia="標楷體" w:hAnsi="Times New Roman"/>
          <w:bCs/>
          <w:sz w:val="28"/>
          <w:szCs w:val="28"/>
        </w:rPr>
        <w:t>)</w:t>
      </w:r>
      <w:r w:rsidRPr="008912DD">
        <w:rPr>
          <w:rFonts w:ascii="Times New Roman" w:eastAsia="標楷體" w:hAnsi="Times New Roman"/>
          <w:bCs/>
          <w:sz w:val="28"/>
          <w:szCs w:val="28"/>
        </w:rPr>
        <w:t>寄還院所。</w:t>
      </w:r>
    </w:p>
    <w:p w14:paraId="27DA1AD2" w14:textId="77777777" w:rsidR="000257EE" w:rsidRPr="008912DD" w:rsidRDefault="00274757" w:rsidP="00AA0EEE">
      <w:pPr>
        <w:snapToGrid w:val="0"/>
        <w:spacing w:line="600" w:lineRule="exact"/>
        <w:ind w:left="1148" w:hanging="1148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bCs/>
          <w:sz w:val="28"/>
          <w:szCs w:val="28"/>
        </w:rPr>
        <w:t>(</w:t>
      </w:r>
      <w:r w:rsidRPr="008912DD">
        <w:rPr>
          <w:rFonts w:ascii="Times New Roman" w:eastAsia="標楷體" w:hAnsi="Times New Roman"/>
          <w:bCs/>
          <w:sz w:val="28"/>
          <w:szCs w:val="28"/>
        </w:rPr>
        <w:t>十一</w:t>
      </w:r>
      <w:r w:rsidRPr="008912DD">
        <w:rPr>
          <w:rFonts w:ascii="Times New Roman" w:eastAsia="標楷體" w:hAnsi="Times New Roman"/>
          <w:bCs/>
          <w:sz w:val="28"/>
          <w:szCs w:val="28"/>
        </w:rPr>
        <w:t>)</w:t>
      </w:r>
      <w:r w:rsidRPr="008912DD">
        <w:rPr>
          <w:rFonts w:ascii="Times New Roman" w:eastAsia="標楷體" w:hAnsi="Times New Roman"/>
          <w:bCs/>
          <w:sz w:val="28"/>
        </w:rPr>
        <w:t>肝</w:t>
      </w:r>
      <w:r w:rsidRPr="008912DD">
        <w:rPr>
          <w:rFonts w:ascii="Times New Roman" w:eastAsia="標楷體" w:hAnsi="Times New Roman"/>
          <w:bCs/>
          <w:sz w:val="28"/>
          <w:szCs w:val="28"/>
        </w:rPr>
        <w:t>庇護</w:t>
      </w:r>
      <w:r w:rsidRPr="008912DD">
        <w:rPr>
          <w:rFonts w:ascii="Times New Roman" w:eastAsia="標楷體" w:hAnsi="Times New Roman"/>
          <w:bCs/>
          <w:sz w:val="28"/>
        </w:rPr>
        <w:t>劑審查注意事項</w:t>
      </w:r>
      <w:r w:rsidRPr="008912DD">
        <w:rPr>
          <w:rFonts w:ascii="Times New Roman" w:eastAsia="標楷體" w:hAnsi="Times New Roman"/>
          <w:bCs/>
          <w:sz w:val="28"/>
        </w:rPr>
        <w:t>(</w:t>
      </w:r>
      <w:r w:rsidRPr="008912DD">
        <w:rPr>
          <w:rFonts w:ascii="Times New Roman" w:eastAsia="標楷體" w:hAnsi="Times New Roman"/>
          <w:bCs/>
          <w:sz w:val="28"/>
        </w:rPr>
        <w:t>附表十九</w:t>
      </w:r>
      <w:r w:rsidRPr="008912DD">
        <w:rPr>
          <w:rFonts w:ascii="Times New Roman" w:eastAsia="標楷體" w:hAnsi="Times New Roman"/>
          <w:bCs/>
          <w:sz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 xml:space="preserve"> (97/5/1)</w:t>
      </w:r>
    </w:p>
    <w:p w14:paraId="7543A16F" w14:textId="77777777" w:rsidR="000257EE" w:rsidRPr="008912DD" w:rsidRDefault="00274757" w:rsidP="00AA0EEE">
      <w:pPr>
        <w:snapToGrid w:val="0"/>
        <w:spacing w:line="600" w:lineRule="exact"/>
        <w:ind w:left="851" w:hanging="851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bCs/>
          <w:sz w:val="28"/>
        </w:rPr>
        <w:t>(</w:t>
      </w:r>
      <w:r w:rsidRPr="008912DD">
        <w:rPr>
          <w:rFonts w:ascii="Times New Roman" w:eastAsia="標楷體" w:hAnsi="Times New Roman"/>
          <w:bCs/>
          <w:sz w:val="28"/>
        </w:rPr>
        <w:t>十二</w:t>
      </w:r>
      <w:r w:rsidRPr="008912DD">
        <w:rPr>
          <w:rFonts w:ascii="Times New Roman" w:eastAsia="標楷體" w:hAnsi="Times New Roman"/>
          <w:bCs/>
          <w:sz w:val="28"/>
        </w:rPr>
        <w:t>)</w:t>
      </w:r>
      <w:r w:rsidRPr="008912DD">
        <w:rPr>
          <w:rFonts w:ascii="Times New Roman" w:eastAsia="標楷體" w:hAnsi="Times New Roman"/>
          <w:bCs/>
          <w:sz w:val="28"/>
        </w:rPr>
        <w:t>使</w:t>
      </w:r>
      <w:r w:rsidRPr="008912DD">
        <w:rPr>
          <w:rFonts w:ascii="Times New Roman" w:eastAsia="標楷體" w:hAnsi="Times New Roman"/>
          <w:kern w:val="3"/>
          <w:sz w:val="28"/>
        </w:rPr>
        <w:t>用</w:t>
      </w:r>
      <w:r w:rsidRPr="008912DD">
        <w:rPr>
          <w:rFonts w:ascii="Times New Roman" w:eastAsia="標楷體" w:hAnsi="Times New Roman"/>
          <w:kern w:val="3"/>
          <w:sz w:val="28"/>
        </w:rPr>
        <w:t>COX</w:t>
      </w:r>
      <w:r w:rsidRPr="008912DD">
        <w:rPr>
          <w:rFonts w:ascii="新細明體" w:eastAsia="新細明體" w:hAnsi="新細明體" w:cs="新細明體" w:hint="eastAsia"/>
          <w:kern w:val="3"/>
          <w:sz w:val="28"/>
        </w:rPr>
        <w:t>Ⅱ</w:t>
      </w:r>
      <w:r w:rsidRPr="008912DD">
        <w:rPr>
          <w:rFonts w:ascii="Times New Roman" w:eastAsia="標楷體" w:hAnsi="Times New Roman"/>
          <w:kern w:val="3"/>
          <w:sz w:val="28"/>
        </w:rPr>
        <w:t>抑制劑之</w:t>
      </w:r>
      <w:r w:rsidRPr="008912DD">
        <w:rPr>
          <w:rFonts w:ascii="Times New Roman" w:eastAsia="標楷體" w:hAnsi="Times New Roman"/>
          <w:kern w:val="3"/>
          <w:sz w:val="28"/>
        </w:rPr>
        <w:t>NSAID</w:t>
      </w:r>
      <w:r w:rsidRPr="008912DD">
        <w:rPr>
          <w:rFonts w:ascii="Times New Roman" w:eastAsia="標楷體" w:hAnsi="Times New Roman"/>
          <w:kern w:val="3"/>
          <w:sz w:val="28"/>
        </w:rPr>
        <w:t>時如果沒有適應症應避免使用</w:t>
      </w:r>
      <w:r w:rsidRPr="008912DD">
        <w:rPr>
          <w:rFonts w:ascii="Times New Roman" w:eastAsia="標楷體" w:hAnsi="Times New Roman"/>
          <w:kern w:val="3"/>
          <w:sz w:val="28"/>
        </w:rPr>
        <w:t>antacid</w:t>
      </w:r>
      <w:r w:rsidRPr="008912DD">
        <w:rPr>
          <w:rFonts w:ascii="Times New Roman" w:eastAsia="標楷體" w:hAnsi="Times New Roman"/>
          <w:kern w:val="3"/>
          <w:sz w:val="28"/>
        </w:rPr>
        <w:t>，</w:t>
      </w:r>
      <w:r w:rsidRPr="008912DD">
        <w:rPr>
          <w:rFonts w:ascii="Times New Roman" w:eastAsia="標楷體" w:hAnsi="Times New Roman"/>
          <w:bCs/>
          <w:sz w:val="28"/>
        </w:rPr>
        <w:t>否則從嚴審查。</w:t>
      </w:r>
    </w:p>
    <w:p w14:paraId="3E95138A" w14:textId="77777777" w:rsidR="000257EE" w:rsidRPr="008912DD" w:rsidRDefault="00274757" w:rsidP="00AA0EEE">
      <w:pPr>
        <w:snapToGrid w:val="0"/>
        <w:spacing w:line="600" w:lineRule="exact"/>
        <w:ind w:left="1148" w:hanging="1148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bCs/>
          <w:sz w:val="28"/>
        </w:rPr>
        <w:t>(</w:t>
      </w:r>
      <w:r w:rsidRPr="008912DD">
        <w:rPr>
          <w:rFonts w:ascii="Times New Roman" w:eastAsia="標楷體" w:hAnsi="Times New Roman"/>
          <w:bCs/>
          <w:sz w:val="28"/>
        </w:rPr>
        <w:t>十三</w:t>
      </w:r>
      <w:r w:rsidRPr="008912DD">
        <w:rPr>
          <w:rFonts w:ascii="Times New Roman" w:eastAsia="標楷體" w:hAnsi="Times New Roman"/>
          <w:bCs/>
          <w:sz w:val="28"/>
        </w:rPr>
        <w:t>)</w:t>
      </w:r>
      <w:r w:rsidRPr="008912DD">
        <w:rPr>
          <w:rFonts w:ascii="Times New Roman" w:eastAsia="標楷體" w:hAnsi="Times New Roman"/>
          <w:bCs/>
          <w:sz w:val="28"/>
        </w:rPr>
        <w:t>刪除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</w:p>
    <w:p w14:paraId="781B647B" w14:textId="77777777" w:rsidR="000257EE" w:rsidRPr="008912DD" w:rsidRDefault="00274757" w:rsidP="00AA0EEE">
      <w:pPr>
        <w:snapToGrid w:val="0"/>
        <w:spacing w:line="600" w:lineRule="exact"/>
        <w:ind w:left="840" w:hanging="84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bCs/>
          <w:sz w:val="28"/>
        </w:rPr>
        <w:t>(</w:t>
      </w:r>
      <w:r w:rsidRPr="008912DD">
        <w:rPr>
          <w:rFonts w:ascii="Times New Roman" w:eastAsia="標楷體" w:hAnsi="Times New Roman"/>
          <w:bCs/>
          <w:sz w:val="28"/>
        </w:rPr>
        <w:t>十四</w:t>
      </w:r>
      <w:r w:rsidRPr="008912DD">
        <w:rPr>
          <w:rFonts w:ascii="Times New Roman" w:eastAsia="標楷體" w:hAnsi="Times New Roman"/>
          <w:bCs/>
          <w:sz w:val="28"/>
        </w:rPr>
        <w:t>)</w:t>
      </w:r>
      <w:r w:rsidRPr="008912DD">
        <w:rPr>
          <w:rFonts w:ascii="Times New Roman" w:eastAsia="標楷體" w:hAnsi="Times New Roman"/>
          <w:bCs/>
          <w:sz w:val="28"/>
        </w:rPr>
        <w:t>刪除</w:t>
      </w:r>
      <w:r w:rsidRPr="008912DD">
        <w:rPr>
          <w:rFonts w:ascii="Times New Roman" w:eastAsia="標楷體" w:hAnsi="Times New Roman"/>
          <w:bCs/>
          <w:sz w:val="28"/>
        </w:rPr>
        <w:t xml:space="preserve">(101/7/1) </w:t>
      </w:r>
    </w:p>
    <w:p w14:paraId="3E919AD6" w14:textId="7190632C" w:rsidR="000257EE" w:rsidRPr="008912DD" w:rsidRDefault="00274757" w:rsidP="0095599B">
      <w:pPr>
        <w:snapToGrid w:val="0"/>
        <w:spacing w:line="600" w:lineRule="exact"/>
        <w:ind w:left="851" w:hanging="851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bCs/>
          <w:sz w:val="28"/>
        </w:rPr>
        <w:t>(</w:t>
      </w:r>
      <w:r w:rsidRPr="008912DD">
        <w:rPr>
          <w:rFonts w:ascii="Times New Roman" w:eastAsia="標楷體" w:hAnsi="Times New Roman"/>
          <w:bCs/>
          <w:sz w:val="28"/>
        </w:rPr>
        <w:t>十五</w:t>
      </w:r>
      <w:r w:rsidRPr="008912DD">
        <w:rPr>
          <w:rFonts w:ascii="Times New Roman" w:eastAsia="標楷體" w:hAnsi="Times New Roman"/>
          <w:bCs/>
          <w:sz w:val="28"/>
        </w:rPr>
        <w:t>)</w:t>
      </w:r>
      <w:r w:rsidR="00FF194C" w:rsidRPr="008912DD">
        <w:rPr>
          <w:rFonts w:ascii="Times New Roman" w:hAnsi="Times New Roman"/>
        </w:rPr>
        <w:t xml:space="preserve"> </w:t>
      </w:r>
      <w:r w:rsidR="00FF194C" w:rsidRPr="00FF194C">
        <w:rPr>
          <w:rFonts w:ascii="Times New Roman" w:eastAsia="標楷體" w:hAnsi="Times New Roman" w:hint="eastAsia"/>
          <w:bCs/>
          <w:sz w:val="28"/>
        </w:rPr>
        <w:t>刪除</w:t>
      </w:r>
      <w:r w:rsidR="00FF194C" w:rsidRPr="00FF194C">
        <w:rPr>
          <w:rFonts w:ascii="Times New Roman" w:eastAsia="標楷體" w:hAnsi="Times New Roman"/>
          <w:bCs/>
          <w:sz w:val="28"/>
        </w:rPr>
        <w:t>(</w:t>
      </w:r>
      <w:r w:rsidR="009F5CE1">
        <w:rPr>
          <w:rFonts w:ascii="Times New Roman" w:eastAsia="標楷體" w:hAnsi="Times New Roman"/>
          <w:bCs/>
          <w:sz w:val="28"/>
        </w:rPr>
        <w:t>112/4/1</w:t>
      </w:r>
      <w:r w:rsidR="00FF194C" w:rsidRPr="00FF194C">
        <w:rPr>
          <w:rFonts w:ascii="Times New Roman" w:eastAsia="標楷體" w:hAnsi="Times New Roman"/>
          <w:bCs/>
          <w:sz w:val="28"/>
        </w:rPr>
        <w:t>)</w:t>
      </w:r>
    </w:p>
    <w:p w14:paraId="3964772D" w14:textId="5E3CDAAE" w:rsidR="0095599B" w:rsidRDefault="0095599B" w:rsidP="00AA0EEE">
      <w:pPr>
        <w:spacing w:line="600" w:lineRule="exact"/>
        <w:ind w:left="1385" w:firstLine="2"/>
        <w:jc w:val="both"/>
        <w:rPr>
          <w:rFonts w:ascii="Times New Roman" w:eastAsia="標楷體" w:hAnsi="Times New Roman"/>
          <w:kern w:val="3"/>
          <w:sz w:val="28"/>
        </w:rPr>
      </w:pPr>
    </w:p>
    <w:sectPr w:rsidR="0095599B" w:rsidSect="0095599B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E26677" w:rsidRDefault="00E26677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E26677" w:rsidRDefault="00E26677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E26677" w:rsidRDefault="00E26677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E26677" w:rsidRDefault="00E2667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E26677" w:rsidRDefault="00E26677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E26677" w:rsidRDefault="00E26677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E26677" w:rsidRDefault="00E266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0CA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D7"/>
    <w:rsid w:val="00952ADD"/>
    <w:rsid w:val="009541F7"/>
    <w:rsid w:val="0095425A"/>
    <w:rsid w:val="0095462A"/>
    <w:rsid w:val="0095599B"/>
    <w:rsid w:val="009577A4"/>
    <w:rsid w:val="00957BA9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455"/>
    <w:rsid w:val="00C54EE9"/>
    <w:rsid w:val="00C55283"/>
    <w:rsid w:val="00C5620E"/>
    <w:rsid w:val="00C574D0"/>
    <w:rsid w:val="00C574FB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B6920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191C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26677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D139-3B2E-4B0D-8425-4E2EB85F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2023-10-20T06:31:00Z</cp:lastPrinted>
  <dcterms:created xsi:type="dcterms:W3CDTF">2025-01-05T01:40:00Z</dcterms:created>
  <dcterms:modified xsi:type="dcterms:W3CDTF">2025-01-05T01:40:00Z</dcterms:modified>
</cp:coreProperties>
</file>