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C5" w:rsidRPr="008D78F3" w:rsidRDefault="00BE6DC5" w:rsidP="00BE6DC5">
      <w:pPr>
        <w:pStyle w:val="aff6"/>
        <w:rPr>
          <w:rFonts w:ascii="Times New Roman" w:hAnsi="Times New Roman"/>
        </w:rPr>
      </w:pPr>
      <w:bookmarkStart w:id="0" w:name="_Toc38875784"/>
      <w:r w:rsidRPr="008D78F3">
        <w:rPr>
          <w:rFonts w:ascii="Times New Roman" w:hAnsi="Times New Roman"/>
        </w:rPr>
        <w:t>七、西醫基層醫療費用審查注意事項</w:t>
      </w:r>
      <w:r w:rsidRPr="008D78F3">
        <w:rPr>
          <w:rFonts w:ascii="Times New Roman" w:hAnsi="Times New Roman"/>
        </w:rPr>
        <w:t>-</w:t>
      </w:r>
      <w:r w:rsidRPr="008D78F3">
        <w:rPr>
          <w:rFonts w:ascii="Times New Roman" w:hAnsi="Times New Roman"/>
        </w:rPr>
        <w:t>泌尿科</w:t>
      </w:r>
      <w:bookmarkEnd w:id="0"/>
    </w:p>
    <w:p w:rsidR="00BE6DC5" w:rsidRPr="008D78F3" w:rsidRDefault="00BE6DC5" w:rsidP="00BE6DC5">
      <w:pPr>
        <w:snapToGrid w:val="0"/>
        <w:spacing w:line="600" w:lineRule="exact"/>
        <w:ind w:left="800" w:hanging="560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一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</w:rPr>
        <w:t>前列腺切除術</w:t>
      </w:r>
      <w:r w:rsidRPr="008D78F3">
        <w:rPr>
          <w:rFonts w:ascii="Times New Roman" w:eastAsia="標楷體" w:hAnsi="Times New Roman"/>
          <w:sz w:val="28"/>
          <w:szCs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79404B</w:t>
      </w:r>
      <w:r w:rsidRPr="008D78F3">
        <w:rPr>
          <w:rFonts w:ascii="Times New Roman" w:eastAsia="標楷體" w:hAnsi="Times New Roman"/>
          <w:kern w:val="3"/>
          <w:sz w:val="28"/>
        </w:rPr>
        <w:t>、</w:t>
      </w:r>
      <w:r w:rsidRPr="008D78F3">
        <w:rPr>
          <w:rFonts w:ascii="Times New Roman" w:eastAsia="標楷體" w:hAnsi="Times New Roman"/>
          <w:kern w:val="3"/>
          <w:sz w:val="28"/>
        </w:rPr>
        <w:t>79405B</w:t>
      </w:r>
      <w:r w:rsidRPr="008D78F3">
        <w:rPr>
          <w:rFonts w:ascii="Times New Roman" w:eastAsia="標楷體" w:hAnsi="Times New Roman"/>
          <w:kern w:val="3"/>
          <w:sz w:val="28"/>
        </w:rPr>
        <w:t>、</w:t>
      </w:r>
      <w:r w:rsidRPr="008D78F3">
        <w:rPr>
          <w:rFonts w:ascii="Times New Roman" w:eastAsia="標楷體" w:hAnsi="Times New Roman"/>
          <w:kern w:val="3"/>
          <w:sz w:val="28"/>
        </w:rPr>
        <w:t>79406B</w:t>
      </w:r>
      <w:r w:rsidRPr="008D78F3">
        <w:rPr>
          <w:rFonts w:ascii="Times New Roman" w:eastAsia="標楷體" w:hAnsi="Times New Roman"/>
          <w:kern w:val="3"/>
          <w:sz w:val="28"/>
        </w:rPr>
        <w:t>、</w:t>
      </w:r>
      <w:r w:rsidRPr="008D78F3">
        <w:rPr>
          <w:rFonts w:ascii="Times New Roman" w:eastAsia="標楷體" w:hAnsi="Times New Roman"/>
          <w:kern w:val="3"/>
          <w:sz w:val="28"/>
        </w:rPr>
        <w:t>79411B</w:t>
      </w:r>
      <w:r w:rsidRPr="008D78F3">
        <w:rPr>
          <w:rFonts w:ascii="Times New Roman" w:eastAsia="標楷體" w:hAnsi="Times New Roman"/>
          <w:kern w:val="3"/>
          <w:sz w:val="28"/>
        </w:rPr>
        <w:t>、</w:t>
      </w:r>
      <w:r w:rsidRPr="008D78F3">
        <w:rPr>
          <w:rFonts w:ascii="Times New Roman" w:eastAsia="標楷體" w:hAnsi="Times New Roman"/>
          <w:kern w:val="3"/>
          <w:sz w:val="28"/>
        </w:rPr>
        <w:t>79412B</w:t>
      </w:r>
      <w:r w:rsidRPr="008D78F3">
        <w:rPr>
          <w:rFonts w:ascii="Times New Roman" w:eastAsia="標楷體" w:hAnsi="Times New Roman"/>
          <w:sz w:val="28"/>
          <w:szCs w:val="28"/>
        </w:rPr>
        <w:t>)</w:t>
      </w:r>
      <w:r w:rsidRPr="008D78F3">
        <w:rPr>
          <w:rFonts w:ascii="Times New Roman" w:eastAsia="標楷體" w:hAnsi="Times New Roman"/>
          <w:sz w:val="28"/>
        </w:rPr>
        <w:t>：</w:t>
      </w:r>
      <w:r w:rsidRPr="008D78F3">
        <w:rPr>
          <w:rFonts w:ascii="Times New Roman" w:eastAsia="標楷體" w:hAnsi="Times New Roman"/>
          <w:sz w:val="28"/>
        </w:rPr>
        <w:t>(102/3/1)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1.</w:t>
      </w:r>
      <w:r w:rsidRPr="008D78F3">
        <w:rPr>
          <w:rFonts w:ascii="Times New Roman" w:eastAsia="標楷體" w:hAnsi="Times New Roman"/>
          <w:kern w:val="3"/>
          <w:sz w:val="28"/>
        </w:rPr>
        <w:t>必</w:t>
      </w:r>
      <w:r w:rsidRPr="008D78F3">
        <w:rPr>
          <w:rFonts w:ascii="Times New Roman" w:eastAsia="標楷體" w:hAnsi="Times New Roman"/>
          <w:sz w:val="28"/>
        </w:rPr>
        <w:t>須附病理報告，報告內容必須含組織之重量，</w:t>
      </w:r>
      <w:r w:rsidRPr="008D78F3">
        <w:rPr>
          <w:rFonts w:ascii="Times New Roman" w:eastAsia="標楷體" w:hAnsi="Times New Roman"/>
          <w:sz w:val="28"/>
          <w:szCs w:val="28"/>
        </w:rPr>
        <w:t>作為支付之依據</w:t>
      </w:r>
      <w:r w:rsidRPr="008D78F3">
        <w:rPr>
          <w:rFonts w:ascii="Times New Roman" w:eastAsia="標楷體" w:hAnsi="Times New Roman"/>
          <w:sz w:val="28"/>
        </w:rPr>
        <w:t>。</w:t>
      </w:r>
      <w:r w:rsidRPr="008D78F3">
        <w:rPr>
          <w:rFonts w:ascii="Times New Roman" w:eastAsia="標楷體" w:hAnsi="Times New Roman"/>
          <w:sz w:val="28"/>
        </w:rPr>
        <w:t>(97/5/1)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2.</w:t>
      </w:r>
      <w:r w:rsidRPr="008D78F3">
        <w:rPr>
          <w:rFonts w:ascii="Times New Roman" w:eastAsia="標楷體" w:hAnsi="Times New Roman"/>
          <w:sz w:val="28"/>
        </w:rPr>
        <w:t>尿道切開、恥骨上膀胱造口：均不得另行申報。</w:t>
      </w:r>
      <w:r w:rsidRPr="008D78F3">
        <w:rPr>
          <w:rFonts w:ascii="Times New Roman" w:eastAsia="標楷體" w:hAnsi="Times New Roman"/>
          <w:sz w:val="28"/>
        </w:rPr>
        <w:t xml:space="preserve">BPH </w:t>
      </w:r>
      <w:r w:rsidRPr="008D78F3">
        <w:rPr>
          <w:rFonts w:ascii="Times New Roman" w:eastAsia="標楷體" w:hAnsi="Times New Roman"/>
          <w:sz w:val="28"/>
        </w:rPr>
        <w:t>同時併有明顯尿道狹窄時，可視病歷記錄得另行申報尿道切開術，並依</w:t>
      </w:r>
      <w:r w:rsidRPr="008D78F3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D78F3">
        <w:rPr>
          <w:rFonts w:ascii="Times New Roman" w:eastAsia="標楷體" w:hAnsi="Times New Roman"/>
          <w:sz w:val="28"/>
        </w:rPr>
        <w:t>第二部第二章第七節手術通則六之規定辦理。</w:t>
      </w:r>
      <w:r w:rsidRPr="008D78F3">
        <w:rPr>
          <w:rFonts w:ascii="Times New Roman" w:eastAsia="標楷體" w:hAnsi="Times New Roman"/>
          <w:sz w:val="28"/>
        </w:rPr>
        <w:t>(102/3/1)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3.</w:t>
      </w:r>
      <w:r w:rsidRPr="008D78F3">
        <w:rPr>
          <w:rFonts w:ascii="Times New Roman" w:eastAsia="標楷體" w:hAnsi="Times New Roman"/>
          <w:kern w:val="3"/>
          <w:sz w:val="28"/>
        </w:rPr>
        <w:t>術中使用</w:t>
      </w:r>
      <w:r w:rsidRPr="008D78F3">
        <w:rPr>
          <w:rFonts w:ascii="Times New Roman" w:eastAsia="標楷體" w:hAnsi="Times New Roman"/>
          <w:sz w:val="28"/>
        </w:rPr>
        <w:t>之沖洗液不得另行申報。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4.</w:t>
      </w:r>
      <w:r w:rsidRPr="008D78F3">
        <w:rPr>
          <w:rFonts w:ascii="Times New Roman" w:eastAsia="標楷體" w:hAnsi="Times New Roman"/>
          <w:kern w:val="3"/>
          <w:sz w:val="28"/>
        </w:rPr>
        <w:t>術後再出血造成阻塞</w:t>
      </w:r>
      <w:r w:rsidRPr="008D78F3">
        <w:rPr>
          <w:rFonts w:ascii="Times New Roman" w:eastAsia="標楷體" w:hAnsi="Times New Roman"/>
          <w:sz w:val="28"/>
        </w:rPr>
        <w:t>，如需用膀胱鏡清血塊或再止血，以</w:t>
      </w:r>
      <w:r w:rsidRPr="008D78F3">
        <w:rPr>
          <w:rFonts w:ascii="Times New Roman" w:eastAsia="標楷體" w:hAnsi="Times New Roman"/>
          <w:sz w:val="28"/>
        </w:rPr>
        <w:t>78026C</w:t>
      </w:r>
      <w:r w:rsidRPr="008D78F3">
        <w:rPr>
          <w:rFonts w:ascii="Times New Roman" w:eastAsia="標楷體" w:hAnsi="Times New Roman"/>
          <w:sz w:val="28"/>
        </w:rPr>
        <w:t>項申報，若為同一醫院或同次住院依</w:t>
      </w:r>
      <w:r w:rsidRPr="008D78F3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D78F3">
        <w:rPr>
          <w:rFonts w:ascii="Times New Roman" w:eastAsia="標楷體" w:hAnsi="Times New Roman"/>
          <w:sz w:val="28"/>
        </w:rPr>
        <w:t>第二部第二章第七節手術通則規定辦理。</w:t>
      </w:r>
      <w:r w:rsidRPr="008D78F3">
        <w:rPr>
          <w:rFonts w:ascii="Times New Roman" w:eastAsia="標楷體" w:hAnsi="Times New Roman"/>
          <w:sz w:val="28"/>
        </w:rPr>
        <w:t>(102/3/1)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5.</w:t>
      </w:r>
      <w:r w:rsidRPr="008D78F3">
        <w:rPr>
          <w:rFonts w:ascii="Times New Roman" w:eastAsia="標楷體" w:hAnsi="Times New Roman"/>
          <w:kern w:val="3"/>
          <w:sz w:val="28"/>
        </w:rPr>
        <w:t>切除之組織重量小於</w:t>
      </w:r>
      <w:r w:rsidRPr="008D78F3">
        <w:rPr>
          <w:rFonts w:ascii="Times New Roman" w:eastAsia="標楷體" w:hAnsi="Times New Roman"/>
          <w:kern w:val="3"/>
          <w:sz w:val="28"/>
        </w:rPr>
        <w:t>5</w:t>
      </w:r>
      <w:r w:rsidRPr="008D78F3">
        <w:rPr>
          <w:rFonts w:ascii="Times New Roman" w:eastAsia="標楷體" w:hAnsi="Times New Roman"/>
          <w:kern w:val="3"/>
          <w:sz w:val="28"/>
        </w:rPr>
        <w:t>公克，以</w:t>
      </w:r>
      <w:r w:rsidRPr="008D78F3">
        <w:rPr>
          <w:rFonts w:ascii="Times New Roman" w:eastAsia="標楷體" w:hAnsi="Times New Roman"/>
          <w:kern w:val="3"/>
          <w:sz w:val="28"/>
        </w:rPr>
        <w:t>79407C(</w:t>
      </w:r>
      <w:r w:rsidRPr="008D78F3">
        <w:rPr>
          <w:rFonts w:ascii="Times New Roman" w:eastAsia="標楷體" w:hAnsi="Times New Roman"/>
          <w:kern w:val="3"/>
          <w:sz w:val="28"/>
        </w:rPr>
        <w:t>經尿道前列腺切片術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給付。</w:t>
      </w:r>
      <w:r w:rsidRPr="008D78F3">
        <w:rPr>
          <w:rFonts w:ascii="Times New Roman" w:eastAsia="標楷體" w:hAnsi="Times New Roman"/>
          <w:sz w:val="28"/>
        </w:rPr>
        <w:t>(97/5/1)</w:t>
      </w:r>
    </w:p>
    <w:p w:rsidR="00BE6DC5" w:rsidRPr="008D78F3" w:rsidRDefault="00BE6DC5" w:rsidP="00BE6DC5">
      <w:pPr>
        <w:snapToGrid w:val="0"/>
        <w:spacing w:line="600" w:lineRule="exact"/>
        <w:ind w:left="240"/>
        <w:jc w:val="both"/>
        <w:rPr>
          <w:rFonts w:ascii="Times New Roman" w:eastAsia="標楷體" w:hAnsi="Times New Roman"/>
          <w:sz w:val="28"/>
        </w:rPr>
      </w:pP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二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</w:rPr>
        <w:t>膀胱腫瘤：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1.</w:t>
      </w:r>
      <w:r w:rsidRPr="008D78F3">
        <w:rPr>
          <w:rFonts w:ascii="Times New Roman" w:eastAsia="標楷體" w:hAnsi="Times New Roman"/>
          <w:kern w:val="3"/>
          <w:sz w:val="28"/>
        </w:rPr>
        <w:t>必</w:t>
      </w:r>
      <w:r w:rsidRPr="008D78F3">
        <w:rPr>
          <w:rFonts w:ascii="Times New Roman" w:eastAsia="標楷體" w:hAnsi="Times New Roman"/>
          <w:sz w:val="28"/>
        </w:rPr>
        <w:t>須附病理報告。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2.</w:t>
      </w:r>
      <w:r w:rsidRPr="008D78F3">
        <w:rPr>
          <w:rFonts w:ascii="Times New Roman" w:eastAsia="標楷體" w:hAnsi="Times New Roman"/>
          <w:sz w:val="28"/>
        </w:rPr>
        <w:t>如僅做活體切片，得以</w:t>
      </w:r>
      <w:r w:rsidRPr="008D78F3">
        <w:rPr>
          <w:rFonts w:ascii="Times New Roman" w:eastAsia="標楷體" w:hAnsi="Times New Roman"/>
          <w:sz w:val="28"/>
          <w:szCs w:val="28"/>
        </w:rPr>
        <w:t>經尿道前列腺切片術</w:t>
      </w:r>
      <w:r w:rsidRPr="008D78F3">
        <w:rPr>
          <w:rFonts w:ascii="Times New Roman" w:eastAsia="標楷體" w:hAnsi="Times New Roman"/>
          <w:kern w:val="3"/>
          <w:sz w:val="28"/>
        </w:rPr>
        <w:t>(79407C)</w:t>
      </w:r>
      <w:r w:rsidRPr="008D78F3">
        <w:rPr>
          <w:rFonts w:ascii="Times New Roman" w:eastAsia="標楷體" w:hAnsi="Times New Roman"/>
          <w:kern w:val="3"/>
          <w:sz w:val="28"/>
        </w:rPr>
        <w:t>申</w:t>
      </w:r>
      <w:r w:rsidRPr="008D78F3">
        <w:rPr>
          <w:rFonts w:ascii="Times New Roman" w:eastAsia="標楷體" w:hAnsi="Times New Roman"/>
          <w:sz w:val="28"/>
        </w:rPr>
        <w:t>報，惟不得申報經尿道膀胱腫瘤切除。</w:t>
      </w:r>
    </w:p>
    <w:p w:rsidR="00BE6DC5" w:rsidRPr="008D78F3" w:rsidRDefault="00BE6DC5" w:rsidP="00BE6DC5">
      <w:pPr>
        <w:snapToGrid w:val="0"/>
        <w:spacing w:line="600" w:lineRule="exact"/>
        <w:ind w:left="240"/>
        <w:jc w:val="both"/>
        <w:rPr>
          <w:rFonts w:ascii="Times New Roman" w:eastAsia="標楷體" w:hAnsi="Times New Roman"/>
          <w:sz w:val="28"/>
        </w:rPr>
      </w:pP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三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</w:rPr>
        <w:t>尿路結石：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1.</w:t>
      </w:r>
      <w:r w:rsidRPr="008D78F3">
        <w:rPr>
          <w:rFonts w:ascii="Times New Roman" w:eastAsia="標楷體" w:hAnsi="Times New Roman"/>
          <w:kern w:val="3"/>
          <w:sz w:val="28"/>
        </w:rPr>
        <w:t>輸尿</w:t>
      </w:r>
      <w:r w:rsidRPr="008D78F3">
        <w:rPr>
          <w:rFonts w:ascii="Times New Roman" w:eastAsia="標楷體" w:hAnsi="Times New Roman"/>
          <w:sz w:val="28"/>
        </w:rPr>
        <w:t>管鏡取</w:t>
      </w: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碎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</w:rPr>
        <w:t>石</w:t>
      </w:r>
      <w:r w:rsidRPr="008D78F3">
        <w:rPr>
          <w:rFonts w:ascii="Times New Roman" w:eastAsia="標楷體" w:hAnsi="Times New Roman"/>
          <w:kern w:val="3"/>
          <w:sz w:val="28"/>
        </w:rPr>
        <w:t>術：</w:t>
      </w:r>
      <w:r w:rsidRPr="008D78F3">
        <w:rPr>
          <w:rFonts w:ascii="Times New Roman" w:eastAsia="標楷體" w:hAnsi="Times New Roman"/>
          <w:kern w:val="3"/>
          <w:sz w:val="28"/>
        </w:rPr>
        <w:t>U.V.J.stone</w:t>
      </w:r>
      <w:r w:rsidRPr="008D78F3">
        <w:rPr>
          <w:rFonts w:ascii="Times New Roman" w:eastAsia="標楷體" w:hAnsi="Times New Roman"/>
          <w:kern w:val="3"/>
          <w:sz w:val="28"/>
        </w:rPr>
        <w:t>用</w:t>
      </w:r>
      <w:r w:rsidRPr="008D78F3">
        <w:rPr>
          <w:rFonts w:ascii="Times New Roman" w:eastAsia="標楷體" w:hAnsi="Times New Roman"/>
          <w:sz w:val="28"/>
        </w:rPr>
        <w:t>膀胱鏡取石時，得以</w:t>
      </w:r>
      <w:r w:rsidRPr="008D78F3">
        <w:rPr>
          <w:rFonts w:ascii="Times New Roman" w:eastAsia="標楷體" w:hAnsi="Times New Roman"/>
          <w:sz w:val="28"/>
          <w:szCs w:val="28"/>
        </w:rPr>
        <w:t>碎石取出術、簡單</w:t>
      </w:r>
      <w:r w:rsidRPr="008D78F3">
        <w:rPr>
          <w:rFonts w:ascii="Times New Roman" w:eastAsia="標楷體" w:hAnsi="Times New Roman"/>
          <w:sz w:val="28"/>
          <w:szCs w:val="28"/>
        </w:rPr>
        <w:t>(</w:t>
      </w:r>
      <w:r w:rsidRPr="008D78F3">
        <w:rPr>
          <w:rFonts w:ascii="Times New Roman" w:eastAsia="標楷體" w:hAnsi="Times New Roman"/>
          <w:sz w:val="28"/>
          <w:szCs w:val="28"/>
        </w:rPr>
        <w:t>在膀胱內壓碎並除去</w:t>
      </w:r>
      <w:r w:rsidRPr="008D78F3">
        <w:rPr>
          <w:rFonts w:ascii="Times New Roman" w:eastAsia="標楷體" w:hAnsi="Times New Roman"/>
          <w:sz w:val="28"/>
          <w:szCs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(78026C)</w:t>
      </w:r>
      <w:r w:rsidRPr="008D78F3">
        <w:rPr>
          <w:rFonts w:ascii="Times New Roman" w:eastAsia="標楷體" w:hAnsi="Times New Roman"/>
          <w:kern w:val="3"/>
          <w:sz w:val="28"/>
        </w:rPr>
        <w:t>項申</w:t>
      </w:r>
      <w:r w:rsidRPr="008D78F3">
        <w:rPr>
          <w:rFonts w:ascii="Times New Roman" w:eastAsia="標楷體" w:hAnsi="Times New Roman"/>
          <w:sz w:val="28"/>
        </w:rPr>
        <w:t>報，惟不得以輸尿管鏡取</w:t>
      </w:r>
      <w:r w:rsidRPr="008D78F3">
        <w:rPr>
          <w:rFonts w:ascii="Times New Roman" w:eastAsia="標楷體" w:hAnsi="Times New Roman"/>
          <w:sz w:val="28"/>
        </w:rPr>
        <w:lastRenderedPageBreak/>
        <w:t>石術申報。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2.</w:t>
      </w:r>
      <w:r w:rsidRPr="008D78F3">
        <w:rPr>
          <w:rFonts w:ascii="Times New Roman" w:eastAsia="標楷體" w:hAnsi="Times New Roman"/>
          <w:kern w:val="3"/>
          <w:sz w:val="28"/>
        </w:rPr>
        <w:t>經</w:t>
      </w:r>
      <w:r w:rsidRPr="008D78F3">
        <w:rPr>
          <w:rFonts w:ascii="Times New Roman" w:eastAsia="標楷體" w:hAnsi="Times New Roman"/>
          <w:sz w:val="28"/>
        </w:rPr>
        <w:t>皮腎造廔取石術不得申報昂貴拋棄式器械組，同一病患多次實施需</w:t>
      </w:r>
      <w:r w:rsidRPr="008D78F3">
        <w:rPr>
          <w:rFonts w:ascii="Times New Roman" w:eastAsia="標楷體" w:hAnsi="Times New Roman"/>
          <w:kern w:val="3"/>
          <w:sz w:val="28"/>
        </w:rPr>
        <w:t>詳細說明</w:t>
      </w:r>
      <w:r w:rsidRPr="008D78F3">
        <w:rPr>
          <w:rFonts w:ascii="Times New Roman" w:eastAsia="標楷體" w:hAnsi="Times New Roman"/>
          <w:sz w:val="28"/>
        </w:rPr>
        <w:t>。</w:t>
      </w:r>
    </w:p>
    <w:p w:rsidR="00BE6DC5" w:rsidRPr="008D78F3" w:rsidRDefault="00BE6DC5" w:rsidP="00BE6DC5">
      <w:pPr>
        <w:snapToGrid w:val="0"/>
        <w:spacing w:line="600" w:lineRule="exact"/>
        <w:ind w:left="1000" w:hanging="28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3</w:t>
      </w:r>
      <w:r w:rsidRPr="008D78F3">
        <w:rPr>
          <w:rFonts w:ascii="Times New Roman" w:eastAsia="標楷體" w:hAnsi="Times New Roman"/>
          <w:sz w:val="28"/>
        </w:rPr>
        <w:t>.</w:t>
      </w:r>
      <w:r w:rsidRPr="008D78F3">
        <w:rPr>
          <w:rFonts w:ascii="Times New Roman" w:eastAsia="標楷體" w:hAnsi="Times New Roman"/>
          <w:sz w:val="28"/>
        </w:rPr>
        <w:t>施行</w:t>
      </w:r>
      <w:r w:rsidRPr="008D78F3">
        <w:rPr>
          <w:rFonts w:ascii="Times New Roman" w:eastAsia="標楷體" w:hAnsi="Times New Roman"/>
          <w:sz w:val="28"/>
          <w:szCs w:val="28"/>
        </w:rPr>
        <w:t>尿路結石體外震波碎石術</w:t>
      </w:r>
      <w:r w:rsidRPr="008D78F3">
        <w:rPr>
          <w:rFonts w:ascii="Times New Roman" w:eastAsia="標楷體" w:hAnsi="Times New Roman"/>
          <w:kern w:val="3"/>
          <w:sz w:val="28"/>
        </w:rPr>
        <w:t>(ESWL)</w:t>
      </w:r>
      <w:r w:rsidRPr="008D78F3">
        <w:rPr>
          <w:rFonts w:ascii="Times New Roman" w:eastAsia="標楷體" w:hAnsi="Times New Roman"/>
          <w:sz w:val="28"/>
        </w:rPr>
        <w:t>依</w:t>
      </w:r>
      <w:r w:rsidRPr="008D78F3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D78F3">
        <w:rPr>
          <w:rFonts w:ascii="Times New Roman" w:eastAsia="標楷體" w:hAnsi="Times New Roman"/>
          <w:sz w:val="28"/>
        </w:rPr>
        <w:t>規定辦理。</w:t>
      </w:r>
      <w:r w:rsidRPr="008D78F3">
        <w:rPr>
          <w:rFonts w:ascii="Times New Roman" w:eastAsia="標楷體" w:hAnsi="Times New Roman"/>
          <w:sz w:val="28"/>
        </w:rPr>
        <w:t>(102/3/1)</w:t>
      </w:r>
    </w:p>
    <w:p w:rsidR="00BE6DC5" w:rsidRPr="008D78F3" w:rsidRDefault="00BE6DC5" w:rsidP="00BE6DC5">
      <w:pPr>
        <w:snapToGrid w:val="0"/>
        <w:spacing w:line="600" w:lineRule="exact"/>
        <w:ind w:left="1380" w:hanging="42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(1)</w:t>
      </w:r>
      <w:r w:rsidRPr="008D78F3">
        <w:rPr>
          <w:rFonts w:ascii="Times New Roman" w:eastAsia="標楷體" w:hAnsi="Times New Roman"/>
          <w:kern w:val="3"/>
          <w:sz w:val="28"/>
        </w:rPr>
        <w:t>申</w:t>
      </w:r>
      <w:r w:rsidRPr="008D78F3">
        <w:rPr>
          <w:rFonts w:ascii="Times New Roman" w:eastAsia="標楷體" w:hAnsi="Times New Roman"/>
          <w:sz w:val="28"/>
        </w:rPr>
        <w:t>報費用時應檢附以下資料：</w:t>
      </w:r>
    </w:p>
    <w:p w:rsidR="00BE6DC5" w:rsidRPr="008D78F3" w:rsidRDefault="00BE6DC5" w:rsidP="00BE6DC5">
      <w:pPr>
        <w:snapToGrid w:val="0"/>
        <w:spacing w:line="600" w:lineRule="exact"/>
        <w:ind w:left="1985" w:hanging="605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甲、詳細之病歷紀錄：碎石紀錄須記載結石大小、位置及有無症狀。</w:t>
      </w:r>
    </w:p>
    <w:p w:rsidR="00BE6DC5" w:rsidRPr="008D78F3" w:rsidRDefault="00BE6DC5" w:rsidP="00BE6DC5">
      <w:pPr>
        <w:snapToGrid w:val="0"/>
        <w:spacing w:line="600" w:lineRule="exact"/>
        <w:ind w:left="1985" w:hanging="605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乙、影像學檢查報告：須包括下列三者之一，</w:t>
      </w:r>
      <w:r w:rsidRPr="008D78F3">
        <w:rPr>
          <w:rFonts w:ascii="Times New Roman" w:eastAsia="標楷體" w:hAnsi="Times New Roman"/>
          <w:kern w:val="3"/>
          <w:sz w:val="28"/>
        </w:rPr>
        <w:t>A.KUB</w:t>
      </w:r>
      <w:r w:rsidRPr="008D78F3">
        <w:rPr>
          <w:rFonts w:ascii="Times New Roman" w:eastAsia="標楷體" w:hAnsi="Times New Roman"/>
          <w:kern w:val="3"/>
          <w:sz w:val="28"/>
        </w:rPr>
        <w:t>及</w:t>
      </w:r>
      <w:r w:rsidRPr="008D78F3">
        <w:rPr>
          <w:rFonts w:ascii="Times New Roman" w:eastAsia="標楷體" w:hAnsi="Times New Roman"/>
          <w:kern w:val="3"/>
          <w:sz w:val="28"/>
        </w:rPr>
        <w:t>Sono</w:t>
      </w:r>
      <w:r w:rsidRPr="008D78F3">
        <w:rPr>
          <w:rFonts w:ascii="Times New Roman" w:eastAsia="標楷體" w:hAnsi="Times New Roman"/>
          <w:kern w:val="3"/>
          <w:sz w:val="28"/>
        </w:rPr>
        <w:t>、或</w:t>
      </w:r>
      <w:r w:rsidRPr="008D78F3">
        <w:rPr>
          <w:rFonts w:ascii="Times New Roman" w:eastAsia="標楷體" w:hAnsi="Times New Roman"/>
          <w:kern w:val="3"/>
          <w:sz w:val="28"/>
        </w:rPr>
        <w:t>B.IVU</w:t>
      </w:r>
      <w:r w:rsidRPr="008D78F3">
        <w:rPr>
          <w:rFonts w:ascii="Times New Roman" w:eastAsia="標楷體" w:hAnsi="Times New Roman"/>
          <w:kern w:val="3"/>
          <w:sz w:val="28"/>
        </w:rPr>
        <w:t>或</w:t>
      </w:r>
      <w:r w:rsidRPr="008D78F3">
        <w:rPr>
          <w:rFonts w:ascii="Times New Roman" w:eastAsia="標楷體" w:hAnsi="Times New Roman"/>
          <w:kern w:val="3"/>
          <w:sz w:val="28"/>
        </w:rPr>
        <w:t>3.RP</w:t>
      </w:r>
      <w:r w:rsidRPr="008D78F3">
        <w:rPr>
          <w:rFonts w:ascii="Times New Roman" w:eastAsia="標楷體" w:hAnsi="Times New Roman"/>
          <w:kern w:val="3"/>
          <w:sz w:val="28"/>
        </w:rPr>
        <w:t>。必要時須附原片。</w:t>
      </w:r>
    </w:p>
    <w:p w:rsidR="00BE6DC5" w:rsidRPr="008D78F3" w:rsidRDefault="00BE6DC5" w:rsidP="00BE6DC5">
      <w:pPr>
        <w:snapToGrid w:val="0"/>
        <w:spacing w:line="600" w:lineRule="exact"/>
        <w:ind w:left="1380" w:hanging="42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(2)ESWL</w:t>
      </w:r>
      <w:r w:rsidRPr="008D78F3">
        <w:rPr>
          <w:rFonts w:ascii="Times New Roman" w:eastAsia="標楷體" w:hAnsi="Times New Roman"/>
          <w:kern w:val="3"/>
          <w:sz w:val="28"/>
        </w:rPr>
        <w:t>兩次之間之時間間隔，原則上同一結石需一週觀察期，才得實施第二次</w:t>
      </w:r>
      <w:r w:rsidRPr="008D78F3">
        <w:rPr>
          <w:rFonts w:ascii="Times New Roman" w:eastAsia="標楷體" w:hAnsi="Times New Roman"/>
          <w:kern w:val="3"/>
          <w:sz w:val="28"/>
        </w:rPr>
        <w:t>ESWL</w:t>
      </w:r>
      <w:r w:rsidRPr="008D78F3">
        <w:rPr>
          <w:rFonts w:ascii="Times New Roman" w:eastAsia="標楷體" w:hAnsi="Times New Roman"/>
          <w:kern w:val="3"/>
          <w:sz w:val="28"/>
        </w:rPr>
        <w:t>；其他特殊情況，則請各審查醫</w:t>
      </w:r>
      <w:r w:rsidRPr="008D78F3">
        <w:rPr>
          <w:rFonts w:ascii="Times New Roman" w:eastAsia="標楷體" w:hAnsi="Times New Roman"/>
          <w:sz w:val="28"/>
          <w:szCs w:val="28"/>
        </w:rPr>
        <w:t>藥專家</w:t>
      </w:r>
      <w:r w:rsidRPr="008D78F3">
        <w:rPr>
          <w:rFonts w:ascii="Times New Roman" w:eastAsia="標楷體" w:hAnsi="Times New Roman"/>
          <w:kern w:val="3"/>
          <w:sz w:val="28"/>
        </w:rPr>
        <w:t>自行評估。</w:t>
      </w:r>
      <w:r w:rsidRPr="008D78F3">
        <w:rPr>
          <w:rFonts w:ascii="Times New Roman" w:eastAsia="標楷體" w:hAnsi="Times New Roman"/>
          <w:kern w:val="3"/>
          <w:sz w:val="28"/>
        </w:rPr>
        <w:t>(102/3/1)</w:t>
      </w:r>
    </w:p>
    <w:p w:rsidR="00BE6DC5" w:rsidRPr="008D78F3" w:rsidRDefault="00BE6DC5" w:rsidP="00BE6DC5">
      <w:pPr>
        <w:snapToGrid w:val="0"/>
        <w:spacing w:line="600" w:lineRule="exact"/>
        <w:ind w:left="1380" w:hanging="42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(3)</w:t>
      </w:r>
      <w:r w:rsidRPr="008D78F3">
        <w:rPr>
          <w:rFonts w:ascii="Times New Roman" w:eastAsia="標楷體" w:hAnsi="Times New Roman"/>
          <w:kern w:val="3"/>
          <w:sz w:val="28"/>
        </w:rPr>
        <w:t>病患之腎臟結石最大徑限大於</w:t>
      </w: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等於</w:t>
      </w:r>
      <w:r w:rsidRPr="008D78F3">
        <w:rPr>
          <w:rFonts w:ascii="Times New Roman" w:eastAsia="標楷體" w:hAnsi="Times New Roman"/>
          <w:kern w:val="3"/>
          <w:sz w:val="28"/>
        </w:rPr>
        <w:t>)○</w:t>
      </w:r>
      <w:r w:rsidRPr="008D78F3">
        <w:rPr>
          <w:rFonts w:ascii="新細明體" w:eastAsia="新細明體" w:hAnsi="新細明體" w:cs="新細明體" w:hint="eastAsia"/>
          <w:kern w:val="3"/>
          <w:sz w:val="28"/>
        </w:rPr>
        <w:t>‧</w:t>
      </w:r>
      <w:r w:rsidRPr="008D78F3">
        <w:rPr>
          <w:rFonts w:ascii="Times New Roman" w:eastAsia="標楷體" w:hAnsi="Times New Roman"/>
          <w:kern w:val="3"/>
          <w:sz w:val="28"/>
        </w:rPr>
        <w:t>五公分以上或輸尿管結石小於</w:t>
      </w:r>
      <w:r w:rsidRPr="008D78F3">
        <w:rPr>
          <w:rFonts w:ascii="Times New Roman" w:eastAsia="標楷體" w:hAnsi="Times New Roman"/>
          <w:kern w:val="3"/>
          <w:sz w:val="28"/>
        </w:rPr>
        <w:t>○</w:t>
      </w:r>
      <w:r w:rsidRPr="008D78F3">
        <w:rPr>
          <w:rFonts w:ascii="新細明體" w:eastAsia="新細明體" w:hAnsi="新細明體" w:cs="新細明體" w:hint="eastAsia"/>
          <w:kern w:val="3"/>
          <w:sz w:val="28"/>
        </w:rPr>
        <w:t>‧</w:t>
      </w:r>
      <w:r w:rsidRPr="008D78F3">
        <w:rPr>
          <w:rFonts w:ascii="Times New Roman" w:eastAsia="標楷體" w:hAnsi="Times New Roman"/>
          <w:kern w:val="3"/>
          <w:sz w:val="28"/>
        </w:rPr>
        <w:t>五公分，但合併有明顯阻塞性腎水腫、有重複感染或重複腎絞痛者，方得申報體外電震波碎石術。</w:t>
      </w:r>
    </w:p>
    <w:p w:rsidR="00BE6DC5" w:rsidRPr="008D78F3" w:rsidRDefault="00BE6DC5" w:rsidP="00BE6DC5">
      <w:pPr>
        <w:snapToGrid w:val="0"/>
        <w:spacing w:line="600" w:lineRule="exact"/>
        <w:ind w:left="1380" w:hanging="42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(4)</w:t>
      </w:r>
      <w:r w:rsidRPr="008D78F3">
        <w:rPr>
          <w:rFonts w:ascii="Times New Roman" w:eastAsia="標楷體" w:hAnsi="Times New Roman"/>
          <w:kern w:val="3"/>
          <w:sz w:val="28"/>
        </w:rPr>
        <w:t>完全鹿角結石患者第一次取石治療，如有特殊情形必須施行體外電震</w:t>
      </w:r>
      <w:r w:rsidRPr="008D78F3">
        <w:rPr>
          <w:rFonts w:ascii="Times New Roman" w:eastAsia="標楷體" w:hAnsi="Times New Roman"/>
          <w:sz w:val="28"/>
        </w:rPr>
        <w:t>波碎石術時，須專案申請。</w:t>
      </w:r>
    </w:p>
    <w:p w:rsidR="00BE6DC5" w:rsidRPr="008D78F3" w:rsidRDefault="00BE6DC5" w:rsidP="00BE6DC5">
      <w:pPr>
        <w:snapToGrid w:val="0"/>
        <w:spacing w:line="600" w:lineRule="exact"/>
        <w:ind w:left="851" w:hanging="611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四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各種疾病之處方用藥，除非有特殊理由，原則上以作用機轉明確之藥物為主，若病情需使用</w:t>
      </w:r>
      <w:r w:rsidRPr="008D78F3">
        <w:rPr>
          <w:rFonts w:ascii="Times New Roman" w:eastAsia="標楷體" w:hAnsi="Times New Roman"/>
          <w:kern w:val="3"/>
          <w:sz w:val="28"/>
        </w:rPr>
        <w:t>Nephronorm</w:t>
      </w:r>
      <w:r w:rsidRPr="008D78F3">
        <w:rPr>
          <w:rFonts w:ascii="Times New Roman" w:eastAsia="標楷體" w:hAnsi="Times New Roman"/>
          <w:kern w:val="3"/>
          <w:sz w:val="28"/>
        </w:rPr>
        <w:t>等藥品，需於申報表單上註明使用理由。</w:t>
      </w:r>
      <w:r w:rsidRPr="008D78F3">
        <w:rPr>
          <w:rFonts w:ascii="Times New Roman" w:eastAsia="標楷體" w:hAnsi="Times New Roman"/>
          <w:sz w:val="28"/>
          <w:szCs w:val="28"/>
        </w:rPr>
        <w:t>(101/2/1)</w:t>
      </w:r>
    </w:p>
    <w:p w:rsidR="00BE6DC5" w:rsidRPr="008D78F3" w:rsidRDefault="00BE6DC5" w:rsidP="00BE6DC5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五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用於診斷男性性功能障礙之</w:t>
      </w:r>
      <w:r w:rsidRPr="008D78F3">
        <w:rPr>
          <w:rFonts w:ascii="Times New Roman" w:eastAsia="標楷體" w:hAnsi="Times New Roman"/>
          <w:kern w:val="3"/>
          <w:sz w:val="28"/>
        </w:rPr>
        <w:t>PGE1</w:t>
      </w:r>
      <w:r w:rsidRPr="008D78F3">
        <w:rPr>
          <w:rFonts w:ascii="Times New Roman" w:eastAsia="標楷體" w:hAnsi="Times New Roman"/>
          <w:kern w:val="3"/>
          <w:sz w:val="28"/>
        </w:rPr>
        <w:t>得申報藥品費用，惟每一病人最高使</w:t>
      </w:r>
      <w:r w:rsidRPr="008D78F3">
        <w:rPr>
          <w:rFonts w:ascii="Times New Roman" w:eastAsia="標楷體" w:hAnsi="Times New Roman"/>
          <w:kern w:val="3"/>
          <w:sz w:val="28"/>
        </w:rPr>
        <w:lastRenderedPageBreak/>
        <w:t>用劑量為每次</w:t>
      </w:r>
      <w:r w:rsidRPr="008D78F3">
        <w:rPr>
          <w:rFonts w:ascii="Times New Roman" w:eastAsia="標楷體" w:hAnsi="Times New Roman"/>
          <w:kern w:val="3"/>
          <w:sz w:val="28"/>
        </w:rPr>
        <w:t>60mcg</w:t>
      </w:r>
      <w:r w:rsidRPr="008D78F3">
        <w:rPr>
          <w:rFonts w:ascii="Times New Roman" w:eastAsia="標楷體" w:hAnsi="Times New Roman"/>
          <w:kern w:val="3"/>
          <w:sz w:val="28"/>
        </w:rPr>
        <w:t>，一生三次為限。</w:t>
      </w:r>
    </w:p>
    <w:p w:rsidR="00BE6DC5" w:rsidRPr="008D78F3" w:rsidRDefault="00BE6DC5" w:rsidP="00BE6DC5">
      <w:pPr>
        <w:snapToGrid w:val="0"/>
        <w:spacing w:line="600" w:lineRule="exact"/>
        <w:ind w:left="800" w:hanging="56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六</w:t>
      </w:r>
      <w:r w:rsidRPr="008D78F3">
        <w:rPr>
          <w:rFonts w:ascii="Times New Roman" w:eastAsia="標楷體" w:hAnsi="Times New Roman"/>
          <w:kern w:val="3"/>
          <w:sz w:val="28"/>
        </w:rPr>
        <w:t>)</w:t>
      </w:r>
      <w:r w:rsidRPr="008D78F3">
        <w:rPr>
          <w:rFonts w:ascii="Times New Roman" w:eastAsia="標楷體" w:hAnsi="Times New Roman"/>
          <w:kern w:val="3"/>
          <w:sz w:val="28"/>
        </w:rPr>
        <w:t>刪除</w:t>
      </w:r>
      <w:r w:rsidRPr="008D78F3">
        <w:rPr>
          <w:rFonts w:ascii="Times New Roman" w:eastAsia="標楷體" w:hAnsi="Times New Roman"/>
          <w:kern w:val="3"/>
          <w:sz w:val="28"/>
        </w:rPr>
        <w:t>(99/4/1)</w:t>
      </w:r>
    </w:p>
    <w:p w:rsidR="00BE6DC5" w:rsidRPr="008D78F3" w:rsidRDefault="00BE6DC5" w:rsidP="00BE6DC5">
      <w:pPr>
        <w:snapToGrid w:val="0"/>
        <w:spacing w:line="600" w:lineRule="exact"/>
        <w:ind w:left="851" w:hanging="611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七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  <w:szCs w:val="28"/>
        </w:rPr>
        <w:t>錄影尿</w:t>
      </w:r>
      <w:r w:rsidRPr="008D78F3">
        <w:rPr>
          <w:rFonts w:ascii="Times New Roman" w:eastAsia="標楷體" w:hAnsi="Times New Roman"/>
          <w:kern w:val="3"/>
          <w:sz w:val="28"/>
        </w:rPr>
        <w:t>流動</w:t>
      </w:r>
      <w:r w:rsidRPr="008D78F3">
        <w:rPr>
          <w:rFonts w:ascii="Times New Roman" w:eastAsia="標楷體" w:hAnsi="Times New Roman"/>
          <w:sz w:val="28"/>
          <w:szCs w:val="28"/>
        </w:rPr>
        <w:t>力學檢查</w:t>
      </w:r>
      <w:r w:rsidRPr="008D78F3">
        <w:rPr>
          <w:rFonts w:ascii="Times New Roman" w:eastAsia="標楷體" w:hAnsi="Times New Roman"/>
          <w:kern w:val="3"/>
          <w:sz w:val="28"/>
        </w:rPr>
        <w:t>Video-urodynamic study (21006B)</w:t>
      </w:r>
      <w:r w:rsidRPr="008D78F3">
        <w:rPr>
          <w:rFonts w:ascii="Times New Roman" w:eastAsia="標楷體" w:hAnsi="Times New Roman"/>
          <w:sz w:val="28"/>
          <w:szCs w:val="28"/>
        </w:rPr>
        <w:t>應為尿流速圖</w:t>
      </w:r>
      <w:r w:rsidRPr="008D78F3">
        <w:rPr>
          <w:rFonts w:ascii="Times New Roman" w:eastAsia="標楷體" w:hAnsi="Times New Roman"/>
          <w:kern w:val="3"/>
          <w:sz w:val="28"/>
        </w:rPr>
        <w:t>(21004C)</w:t>
      </w:r>
      <w:r w:rsidRPr="008D78F3">
        <w:rPr>
          <w:rFonts w:ascii="Times New Roman" w:eastAsia="標楷體" w:hAnsi="Times New Roman"/>
          <w:kern w:val="3"/>
          <w:sz w:val="28"/>
        </w:rPr>
        <w:t>、膀胱壓檢查</w:t>
      </w:r>
      <w:r w:rsidRPr="008D78F3">
        <w:rPr>
          <w:rFonts w:ascii="Times New Roman" w:eastAsia="標楷體" w:hAnsi="Times New Roman"/>
          <w:kern w:val="3"/>
          <w:sz w:val="28"/>
        </w:rPr>
        <w:t>(21007C)</w:t>
      </w:r>
      <w:r w:rsidRPr="008D78F3">
        <w:rPr>
          <w:rFonts w:ascii="Times New Roman" w:eastAsia="標楷體" w:hAnsi="Times New Roman"/>
          <w:kern w:val="3"/>
          <w:sz w:val="28"/>
        </w:rPr>
        <w:t>、外括約肌肌電圖</w:t>
      </w:r>
      <w:r w:rsidRPr="008D78F3">
        <w:rPr>
          <w:rFonts w:ascii="Times New Roman" w:eastAsia="標楷體" w:hAnsi="Times New Roman"/>
          <w:kern w:val="3"/>
          <w:sz w:val="28"/>
        </w:rPr>
        <w:t>(21003C)</w:t>
      </w:r>
      <w:r w:rsidRPr="008D78F3">
        <w:rPr>
          <w:rFonts w:ascii="Times New Roman" w:eastAsia="標楷體" w:hAnsi="Times New Roman"/>
          <w:kern w:val="3"/>
          <w:sz w:val="28"/>
        </w:rPr>
        <w:t>等檢</w:t>
      </w:r>
      <w:r w:rsidRPr="008D78F3">
        <w:rPr>
          <w:rFonts w:ascii="Times New Roman" w:eastAsia="標楷體" w:hAnsi="Times New Roman"/>
          <w:sz w:val="28"/>
          <w:szCs w:val="28"/>
        </w:rPr>
        <w:t>查不能確定診斷時才使用；良性前列腺肥大之病患不適宜作錄影尿流動力學檢查。</w:t>
      </w:r>
    </w:p>
    <w:p w:rsidR="00BE6DC5" w:rsidRPr="008D78F3" w:rsidRDefault="00BE6DC5" w:rsidP="00BE6DC5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</w:rPr>
      </w:pP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八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</w:rPr>
        <w:t>病患已置入雙丁輸尿管，拔除後再置入同側雙丁輸尿管，其拔除過程之費用</w:t>
      </w:r>
      <w:r w:rsidRPr="008D78F3">
        <w:rPr>
          <w:rFonts w:ascii="Times New Roman" w:eastAsia="標楷體" w:hAnsi="Times New Roman"/>
          <w:sz w:val="28"/>
        </w:rPr>
        <w:t>(50010C)</w:t>
      </w:r>
      <w:r w:rsidRPr="008D78F3">
        <w:rPr>
          <w:rFonts w:ascii="Times New Roman" w:eastAsia="標楷體" w:hAnsi="Times New Roman"/>
          <w:sz w:val="28"/>
        </w:rPr>
        <w:t>不應予給付。</w:t>
      </w:r>
    </w:p>
    <w:p w:rsidR="00BE6DC5" w:rsidRPr="008D78F3" w:rsidRDefault="00BE6DC5" w:rsidP="00BE6DC5">
      <w:pPr>
        <w:snapToGrid w:val="0"/>
        <w:spacing w:line="600" w:lineRule="exact"/>
        <w:ind w:left="800" w:hanging="56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九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</w:rPr>
        <w:t>膀胱</w:t>
      </w:r>
      <w:r w:rsidRPr="008D78F3">
        <w:rPr>
          <w:rFonts w:ascii="Times New Roman" w:eastAsia="標楷體" w:hAnsi="Times New Roman"/>
          <w:kern w:val="3"/>
          <w:sz w:val="28"/>
        </w:rPr>
        <w:t>灌注</w:t>
      </w:r>
      <w:r w:rsidRPr="008D78F3">
        <w:rPr>
          <w:rFonts w:ascii="Times New Roman" w:eastAsia="標楷體" w:hAnsi="Times New Roman"/>
          <w:sz w:val="28"/>
        </w:rPr>
        <w:t>化學腫瘤藥品，應以化學腫瘤藥品處方之藥事服務費</w:t>
      </w:r>
      <w:r w:rsidRPr="008D78F3">
        <w:rPr>
          <w:rFonts w:ascii="Times New Roman" w:eastAsia="標楷體" w:hAnsi="Times New Roman"/>
          <w:kern w:val="3"/>
          <w:sz w:val="28"/>
        </w:rPr>
        <w:t>(05221A)</w:t>
      </w:r>
      <w:r w:rsidRPr="008D78F3">
        <w:rPr>
          <w:rFonts w:ascii="Times New Roman" w:eastAsia="標楷體" w:hAnsi="Times New Roman"/>
          <w:kern w:val="3"/>
          <w:sz w:val="28"/>
        </w:rPr>
        <w:t>、膀胱灌注</w:t>
      </w:r>
      <w:r w:rsidRPr="008D78F3">
        <w:rPr>
          <w:rFonts w:ascii="Times New Roman" w:eastAsia="標楷體" w:hAnsi="Times New Roman"/>
          <w:kern w:val="3"/>
          <w:sz w:val="28"/>
        </w:rPr>
        <w:t>(50011C)</w:t>
      </w:r>
      <w:r w:rsidRPr="008D78F3">
        <w:rPr>
          <w:rFonts w:ascii="Times New Roman" w:eastAsia="標楷體" w:hAnsi="Times New Roman"/>
          <w:kern w:val="3"/>
          <w:sz w:val="28"/>
        </w:rPr>
        <w:t>給付，不</w:t>
      </w:r>
      <w:r w:rsidRPr="008D78F3">
        <w:rPr>
          <w:rFonts w:ascii="Times New Roman" w:eastAsia="標楷體" w:hAnsi="Times New Roman"/>
          <w:sz w:val="28"/>
        </w:rPr>
        <w:t>應以抗癌化學藥物注射治</w:t>
      </w:r>
      <w:r w:rsidRPr="008D78F3">
        <w:rPr>
          <w:rFonts w:ascii="Times New Roman" w:eastAsia="標楷體" w:hAnsi="Times New Roman"/>
          <w:kern w:val="3"/>
          <w:sz w:val="28"/>
        </w:rPr>
        <w:t>療</w:t>
      </w:r>
      <w:r w:rsidRPr="008D78F3">
        <w:rPr>
          <w:rFonts w:ascii="Times New Roman" w:eastAsia="標楷體" w:hAnsi="Times New Roman"/>
          <w:kern w:val="3"/>
          <w:sz w:val="28"/>
        </w:rPr>
        <w:t>(37005B)</w:t>
      </w:r>
      <w:r w:rsidRPr="008D78F3">
        <w:rPr>
          <w:rFonts w:ascii="Times New Roman" w:eastAsia="標楷體" w:hAnsi="Times New Roman"/>
          <w:kern w:val="3"/>
          <w:sz w:val="28"/>
        </w:rPr>
        <w:t>給付；口服抗癌藥物不應以</w:t>
      </w:r>
      <w:r w:rsidRPr="008D78F3">
        <w:rPr>
          <w:rFonts w:ascii="Times New Roman" w:eastAsia="標楷體" w:hAnsi="Times New Roman"/>
          <w:kern w:val="3"/>
          <w:sz w:val="28"/>
        </w:rPr>
        <w:t>05221A</w:t>
      </w:r>
      <w:r w:rsidRPr="008D78F3">
        <w:rPr>
          <w:rFonts w:ascii="Times New Roman" w:eastAsia="標楷體" w:hAnsi="Times New Roman"/>
          <w:kern w:val="3"/>
          <w:sz w:val="28"/>
        </w:rPr>
        <w:t>給付</w:t>
      </w:r>
      <w:r w:rsidRPr="008D78F3">
        <w:rPr>
          <w:rFonts w:ascii="Times New Roman" w:eastAsia="標楷體" w:hAnsi="Times New Roman"/>
          <w:sz w:val="28"/>
        </w:rPr>
        <w:t>，此項應為調劑化學腫瘤藥品供膀胱灌注之藥事服務費。</w:t>
      </w:r>
    </w:p>
    <w:p w:rsidR="00BE6DC5" w:rsidRPr="008D78F3" w:rsidRDefault="00BE6DC5" w:rsidP="00BE6DC5">
      <w:pPr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</w:rPr>
      </w:pPr>
      <w:r w:rsidRPr="008D78F3">
        <w:rPr>
          <w:rFonts w:ascii="Times New Roman" w:eastAsia="標楷體" w:hAnsi="Times New Roman"/>
          <w:sz w:val="28"/>
        </w:rPr>
        <w:t>(</w:t>
      </w:r>
      <w:r w:rsidRPr="008D78F3">
        <w:rPr>
          <w:rFonts w:ascii="Times New Roman" w:eastAsia="標楷體" w:hAnsi="Times New Roman"/>
          <w:sz w:val="28"/>
        </w:rPr>
        <w:t>十</w:t>
      </w:r>
      <w:r w:rsidRPr="008D78F3">
        <w:rPr>
          <w:rFonts w:ascii="Times New Roman" w:eastAsia="標楷體" w:hAnsi="Times New Roman"/>
          <w:sz w:val="28"/>
        </w:rPr>
        <w:t>)</w:t>
      </w:r>
      <w:r w:rsidRPr="008D78F3">
        <w:rPr>
          <w:rFonts w:ascii="Times New Roman" w:eastAsia="標楷體" w:hAnsi="Times New Roman"/>
          <w:sz w:val="28"/>
        </w:rPr>
        <w:t>包莖環切術</w:t>
      </w:r>
      <w:r w:rsidRPr="008D78F3">
        <w:rPr>
          <w:rFonts w:ascii="Times New Roman" w:eastAsia="標楷體" w:hAnsi="Times New Roman"/>
          <w:sz w:val="28"/>
        </w:rPr>
        <w:t>(50020C)</w:t>
      </w:r>
      <w:r w:rsidRPr="008D78F3">
        <w:rPr>
          <w:rFonts w:ascii="Times New Roman" w:eastAsia="標楷體" w:hAnsi="Times New Roman"/>
          <w:sz w:val="28"/>
        </w:rPr>
        <w:t>之適應症為：</w:t>
      </w:r>
      <w:r w:rsidRPr="008D78F3">
        <w:rPr>
          <w:rFonts w:ascii="Times New Roman" w:eastAsia="標楷體" w:hAnsi="Times New Roman"/>
          <w:sz w:val="28"/>
        </w:rPr>
        <w:t>(97/5/1)</w:t>
      </w:r>
    </w:p>
    <w:p w:rsidR="00BE6DC5" w:rsidRPr="008D78F3" w:rsidRDefault="00BE6DC5" w:rsidP="00BE6DC5">
      <w:pPr>
        <w:snapToGrid w:val="0"/>
        <w:spacing w:line="600" w:lineRule="exact"/>
        <w:ind w:left="720" w:firstLine="42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1.</w:t>
      </w:r>
      <w:r w:rsidRPr="008D78F3">
        <w:rPr>
          <w:rFonts w:ascii="Times New Roman" w:eastAsia="標楷體" w:hAnsi="Times New Roman"/>
          <w:kern w:val="3"/>
          <w:sz w:val="28"/>
        </w:rPr>
        <w:t>嵌頓性包莖</w:t>
      </w:r>
      <w:r w:rsidRPr="008D78F3">
        <w:rPr>
          <w:rFonts w:ascii="Times New Roman" w:eastAsia="標楷體" w:hAnsi="Times New Roman"/>
          <w:kern w:val="3"/>
          <w:sz w:val="28"/>
        </w:rPr>
        <w:t>(paraphimosis)</w:t>
      </w:r>
      <w:r w:rsidRPr="008D78F3">
        <w:rPr>
          <w:rFonts w:ascii="Times New Roman" w:eastAsia="標楷體" w:hAnsi="Times New Roman"/>
          <w:kern w:val="3"/>
          <w:sz w:val="28"/>
        </w:rPr>
        <w:t>。</w:t>
      </w:r>
    </w:p>
    <w:p w:rsidR="00BE6DC5" w:rsidRPr="008D78F3" w:rsidRDefault="00BE6DC5" w:rsidP="00BE6DC5">
      <w:pPr>
        <w:snapToGrid w:val="0"/>
        <w:spacing w:line="600" w:lineRule="exact"/>
        <w:ind w:left="1418" w:hanging="28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2.</w:t>
      </w:r>
      <w:r w:rsidRPr="008D78F3">
        <w:rPr>
          <w:rFonts w:ascii="Times New Roman" w:eastAsia="標楷體" w:hAnsi="Times New Roman"/>
          <w:kern w:val="3"/>
          <w:sz w:val="28"/>
        </w:rPr>
        <w:t>曾有發生復發性包皮炎，並有明確之病歷紀錄可資證明。</w:t>
      </w:r>
    </w:p>
    <w:p w:rsidR="00BE6DC5" w:rsidRPr="008D78F3" w:rsidRDefault="00BE6DC5" w:rsidP="00BE6DC5">
      <w:pPr>
        <w:snapToGrid w:val="0"/>
        <w:spacing w:line="600" w:lineRule="exact"/>
        <w:ind w:left="720" w:firstLine="42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3.</w:t>
      </w:r>
      <w:r w:rsidRPr="008D78F3">
        <w:rPr>
          <w:rFonts w:ascii="Times New Roman" w:eastAsia="標楷體" w:hAnsi="Times New Roman"/>
          <w:kern w:val="3"/>
          <w:sz w:val="28"/>
        </w:rPr>
        <w:t>包皮有結疤影響排尿或陰莖勃起。</w:t>
      </w:r>
    </w:p>
    <w:p w:rsidR="00BE6DC5" w:rsidRPr="008D78F3" w:rsidRDefault="00BE6DC5" w:rsidP="00BE6DC5">
      <w:pPr>
        <w:snapToGrid w:val="0"/>
        <w:spacing w:line="600" w:lineRule="exact"/>
        <w:ind w:left="1418" w:hanging="28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4.</w:t>
      </w:r>
      <w:r w:rsidRPr="008D78F3">
        <w:rPr>
          <w:rFonts w:ascii="Times New Roman" w:eastAsia="標楷體" w:hAnsi="Times New Roman"/>
          <w:kern w:val="3"/>
          <w:sz w:val="28"/>
        </w:rPr>
        <w:t>因包皮病灶而須將包皮切除並送病理檢驗者。</w:t>
      </w:r>
    </w:p>
    <w:p w:rsidR="00BE6DC5" w:rsidRPr="008D78F3" w:rsidRDefault="00BE6DC5" w:rsidP="00BE6DC5">
      <w:pPr>
        <w:snapToGrid w:val="0"/>
        <w:spacing w:line="600" w:lineRule="exact"/>
        <w:ind w:left="720" w:firstLine="42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5.</w:t>
      </w:r>
      <w:r w:rsidRPr="008D78F3">
        <w:rPr>
          <w:rFonts w:ascii="Times New Roman" w:eastAsia="標楷體" w:hAnsi="Times New Roman"/>
          <w:kern w:val="3"/>
          <w:sz w:val="28"/>
        </w:rPr>
        <w:t>因他項手術之需要而須將包皮切除者。</w:t>
      </w:r>
    </w:p>
    <w:p w:rsidR="00BE6DC5" w:rsidRPr="008D78F3" w:rsidRDefault="00BE6DC5" w:rsidP="00BE6DC5">
      <w:pPr>
        <w:snapToGrid w:val="0"/>
        <w:spacing w:line="600" w:lineRule="exact"/>
        <w:ind w:left="240"/>
        <w:jc w:val="both"/>
        <w:rPr>
          <w:rFonts w:ascii="Times New Roman" w:hAnsi="Times New Roman"/>
        </w:rPr>
      </w:pPr>
      <w:r w:rsidRPr="008D78F3">
        <w:rPr>
          <w:rFonts w:ascii="Times New Roman" w:eastAsia="標楷體" w:hAnsi="Times New Roman"/>
          <w:kern w:val="3"/>
          <w:sz w:val="28"/>
        </w:rPr>
        <w:t>(</w:t>
      </w:r>
      <w:r w:rsidRPr="008D78F3">
        <w:rPr>
          <w:rFonts w:ascii="Times New Roman" w:eastAsia="標楷體" w:hAnsi="Times New Roman"/>
          <w:kern w:val="3"/>
          <w:sz w:val="28"/>
        </w:rPr>
        <w:t>十一</w:t>
      </w:r>
      <w:r w:rsidRPr="008D78F3">
        <w:rPr>
          <w:rFonts w:ascii="Times New Roman" w:eastAsia="標楷體" w:hAnsi="Times New Roman"/>
          <w:kern w:val="3"/>
          <w:sz w:val="28"/>
        </w:rPr>
        <w:t>)BPH</w:t>
      </w:r>
      <w:r w:rsidRPr="008D78F3">
        <w:rPr>
          <w:rFonts w:ascii="Times New Roman" w:eastAsia="標楷體" w:hAnsi="Times New Roman"/>
          <w:kern w:val="3"/>
          <w:sz w:val="28"/>
        </w:rPr>
        <w:t>病人使用</w:t>
      </w:r>
      <w:r w:rsidRPr="008D78F3">
        <w:rPr>
          <w:rFonts w:ascii="Times New Roman" w:eastAsia="標楷體" w:hAnsi="Times New Roman"/>
          <w:kern w:val="3"/>
          <w:sz w:val="28"/>
        </w:rPr>
        <w:t xml:space="preserve">bethanechol </w:t>
      </w:r>
      <w:r w:rsidRPr="008D78F3">
        <w:rPr>
          <w:rFonts w:ascii="Times New Roman" w:eastAsia="標楷體" w:hAnsi="Times New Roman"/>
          <w:kern w:val="3"/>
          <w:sz w:val="28"/>
        </w:rPr>
        <w:t>之審查原則：</w:t>
      </w:r>
      <w:r w:rsidRPr="008D78F3">
        <w:rPr>
          <w:rFonts w:ascii="Times New Roman" w:eastAsia="標楷體" w:hAnsi="Times New Roman"/>
          <w:sz w:val="28"/>
        </w:rPr>
        <w:t>(97/5/1)</w:t>
      </w:r>
    </w:p>
    <w:p w:rsidR="00BE6DC5" w:rsidRPr="008D78F3" w:rsidRDefault="00BE6DC5" w:rsidP="00BE6DC5">
      <w:pPr>
        <w:snapToGrid w:val="0"/>
        <w:spacing w:line="600" w:lineRule="exact"/>
        <w:ind w:left="1438" w:hanging="30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1.BPH</w:t>
      </w:r>
      <w:r w:rsidRPr="008D78F3">
        <w:rPr>
          <w:rFonts w:ascii="Times New Roman" w:eastAsia="標楷體" w:hAnsi="Times New Roman"/>
          <w:kern w:val="3"/>
          <w:sz w:val="28"/>
        </w:rPr>
        <w:t>病人建議不宜直接使用</w:t>
      </w:r>
      <w:r w:rsidRPr="008D78F3">
        <w:rPr>
          <w:rFonts w:ascii="Times New Roman" w:eastAsia="標楷體" w:hAnsi="Times New Roman"/>
          <w:kern w:val="3"/>
          <w:sz w:val="28"/>
        </w:rPr>
        <w:t>bethanechol</w:t>
      </w:r>
      <w:r w:rsidRPr="008D78F3">
        <w:rPr>
          <w:rFonts w:ascii="Times New Roman" w:eastAsia="標楷體" w:hAnsi="Times New Roman"/>
          <w:kern w:val="3"/>
          <w:sz w:val="28"/>
        </w:rPr>
        <w:t>，若已服用</w:t>
      </w:r>
      <w:r w:rsidRPr="008D78F3">
        <w:rPr>
          <w:rFonts w:ascii="Times New Roman" w:eastAsia="標楷體" w:hAnsi="Times New Roman"/>
          <w:kern w:val="3"/>
          <w:sz w:val="28"/>
        </w:rPr>
        <w:t>finasteride</w:t>
      </w:r>
      <w:r w:rsidRPr="008D78F3">
        <w:rPr>
          <w:rFonts w:ascii="Times New Roman" w:eastAsia="標楷體" w:hAnsi="Times New Roman"/>
          <w:kern w:val="3"/>
          <w:sz w:val="28"/>
        </w:rPr>
        <w:t>或</w:t>
      </w:r>
      <w:r w:rsidRPr="008D78F3">
        <w:rPr>
          <w:rFonts w:ascii="Times New Roman" w:eastAsia="標楷體" w:hAnsi="Times New Roman"/>
          <w:kern w:val="3"/>
          <w:sz w:val="28"/>
        </w:rPr>
        <w:t>α-blocker 3</w:t>
      </w:r>
      <w:r w:rsidRPr="008D78F3">
        <w:rPr>
          <w:rFonts w:ascii="Times New Roman" w:eastAsia="標楷體" w:hAnsi="Times New Roman"/>
          <w:kern w:val="3"/>
          <w:sz w:val="28"/>
        </w:rPr>
        <w:t>個月，仍有有意義的殘尿並有證明者，則可同意使用。</w:t>
      </w:r>
    </w:p>
    <w:p w:rsidR="00BE6DC5" w:rsidRPr="008D78F3" w:rsidRDefault="00BE6DC5" w:rsidP="00BE6DC5">
      <w:pPr>
        <w:snapToGrid w:val="0"/>
        <w:spacing w:line="600" w:lineRule="exact"/>
        <w:ind w:left="1438" w:hanging="30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2.</w:t>
      </w:r>
      <w:r w:rsidRPr="008D78F3">
        <w:rPr>
          <w:rFonts w:ascii="Times New Roman" w:eastAsia="標楷體" w:hAnsi="Times New Roman"/>
          <w:kern w:val="3"/>
          <w:sz w:val="28"/>
        </w:rPr>
        <w:t>急性尿滯留，已</w:t>
      </w:r>
      <w:r w:rsidRPr="008D78F3">
        <w:rPr>
          <w:rFonts w:ascii="Times New Roman" w:eastAsia="標楷體" w:hAnsi="Times New Roman"/>
          <w:kern w:val="3"/>
          <w:sz w:val="28"/>
        </w:rPr>
        <w:t>on Foley</w:t>
      </w:r>
      <w:r w:rsidRPr="008D78F3">
        <w:rPr>
          <w:rFonts w:ascii="Times New Roman" w:eastAsia="標楷體" w:hAnsi="Times New Roman"/>
          <w:kern w:val="3"/>
          <w:sz w:val="28"/>
        </w:rPr>
        <w:t>者，需符合藥品許可證適應範圍且排除</w:t>
      </w:r>
      <w:r w:rsidRPr="008D78F3">
        <w:rPr>
          <w:rFonts w:ascii="Times New Roman" w:eastAsia="標楷體" w:hAnsi="Times New Roman"/>
          <w:kern w:val="3"/>
          <w:sz w:val="28"/>
        </w:rPr>
        <w:lastRenderedPageBreak/>
        <w:t>阻塞性病變者，另有足以證明</w:t>
      </w:r>
      <w:r w:rsidRPr="008D78F3">
        <w:rPr>
          <w:rFonts w:ascii="Times New Roman" w:eastAsia="標楷體" w:hAnsi="Times New Roman"/>
          <w:kern w:val="3"/>
          <w:sz w:val="28"/>
        </w:rPr>
        <w:t>detrusor</w:t>
      </w:r>
      <w:r w:rsidRPr="008D78F3">
        <w:rPr>
          <w:rFonts w:ascii="Times New Roman" w:eastAsia="標楷體" w:hAnsi="Times New Roman"/>
          <w:kern w:val="3"/>
          <w:sz w:val="28"/>
        </w:rPr>
        <w:t>功能障礙引起者，可同意使用。</w:t>
      </w:r>
    </w:p>
    <w:p w:rsidR="00BE6DC5" w:rsidRPr="008D78F3" w:rsidRDefault="00BE6DC5" w:rsidP="00BE6DC5">
      <w:pPr>
        <w:snapToGrid w:val="0"/>
        <w:spacing w:line="600" w:lineRule="exact"/>
        <w:ind w:left="1367" w:hanging="28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3.</w:t>
      </w:r>
      <w:r w:rsidRPr="008D78F3">
        <w:rPr>
          <w:rFonts w:ascii="Times New Roman" w:eastAsia="標楷體" w:hAnsi="Times New Roman"/>
          <w:kern w:val="3"/>
          <w:sz w:val="28"/>
        </w:rPr>
        <w:t>併有</w:t>
      </w:r>
      <w:r w:rsidRPr="008D78F3">
        <w:rPr>
          <w:rFonts w:ascii="Times New Roman" w:eastAsia="標楷體" w:hAnsi="Times New Roman"/>
          <w:kern w:val="3"/>
          <w:sz w:val="28"/>
        </w:rPr>
        <w:t>DM</w:t>
      </w:r>
      <w:r w:rsidRPr="008D78F3">
        <w:rPr>
          <w:rFonts w:ascii="Times New Roman" w:eastAsia="標楷體" w:hAnsi="Times New Roman"/>
          <w:kern w:val="3"/>
          <w:sz w:val="28"/>
        </w:rPr>
        <w:t>者，使用原則應符合第</w:t>
      </w:r>
      <w:r w:rsidRPr="008D78F3">
        <w:rPr>
          <w:rFonts w:ascii="Times New Roman" w:eastAsia="標楷體" w:hAnsi="Times New Roman"/>
          <w:kern w:val="3"/>
          <w:sz w:val="28"/>
        </w:rPr>
        <w:t>1</w:t>
      </w:r>
      <w:r w:rsidRPr="008D78F3">
        <w:rPr>
          <w:rFonts w:ascii="Times New Roman" w:eastAsia="標楷體" w:hAnsi="Times New Roman"/>
          <w:kern w:val="3"/>
          <w:sz w:val="28"/>
        </w:rPr>
        <w:t>項要求。但屬長期無法解尿者，則不可使用。</w:t>
      </w:r>
    </w:p>
    <w:p w:rsidR="00BE6DC5" w:rsidRPr="008D78F3" w:rsidRDefault="00BE6DC5" w:rsidP="00BE6DC5">
      <w:pPr>
        <w:snapToGrid w:val="0"/>
        <w:spacing w:line="600" w:lineRule="exact"/>
        <w:ind w:left="1367" w:hanging="280"/>
        <w:jc w:val="both"/>
        <w:rPr>
          <w:rFonts w:ascii="Times New Roman" w:eastAsia="標楷體" w:hAnsi="Times New Roman"/>
          <w:kern w:val="3"/>
          <w:sz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4.DM</w:t>
      </w:r>
      <w:r w:rsidRPr="008D78F3">
        <w:rPr>
          <w:rFonts w:ascii="Times New Roman" w:eastAsia="標楷體" w:hAnsi="Times New Roman"/>
          <w:kern w:val="3"/>
          <w:sz w:val="28"/>
        </w:rPr>
        <w:t>病人併有</w:t>
      </w:r>
      <w:r w:rsidRPr="008D78F3">
        <w:rPr>
          <w:rFonts w:ascii="Times New Roman" w:eastAsia="標楷體" w:hAnsi="Times New Roman"/>
          <w:kern w:val="3"/>
          <w:sz w:val="28"/>
        </w:rPr>
        <w:t>AUR</w:t>
      </w:r>
      <w:r w:rsidRPr="008D78F3">
        <w:rPr>
          <w:rFonts w:ascii="Times New Roman" w:eastAsia="標楷體" w:hAnsi="Times New Roman"/>
          <w:kern w:val="3"/>
          <w:sz w:val="28"/>
        </w:rPr>
        <w:t>，排除其他原因導致者，可同意使用。</w:t>
      </w:r>
    </w:p>
    <w:p w:rsidR="00BE6DC5" w:rsidRPr="008D78F3" w:rsidRDefault="00BE6DC5" w:rsidP="00BE6DC5">
      <w:pPr>
        <w:snapToGrid w:val="0"/>
        <w:spacing w:line="600" w:lineRule="exact"/>
        <w:ind w:left="1367" w:hanging="280"/>
        <w:jc w:val="both"/>
        <w:rPr>
          <w:rFonts w:ascii="Times New Roman" w:eastAsia="標楷體" w:hAnsi="Times New Roman"/>
          <w:kern w:val="3"/>
          <w:sz w:val="28"/>
          <w:szCs w:val="28"/>
        </w:rPr>
      </w:pPr>
      <w:r w:rsidRPr="008D78F3">
        <w:rPr>
          <w:rFonts w:ascii="Times New Roman" w:eastAsia="標楷體" w:hAnsi="Times New Roman"/>
          <w:kern w:val="3"/>
          <w:sz w:val="28"/>
        </w:rPr>
        <w:t>5.NB(neurogenic bladder)</w:t>
      </w:r>
      <w:r w:rsidRPr="008D78F3">
        <w:rPr>
          <w:rFonts w:ascii="Times New Roman" w:eastAsia="標楷體" w:hAnsi="Times New Roman"/>
          <w:kern w:val="3"/>
          <w:sz w:val="28"/>
        </w:rPr>
        <w:t>併</w:t>
      </w:r>
      <w:r w:rsidRPr="008D78F3">
        <w:rPr>
          <w:rFonts w:ascii="Times New Roman" w:eastAsia="標楷體" w:hAnsi="Times New Roman"/>
          <w:kern w:val="3"/>
          <w:sz w:val="28"/>
        </w:rPr>
        <w:t xml:space="preserve">urinary retention </w:t>
      </w:r>
      <w:r w:rsidRPr="008D78F3">
        <w:rPr>
          <w:rFonts w:ascii="Times New Roman" w:eastAsia="標楷體" w:hAnsi="Times New Roman"/>
          <w:kern w:val="3"/>
          <w:sz w:val="28"/>
        </w:rPr>
        <w:t>但</w:t>
      </w:r>
      <w:r w:rsidRPr="008D78F3">
        <w:rPr>
          <w:rFonts w:ascii="Times New Roman" w:eastAsia="標楷體" w:hAnsi="Times New Roman"/>
          <w:kern w:val="3"/>
          <w:sz w:val="28"/>
        </w:rPr>
        <w:t>on Foley</w:t>
      </w:r>
      <w:r w:rsidRPr="008D78F3">
        <w:rPr>
          <w:rFonts w:ascii="Times New Roman" w:eastAsia="標楷體" w:hAnsi="Times New Roman"/>
          <w:kern w:val="3"/>
          <w:sz w:val="28"/>
        </w:rPr>
        <w:t>已有一年者，</w:t>
      </w:r>
      <w:r w:rsidRPr="008D78F3">
        <w:rPr>
          <w:rFonts w:ascii="Times New Roman" w:eastAsia="標楷體" w:hAnsi="Times New Roman"/>
          <w:kern w:val="3"/>
          <w:sz w:val="28"/>
          <w:szCs w:val="28"/>
        </w:rPr>
        <w:t>不建議使用。</w:t>
      </w:r>
    </w:p>
    <w:p w:rsidR="00BE6DC5" w:rsidRPr="008D78F3" w:rsidRDefault="00BE6DC5" w:rsidP="00BE6DC5">
      <w:pPr>
        <w:pStyle w:val="af7"/>
        <w:spacing w:line="600" w:lineRule="exact"/>
        <w:rPr>
          <w:rFonts w:ascii="Times New Roman" w:eastAsia="標楷體" w:hAnsi="Times New Roman"/>
          <w:sz w:val="28"/>
          <w:szCs w:val="28"/>
        </w:rPr>
      </w:pPr>
      <w:bookmarkStart w:id="1" w:name="_Hlk61279496"/>
      <w:r w:rsidRPr="008D78F3">
        <w:rPr>
          <w:rFonts w:ascii="Times New Roman" w:eastAsia="標楷體" w:hAnsi="Times New Roman"/>
          <w:sz w:val="28"/>
          <w:szCs w:val="28"/>
        </w:rPr>
        <w:t>(</w:t>
      </w:r>
      <w:r w:rsidRPr="008D78F3">
        <w:rPr>
          <w:rFonts w:ascii="Times New Roman" w:eastAsia="標楷體" w:hAnsi="Times New Roman"/>
          <w:sz w:val="28"/>
          <w:szCs w:val="28"/>
        </w:rPr>
        <w:t>十二</w:t>
      </w:r>
      <w:r w:rsidRPr="008D78F3">
        <w:rPr>
          <w:rFonts w:ascii="Times New Roman" w:eastAsia="標楷體" w:hAnsi="Times New Roman"/>
          <w:sz w:val="28"/>
          <w:szCs w:val="28"/>
        </w:rPr>
        <w:t>)</w:t>
      </w:r>
      <w:r w:rsidRPr="008D78F3">
        <w:rPr>
          <w:rFonts w:ascii="Times New Roman" w:eastAsia="標楷體" w:hAnsi="Times New Roman"/>
          <w:sz w:val="28"/>
          <w:szCs w:val="28"/>
        </w:rPr>
        <w:t>尿失禁電刺激治療</w:t>
      </w:r>
      <w:r w:rsidRPr="008D78F3">
        <w:rPr>
          <w:rFonts w:ascii="Times New Roman" w:eastAsia="標楷體" w:hAnsi="Times New Roman"/>
          <w:sz w:val="28"/>
          <w:szCs w:val="28"/>
        </w:rPr>
        <w:t>(47087C)</w:t>
      </w:r>
      <w:r w:rsidRPr="008D78F3">
        <w:rPr>
          <w:rFonts w:ascii="Times New Roman" w:eastAsia="標楷體" w:hAnsi="Times New Roman" w:hint="eastAsia"/>
          <w:sz w:val="28"/>
          <w:szCs w:val="28"/>
        </w:rPr>
        <w:t>：</w:t>
      </w:r>
      <w:r w:rsidRPr="00AD3767">
        <w:rPr>
          <w:rFonts w:ascii="Times New Roman" w:eastAsia="標楷體" w:hAnsi="Times New Roman"/>
          <w:color w:val="0070C0"/>
          <w:sz w:val="28"/>
          <w:szCs w:val="28"/>
        </w:rPr>
        <w:t>(110/6/1)</w:t>
      </w:r>
    </w:p>
    <w:p w:rsidR="00BE6DC5" w:rsidRPr="008D78F3" w:rsidRDefault="00BE6DC5" w:rsidP="00BE6DC5">
      <w:pPr>
        <w:pStyle w:val="af7"/>
        <w:spacing w:line="600" w:lineRule="exact"/>
        <w:ind w:leftChars="439" w:left="1194" w:hangingChars="50" w:hanging="140"/>
        <w:rPr>
          <w:rFonts w:ascii="Times New Roman" w:eastAsia="標楷體" w:hAnsi="Times New Roman"/>
          <w:sz w:val="28"/>
          <w:szCs w:val="28"/>
        </w:rPr>
      </w:pPr>
      <w:r w:rsidRPr="008D78F3">
        <w:rPr>
          <w:rFonts w:ascii="Times New Roman" w:eastAsia="標楷體" w:hAnsi="Times New Roman" w:hint="eastAsia"/>
          <w:sz w:val="28"/>
          <w:szCs w:val="28"/>
        </w:rPr>
        <w:t>1</w:t>
      </w:r>
      <w:r w:rsidRPr="008D78F3">
        <w:rPr>
          <w:rFonts w:ascii="Times New Roman" w:eastAsia="標楷體" w:hAnsi="Times New Roman"/>
          <w:sz w:val="28"/>
          <w:szCs w:val="28"/>
        </w:rPr>
        <w:t>.</w:t>
      </w:r>
      <w:r w:rsidRPr="008D78F3">
        <w:rPr>
          <w:rFonts w:ascii="Times New Roman" w:eastAsia="標楷體" w:hAnsi="Times New Roman"/>
          <w:sz w:val="28"/>
          <w:szCs w:val="28"/>
        </w:rPr>
        <w:t>尿失禁電刺激治療需經診斷為尿失禁後，方可採行。「棉墊試驗</w:t>
      </w:r>
      <w:r w:rsidRPr="008D78F3">
        <w:rPr>
          <w:rFonts w:ascii="Times New Roman" w:eastAsia="標楷體" w:hAnsi="Times New Roman"/>
          <w:sz w:val="28"/>
          <w:szCs w:val="28"/>
        </w:rPr>
        <w:t>(30519C)</w:t>
      </w:r>
      <w:r w:rsidRPr="008D78F3">
        <w:rPr>
          <w:rFonts w:ascii="Times New Roman" w:eastAsia="標楷體" w:hAnsi="Times New Roman"/>
          <w:sz w:val="28"/>
          <w:szCs w:val="28"/>
        </w:rPr>
        <w:t>」、「壓力尿流速圖</w:t>
      </w:r>
      <w:r w:rsidRPr="008D78F3">
        <w:rPr>
          <w:rFonts w:ascii="Times New Roman" w:eastAsia="標楷體" w:hAnsi="Times New Roman"/>
          <w:sz w:val="28"/>
          <w:szCs w:val="28"/>
        </w:rPr>
        <w:t>(21011C)</w:t>
      </w:r>
      <w:r w:rsidRPr="008D78F3">
        <w:rPr>
          <w:rFonts w:ascii="Times New Roman" w:eastAsia="標楷體" w:hAnsi="Times New Roman"/>
          <w:sz w:val="28"/>
          <w:szCs w:val="28"/>
        </w:rPr>
        <w:t>」或「錄影尿流動力學</w:t>
      </w:r>
      <w:r w:rsidRPr="008D78F3">
        <w:rPr>
          <w:rFonts w:ascii="Times New Roman" w:eastAsia="標楷體" w:hAnsi="Times New Roman"/>
          <w:sz w:val="28"/>
          <w:szCs w:val="28"/>
        </w:rPr>
        <w:t>(21006B)</w:t>
      </w:r>
      <w:r w:rsidRPr="008D78F3">
        <w:rPr>
          <w:rFonts w:ascii="Times New Roman" w:eastAsia="標楷體" w:hAnsi="Times New Roman"/>
          <w:sz w:val="28"/>
          <w:szCs w:val="28"/>
        </w:rPr>
        <w:t>」等檢查項目為診斷依據，並檢附檢查結果。</w:t>
      </w:r>
    </w:p>
    <w:p w:rsidR="00BE6DC5" w:rsidRPr="008D78F3" w:rsidRDefault="00BE6DC5" w:rsidP="00BE6DC5">
      <w:pPr>
        <w:pStyle w:val="af7"/>
        <w:spacing w:line="600" w:lineRule="exact"/>
        <w:ind w:leftChars="439" w:left="1194" w:hangingChars="50" w:hanging="140"/>
        <w:rPr>
          <w:rFonts w:ascii="Times New Roman" w:eastAsia="標楷體" w:hAnsi="Times New Roman"/>
          <w:sz w:val="28"/>
          <w:szCs w:val="28"/>
        </w:rPr>
      </w:pPr>
      <w:r w:rsidRPr="008D78F3">
        <w:rPr>
          <w:rFonts w:ascii="Times New Roman" w:eastAsia="標楷體" w:hAnsi="Times New Roman" w:hint="eastAsia"/>
          <w:sz w:val="28"/>
          <w:szCs w:val="28"/>
        </w:rPr>
        <w:t>2</w:t>
      </w:r>
      <w:r w:rsidRPr="008D78F3">
        <w:rPr>
          <w:rFonts w:ascii="Times New Roman" w:eastAsia="標楷體" w:hAnsi="Times New Roman"/>
          <w:sz w:val="28"/>
          <w:szCs w:val="28"/>
        </w:rPr>
        <w:t>.</w:t>
      </w:r>
      <w:r w:rsidRPr="008D78F3">
        <w:rPr>
          <w:rFonts w:ascii="Times New Roman" w:eastAsia="標楷體" w:hAnsi="Times New Roman"/>
          <w:sz w:val="28"/>
          <w:szCs w:val="28"/>
        </w:rPr>
        <w:t>本項治療每週進行兩次，每月以六至八次為原則，三個月療程後，需進行療效評估。</w:t>
      </w:r>
      <w:bookmarkEnd w:id="1"/>
    </w:p>
    <w:p w:rsidR="000257EE" w:rsidRPr="00BE6DC5" w:rsidRDefault="000257EE" w:rsidP="00BE6DC5">
      <w:bookmarkStart w:id="2" w:name="_GoBack"/>
      <w:bookmarkEnd w:id="2"/>
    </w:p>
    <w:sectPr w:rsidR="000257EE" w:rsidRPr="00BE6DC5" w:rsidSect="000257EE">
      <w:headerReference w:type="default" r:id="rId8"/>
      <w:footerReference w:type="default" r:id="rId9"/>
      <w:pgSz w:w="11906" w:h="16838"/>
      <w:pgMar w:top="1440" w:right="849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5D" w:rsidRDefault="007A305D" w:rsidP="000257EE">
      <w:pPr>
        <w:spacing w:line="240" w:lineRule="auto"/>
      </w:pPr>
      <w:r>
        <w:separator/>
      </w:r>
    </w:p>
  </w:endnote>
  <w:endnote w:type="continuationSeparator" w:id="0">
    <w:p w:rsidR="007A305D" w:rsidRDefault="007A305D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MS Gothic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E6DC5">
      <w:rPr>
        <w:noProof/>
        <w:lang w:val="zh-TW"/>
      </w:rPr>
      <w:t>1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5D" w:rsidRDefault="007A305D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7A305D" w:rsidRDefault="007A305D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 w15:restartNumberingAfterBreak="0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 w15:restartNumberingAfterBreak="0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 w15:restartNumberingAfterBreak="0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 w15:restartNumberingAfterBreak="0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 w15:restartNumberingAfterBreak="0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 w15:restartNumberingAfterBreak="0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 w15:restartNumberingAfterBreak="0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4495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1C2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3F7ADA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305D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E6DC5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4054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0E31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CFD6B6-07E7-436B-B262-647F697D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F8CB-A90E-44A6-AD93-363D96A4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Yun-Hui Chen</cp:lastModifiedBy>
  <cp:revision>2</cp:revision>
  <cp:lastPrinted>2020-04-06T05:26:00Z</cp:lastPrinted>
  <dcterms:created xsi:type="dcterms:W3CDTF">2021-05-27T19:14:00Z</dcterms:created>
  <dcterms:modified xsi:type="dcterms:W3CDTF">2021-05-27T19:14:00Z</dcterms:modified>
</cp:coreProperties>
</file>