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EE" w:rsidRPr="00412F21" w:rsidRDefault="00274757" w:rsidP="003669B2">
      <w:pPr>
        <w:pStyle w:val="aff6"/>
      </w:pPr>
      <w:bookmarkStart w:id="0" w:name="_Toc35525089"/>
      <w:r w:rsidRPr="00412F21">
        <w:t>十、</w:t>
      </w:r>
      <w:r w:rsidR="00E7257E">
        <w:rPr>
          <w:rFonts w:hint="eastAsia"/>
        </w:rPr>
        <w:t>西醫基層醫療費用審查注意事項</w:t>
      </w:r>
      <w:bookmarkStart w:id="1" w:name="_GoBack"/>
      <w:bookmarkEnd w:id="1"/>
      <w:r w:rsidR="00B059B0" w:rsidRPr="00412F21">
        <w:rPr>
          <w:rFonts w:ascii="Times New Roman" w:hAnsi="Times New Roman" w:hint="eastAsia"/>
        </w:rPr>
        <w:t>-</w:t>
      </w:r>
      <w:r w:rsidRPr="00412F21">
        <w:t>皮膚科</w:t>
      </w:r>
      <w:bookmarkEnd w:id="0"/>
    </w:p>
    <w:p w:rsidR="000257EE" w:rsidRPr="00412F21" w:rsidRDefault="00274757" w:rsidP="00070B7A">
      <w:pPr>
        <w:snapToGrid w:val="0"/>
        <w:spacing w:line="600" w:lineRule="exact"/>
        <w:ind w:left="851" w:hanging="611"/>
        <w:rPr>
          <w:rFonts w:ascii="標楷體" w:eastAsia="標楷體" w:hAnsi="標楷體"/>
          <w:kern w:val="3"/>
          <w:sz w:val="28"/>
        </w:rPr>
      </w:pPr>
      <w:r w:rsidRPr="00412F21">
        <w:rPr>
          <w:rFonts w:ascii="標楷體" w:eastAsia="標楷體" w:hAnsi="標楷體"/>
          <w:kern w:val="3"/>
          <w:sz w:val="28"/>
        </w:rPr>
        <w:t>(一)冷凍治療【液態氮冷凍治療(51017C)、冷凍治療－單純（51021C）、冷凍治療－複雜（51022C）】：(95/12/1)</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1.申報原則：病歷應詳實記載，治療方法須有學理根據。(99/7/1)</w:t>
      </w:r>
    </w:p>
    <w:p w:rsidR="000257EE" w:rsidRPr="00412F21" w:rsidRDefault="00274757" w:rsidP="00070B7A">
      <w:pPr>
        <w:spacing w:line="600" w:lineRule="exact"/>
        <w:ind w:left="1560" w:hanging="426"/>
      </w:pPr>
      <w:r w:rsidRPr="00412F21">
        <w:rPr>
          <w:rFonts w:ascii="標楷體" w:eastAsia="標楷體" w:hAnsi="標楷體"/>
          <w:sz w:val="28"/>
          <w:szCs w:val="28"/>
        </w:rPr>
        <w:t>(1)液態氮冷凍治療（51017C）：病灶數量需3個(含)以上或總面積大於2平方公分（＞2cm</w:t>
      </w:r>
      <w:r w:rsidRPr="00412F21">
        <w:rPr>
          <w:rFonts w:ascii="標楷體" w:eastAsia="標楷體" w:hAnsi="標楷體"/>
          <w:sz w:val="28"/>
          <w:szCs w:val="28"/>
          <w:vertAlign w:val="superscript"/>
        </w:rPr>
        <w:t>2</w:t>
      </w:r>
      <w:r w:rsidRPr="00412F21">
        <w:rPr>
          <w:rFonts w:ascii="標楷體" w:eastAsia="標楷體" w:hAnsi="標楷體"/>
          <w:sz w:val="28"/>
          <w:szCs w:val="28"/>
        </w:rPr>
        <w:t>），或必須先做削皮(shaving)處置者。</w:t>
      </w:r>
    </w:p>
    <w:p w:rsidR="000257EE" w:rsidRPr="00412F21" w:rsidRDefault="00274757" w:rsidP="00070B7A">
      <w:pPr>
        <w:spacing w:line="600" w:lineRule="exact"/>
        <w:ind w:left="1560" w:hanging="426"/>
      </w:pPr>
      <w:r w:rsidRPr="00412F21">
        <w:rPr>
          <w:rFonts w:ascii="標楷體" w:eastAsia="標楷體" w:hAnsi="標楷體"/>
          <w:sz w:val="28"/>
          <w:szCs w:val="28"/>
        </w:rPr>
        <w:t>(2)冷凍治療－單純（51021C）：病灶數量單一或總面積1平方公分以內（≦1cm</w:t>
      </w:r>
      <w:r w:rsidRPr="00412F21">
        <w:rPr>
          <w:rFonts w:ascii="標楷體" w:eastAsia="標楷體" w:hAnsi="標楷體"/>
          <w:sz w:val="28"/>
          <w:szCs w:val="28"/>
          <w:vertAlign w:val="superscript"/>
        </w:rPr>
        <w:t>2</w:t>
      </w:r>
      <w:r w:rsidRPr="00412F21">
        <w:rPr>
          <w:rFonts w:ascii="標楷體" w:eastAsia="標楷體" w:hAnsi="標楷體"/>
          <w:sz w:val="28"/>
          <w:szCs w:val="28"/>
        </w:rPr>
        <w:t>）之單純冷凍療法</w:t>
      </w:r>
      <w:r w:rsidRPr="00412F21">
        <w:rPr>
          <w:rFonts w:ascii="標楷體" w:eastAsia="標楷體" w:hAnsi="標楷體"/>
          <w:bCs/>
          <w:sz w:val="28"/>
          <w:szCs w:val="28"/>
        </w:rPr>
        <w:t>。</w:t>
      </w:r>
    </w:p>
    <w:p w:rsidR="000257EE" w:rsidRPr="00412F21" w:rsidRDefault="00274757" w:rsidP="00070B7A">
      <w:pPr>
        <w:spacing w:line="600" w:lineRule="exact"/>
        <w:ind w:left="1560" w:hanging="426"/>
      </w:pPr>
      <w:r w:rsidRPr="00412F21">
        <w:rPr>
          <w:rFonts w:ascii="標楷體" w:eastAsia="標楷體" w:hAnsi="標楷體"/>
          <w:sz w:val="28"/>
          <w:szCs w:val="28"/>
        </w:rPr>
        <w:t>(3)冷凍治療－複雜（51022C）：病灶數量需2個或總面積大於1平方公分至2平方公分以內（＞1cm</w:t>
      </w:r>
      <w:r w:rsidRPr="00412F21">
        <w:rPr>
          <w:rFonts w:ascii="標楷體" w:eastAsia="標楷體" w:hAnsi="標楷體"/>
          <w:sz w:val="28"/>
          <w:szCs w:val="28"/>
          <w:vertAlign w:val="superscript"/>
        </w:rPr>
        <w:t xml:space="preserve">2 </w:t>
      </w:r>
      <w:r w:rsidRPr="00412F21">
        <w:rPr>
          <w:rFonts w:ascii="標楷體" w:eastAsia="標楷體" w:hAnsi="標楷體"/>
          <w:sz w:val="28"/>
          <w:szCs w:val="28"/>
        </w:rPr>
        <w:t>且≦2cm</w:t>
      </w:r>
      <w:r w:rsidRPr="00412F21">
        <w:rPr>
          <w:rFonts w:ascii="標楷體" w:eastAsia="標楷體" w:hAnsi="標楷體"/>
          <w:sz w:val="28"/>
          <w:szCs w:val="28"/>
          <w:vertAlign w:val="superscript"/>
        </w:rPr>
        <w:t>2</w:t>
      </w:r>
      <w:r w:rsidRPr="00412F21">
        <w:rPr>
          <w:rFonts w:ascii="標楷體" w:eastAsia="標楷體" w:hAnsi="標楷體"/>
          <w:sz w:val="28"/>
          <w:szCs w:val="28"/>
        </w:rPr>
        <w:t>）之複雜冷凍療法</w:t>
      </w:r>
      <w:r w:rsidRPr="00412F21">
        <w:rPr>
          <w:rFonts w:ascii="標楷體" w:eastAsia="標楷體" w:hAnsi="標楷體"/>
          <w:bCs/>
          <w:sz w:val="28"/>
          <w:szCs w:val="28"/>
        </w:rPr>
        <w:t>。</w:t>
      </w:r>
    </w:p>
    <w:p w:rsidR="000257EE" w:rsidRPr="00412F21" w:rsidRDefault="00274757" w:rsidP="00070B7A">
      <w:pPr>
        <w:spacing w:line="600" w:lineRule="exact"/>
        <w:ind w:left="1560" w:hanging="426"/>
      </w:pPr>
      <w:r w:rsidRPr="00412F21">
        <w:rPr>
          <w:rFonts w:ascii="標楷體" w:eastAsia="標楷體" w:hAnsi="標楷體"/>
          <w:sz w:val="28"/>
          <w:szCs w:val="28"/>
        </w:rPr>
        <w:t>(4)位於所有人臉部或六歲以下孩童，得以診療項目代碼51017C申報醫療費用。(99/7/1) (101/2/1)</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(二)病灶內注射51009C至51011C：</w:t>
      </w:r>
    </w:p>
    <w:p w:rsidR="000257EE" w:rsidRPr="00412F21" w:rsidRDefault="00274757" w:rsidP="00261697">
      <w:pPr>
        <w:pStyle w:val="af1"/>
        <w:snapToGrid w:val="0"/>
        <w:spacing w:line="600" w:lineRule="exact"/>
        <w:ind w:left="1134" w:hanging="335"/>
        <w:rPr>
          <w:rFonts w:ascii="標楷體" w:eastAsia="標楷體" w:hAnsi="標楷體"/>
          <w:kern w:val="3"/>
          <w:sz w:val="28"/>
        </w:rPr>
      </w:pPr>
      <w:r w:rsidRPr="00412F21">
        <w:rPr>
          <w:rFonts w:ascii="標楷體" w:eastAsia="標楷體" w:hAnsi="標楷體"/>
          <w:kern w:val="3"/>
          <w:sz w:val="28"/>
        </w:rPr>
        <w:t>1.申報原則：須多次治療時，每次注射應間隔一週以上。同一之囊腫若施行此處置，不得再另行申報切開排膿，應擇一申報，如為病灶廣泛之病例，須另行處方外用類固醇製劑時，應於病歷上記載清楚。</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2.適應症：限用於蟹足腫、囊腫、圓禿及結節性癢疹，及其他經公認病灶內注射治療有效之皮症。</w:t>
      </w:r>
    </w:p>
    <w:p w:rsidR="000257EE" w:rsidRPr="00412F21" w:rsidRDefault="00274757">
      <w:pPr>
        <w:snapToGrid w:val="0"/>
        <w:spacing w:line="600" w:lineRule="exact"/>
        <w:ind w:left="240"/>
        <w:rPr>
          <w:rFonts w:ascii="標楷體" w:eastAsia="標楷體" w:hAnsi="標楷體"/>
          <w:kern w:val="3"/>
          <w:sz w:val="28"/>
        </w:rPr>
      </w:pPr>
      <w:r w:rsidRPr="00412F21">
        <w:rPr>
          <w:rFonts w:ascii="標楷體" w:eastAsia="標楷體" w:hAnsi="標楷體"/>
          <w:kern w:val="3"/>
          <w:sz w:val="28"/>
        </w:rPr>
        <w:t>(三)電燒治療：</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1.申報原則：</w:t>
      </w:r>
    </w:p>
    <w:p w:rsidR="000257EE" w:rsidRPr="00412F21" w:rsidRDefault="00274757">
      <w:pPr>
        <w:snapToGrid w:val="0"/>
        <w:spacing w:line="600" w:lineRule="exact"/>
        <w:ind w:left="1500" w:hanging="420"/>
        <w:rPr>
          <w:rFonts w:ascii="標楷體" w:eastAsia="標楷體" w:hAnsi="標楷體"/>
          <w:kern w:val="3"/>
          <w:sz w:val="28"/>
        </w:rPr>
      </w:pPr>
      <w:r w:rsidRPr="00412F21">
        <w:rPr>
          <w:rFonts w:ascii="標楷體" w:eastAsia="標楷體" w:hAnsi="標楷體"/>
          <w:kern w:val="3"/>
          <w:sz w:val="28"/>
        </w:rPr>
        <w:t>(1)51005C單純：面積小於二平方公分。</w:t>
      </w:r>
    </w:p>
    <w:p w:rsidR="000257EE" w:rsidRPr="00412F21" w:rsidRDefault="00274757">
      <w:pPr>
        <w:snapToGrid w:val="0"/>
        <w:spacing w:line="600" w:lineRule="exact"/>
        <w:ind w:left="1500" w:hanging="420"/>
        <w:rPr>
          <w:rFonts w:ascii="標楷體" w:eastAsia="標楷體" w:hAnsi="標楷體"/>
          <w:kern w:val="3"/>
          <w:sz w:val="28"/>
        </w:rPr>
      </w:pPr>
      <w:r w:rsidRPr="00412F21">
        <w:rPr>
          <w:rFonts w:ascii="標楷體" w:eastAsia="標楷體" w:hAnsi="標楷體"/>
          <w:kern w:val="3"/>
          <w:sz w:val="28"/>
        </w:rPr>
        <w:t>(2)51006C複雜：面積大於二平方公分。</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2.適應症：限用於各種皮膚腫瘤、疣。</w:t>
      </w:r>
    </w:p>
    <w:p w:rsidR="000257EE" w:rsidRPr="00412F21" w:rsidRDefault="00274757" w:rsidP="00261697">
      <w:pPr>
        <w:snapToGrid w:val="0"/>
        <w:spacing w:line="600" w:lineRule="exact"/>
        <w:ind w:left="851" w:hanging="609"/>
        <w:rPr>
          <w:rFonts w:ascii="標楷體" w:eastAsia="標楷體" w:hAnsi="標楷體"/>
          <w:kern w:val="3"/>
          <w:sz w:val="28"/>
        </w:rPr>
      </w:pPr>
      <w:r w:rsidRPr="00412F21">
        <w:rPr>
          <w:rFonts w:ascii="標楷體" w:eastAsia="標楷體" w:hAnsi="標楷體"/>
          <w:kern w:val="3"/>
          <w:sz w:val="28"/>
        </w:rPr>
        <w:lastRenderedPageBreak/>
        <w:t>(四)切開排膿51020C，限囊腫及大型膿瘍(abscess)申報。甲溝炎、毛囊炎及一般血腫之引流或傷口之引流應以51004C申報。</w:t>
      </w:r>
    </w:p>
    <w:p w:rsidR="000257EE" w:rsidRPr="00412F21" w:rsidRDefault="00274757" w:rsidP="00261697">
      <w:pPr>
        <w:snapToGrid w:val="0"/>
        <w:spacing w:line="600" w:lineRule="exact"/>
        <w:ind w:left="851" w:hanging="609"/>
        <w:rPr>
          <w:rFonts w:ascii="標楷體" w:eastAsia="標楷體" w:hAnsi="標楷體"/>
          <w:kern w:val="3"/>
          <w:sz w:val="28"/>
        </w:rPr>
      </w:pPr>
      <w:r w:rsidRPr="00412F21">
        <w:rPr>
          <w:rFonts w:ascii="標楷體" w:eastAsia="標楷體" w:hAnsi="標楷體"/>
          <w:kern w:val="3"/>
          <w:sz w:val="28"/>
        </w:rPr>
        <w:t>(五)全身性溼疹，限慢性且病灶面積達全身三十％以上之個案，並須附病歷影本備查。</w:t>
      </w:r>
    </w:p>
    <w:p w:rsidR="000257EE" w:rsidRPr="00412F21" w:rsidRDefault="00274757">
      <w:pPr>
        <w:snapToGrid w:val="0"/>
        <w:spacing w:line="600" w:lineRule="exact"/>
        <w:ind w:left="799" w:hanging="557"/>
        <w:rPr>
          <w:rFonts w:ascii="標楷體" w:eastAsia="標楷體" w:hAnsi="標楷體"/>
          <w:kern w:val="3"/>
          <w:sz w:val="28"/>
        </w:rPr>
      </w:pPr>
      <w:r w:rsidRPr="00412F21">
        <w:rPr>
          <w:rFonts w:ascii="標楷體" w:eastAsia="標楷體" w:hAnsi="標楷體"/>
          <w:kern w:val="3"/>
          <w:sz w:val="28"/>
        </w:rPr>
        <w:t>(六)凡行皮膚科之切除手術，均需檢附病理報告，病歷記載應清楚，必要時可同時檢附照片(腫瘤之長度以最大直徑計算)。</w:t>
      </w:r>
    </w:p>
    <w:p w:rsidR="000257EE" w:rsidRPr="00412F21" w:rsidRDefault="00274757" w:rsidP="00261697">
      <w:pPr>
        <w:snapToGrid w:val="0"/>
        <w:spacing w:line="600" w:lineRule="exact"/>
        <w:ind w:left="851" w:hanging="609"/>
      </w:pPr>
      <w:r w:rsidRPr="00412F21">
        <w:rPr>
          <w:rFonts w:ascii="標楷體" w:eastAsia="標楷體" w:hAnsi="標楷體"/>
          <w:kern w:val="3"/>
          <w:sz w:val="28"/>
        </w:rPr>
        <w:t>(七)審查醫</w:t>
      </w:r>
      <w:r w:rsidRPr="00412F21">
        <w:rPr>
          <w:rFonts w:ascii="標楷體" w:eastAsia="標楷體" w:hAnsi="標楷體"/>
          <w:sz w:val="28"/>
          <w:szCs w:val="28"/>
        </w:rPr>
        <w:t>藥專家</w:t>
      </w:r>
      <w:r w:rsidRPr="00412F21">
        <w:rPr>
          <w:rFonts w:ascii="標楷體" w:eastAsia="標楷體" w:hAnsi="標楷體"/>
          <w:kern w:val="3"/>
          <w:sz w:val="28"/>
        </w:rPr>
        <w:t>如發現有異常者，應要求該醫療院所嗣後</w:t>
      </w:r>
      <w:r w:rsidR="007E728C" w:rsidRPr="00412F21">
        <w:rPr>
          <w:rFonts w:ascii="標楷體" w:eastAsia="標楷體" w:hAnsi="標楷體" w:hint="eastAsia"/>
          <w:kern w:val="3"/>
          <w:sz w:val="28"/>
        </w:rPr>
        <w:t>送審</w:t>
      </w:r>
      <w:r w:rsidRPr="00412F21">
        <w:rPr>
          <w:rFonts w:ascii="標楷體" w:eastAsia="標楷體" w:hAnsi="標楷體"/>
          <w:kern w:val="3"/>
          <w:sz w:val="28"/>
        </w:rPr>
        <w:t>時應檢附照片。(102/3/1)</w:t>
      </w:r>
      <w:r w:rsidR="007E728C" w:rsidRPr="00412F21">
        <w:rPr>
          <w:rFonts w:ascii="標楷體" w:eastAsia="標楷體" w:hAnsi="標楷體" w:hint="eastAsia"/>
          <w:kern w:val="3"/>
          <w:sz w:val="28"/>
        </w:rPr>
        <w:t>(106/1/1)</w:t>
      </w:r>
    </w:p>
    <w:p w:rsidR="000257EE" w:rsidRPr="00412F21" w:rsidRDefault="00274757">
      <w:pPr>
        <w:snapToGrid w:val="0"/>
        <w:spacing w:line="600" w:lineRule="exact"/>
        <w:ind w:left="799" w:hanging="557"/>
        <w:rPr>
          <w:rFonts w:ascii="標楷體" w:eastAsia="標楷體" w:hAnsi="標楷體"/>
          <w:kern w:val="3"/>
          <w:sz w:val="28"/>
        </w:rPr>
      </w:pPr>
      <w:r w:rsidRPr="00412F21">
        <w:rPr>
          <w:rFonts w:ascii="標楷體" w:eastAsia="標楷體" w:hAnsi="標楷體"/>
          <w:kern w:val="3"/>
          <w:sz w:val="28"/>
        </w:rPr>
        <w:t>(八)皮膚科使用tranexamic acid之適應症限於皮膚出血性疾病。</w:t>
      </w:r>
    </w:p>
    <w:p w:rsidR="000257EE" w:rsidRPr="00412F21" w:rsidRDefault="00274757" w:rsidP="00070B7A">
      <w:pPr>
        <w:snapToGrid w:val="0"/>
        <w:spacing w:line="600" w:lineRule="exact"/>
        <w:ind w:left="851" w:hanging="611"/>
      </w:pPr>
      <w:r w:rsidRPr="00412F21">
        <w:rPr>
          <w:rFonts w:ascii="標楷體" w:eastAsia="標楷體" w:hAnsi="標楷體"/>
          <w:kern w:val="3"/>
          <w:sz w:val="28"/>
        </w:rPr>
        <w:t>(九)</w:t>
      </w:r>
      <w:r w:rsidRPr="00412F21">
        <w:rPr>
          <w:rFonts w:ascii="標楷體" w:eastAsia="標楷體" w:hAnsi="標楷體"/>
          <w:bCs/>
          <w:sz w:val="28"/>
        </w:rPr>
        <w:t>使用口服抗黴菌藥</w:t>
      </w:r>
      <w:r w:rsidRPr="00412F21">
        <w:rPr>
          <w:rFonts w:ascii="標楷體" w:eastAsia="標楷體" w:hAnsi="標楷體"/>
          <w:kern w:val="3"/>
          <w:sz w:val="28"/>
        </w:rPr>
        <w:t>物如使用Sporanox (itraconazole)或Lamisil(tenbinafine)</w:t>
      </w:r>
      <w:r w:rsidRPr="00412F21">
        <w:rPr>
          <w:rFonts w:ascii="標楷體" w:eastAsia="標楷體" w:hAnsi="標楷體"/>
          <w:bCs/>
          <w:sz w:val="28"/>
        </w:rPr>
        <w:t>時，原則上不宜</w:t>
      </w:r>
      <w:r w:rsidRPr="00412F21">
        <w:rPr>
          <w:rFonts w:ascii="標楷體" w:eastAsia="標楷體" w:hAnsi="標楷體"/>
          <w:kern w:val="3"/>
          <w:sz w:val="28"/>
        </w:rPr>
        <w:t>併用azole</w:t>
      </w:r>
      <w:r w:rsidRPr="00412F21">
        <w:rPr>
          <w:rFonts w:ascii="標楷體" w:eastAsia="標楷體" w:hAnsi="標楷體"/>
          <w:bCs/>
          <w:sz w:val="28"/>
        </w:rPr>
        <w:t>類或</w:t>
      </w:r>
      <w:r w:rsidRPr="00412F21">
        <w:rPr>
          <w:rFonts w:ascii="標楷體" w:eastAsia="標楷體" w:hAnsi="標楷體"/>
          <w:kern w:val="3"/>
          <w:sz w:val="28"/>
        </w:rPr>
        <w:t>allylamine</w:t>
      </w:r>
      <w:r w:rsidRPr="00412F21">
        <w:rPr>
          <w:rFonts w:ascii="標楷體" w:eastAsia="標楷體" w:hAnsi="標楷體"/>
          <w:bCs/>
          <w:sz w:val="28"/>
        </w:rPr>
        <w:t>類外用藥，若病情需要，建議使用其他適當之外用製劑。使用口服灰指甲用藥之個案應於療程初次治療時詳細記載或檢附照片。(97/5/1)(100/1/1)</w:t>
      </w:r>
    </w:p>
    <w:p w:rsidR="000257EE" w:rsidRPr="00412F21" w:rsidRDefault="00274757">
      <w:pPr>
        <w:snapToGrid w:val="0"/>
        <w:spacing w:line="600" w:lineRule="exact"/>
        <w:ind w:left="836" w:hanging="596"/>
      </w:pPr>
      <w:r w:rsidRPr="00693159">
        <w:rPr>
          <w:rFonts w:ascii="標楷體" w:eastAsia="標楷體" w:hAnsi="標楷體"/>
          <w:kern w:val="3"/>
          <w:sz w:val="28"/>
        </w:rPr>
        <w:t>(十)</w:t>
      </w:r>
      <w:r w:rsidRPr="00412F21">
        <w:rPr>
          <w:rFonts w:ascii="標楷體" w:eastAsia="標楷體" w:hAnsi="標楷體"/>
          <w:sz w:val="28"/>
        </w:rPr>
        <w:t>使用外用藥於申報費用時，請於門診處方治療明細或住院費用醫令清單上，明示其重量或容量，俾利審查時評估藥量使用之適當性。</w:t>
      </w:r>
    </w:p>
    <w:p w:rsidR="000257EE" w:rsidRPr="00412F21" w:rsidRDefault="00274757" w:rsidP="00261697">
      <w:pPr>
        <w:snapToGrid w:val="0"/>
        <w:spacing w:line="600" w:lineRule="exact"/>
        <w:ind w:left="1134" w:hanging="894"/>
      </w:pPr>
      <w:r w:rsidRPr="00412F21">
        <w:rPr>
          <w:rFonts w:ascii="標楷體" w:eastAsia="標楷體" w:hAnsi="標楷體"/>
          <w:sz w:val="28"/>
        </w:rPr>
        <w:t>(十一)</w:t>
      </w:r>
      <w:r w:rsidRPr="00412F21">
        <w:rPr>
          <w:rFonts w:ascii="標楷體" w:eastAsia="標楷體" w:hAnsi="標楷體"/>
          <w:kern w:val="3"/>
          <w:sz w:val="28"/>
        </w:rPr>
        <w:t>Acne therapy不</w:t>
      </w:r>
      <w:r w:rsidRPr="00412F21">
        <w:rPr>
          <w:rFonts w:ascii="標楷體" w:eastAsia="標楷體" w:hAnsi="標楷體"/>
          <w:bCs/>
          <w:sz w:val="28"/>
          <w:szCs w:val="28"/>
        </w:rPr>
        <w:t>論數目多寡</w:t>
      </w:r>
      <w:r w:rsidRPr="00412F21">
        <w:rPr>
          <w:rFonts w:ascii="標楷體" w:eastAsia="標楷體" w:hAnsi="標楷體"/>
          <w:kern w:val="3"/>
          <w:sz w:val="28"/>
        </w:rPr>
        <w:t>，以申報一次51004C『皮膚</w:t>
      </w:r>
      <w:r w:rsidRPr="00412F21">
        <w:rPr>
          <w:rFonts w:ascii="標楷體" w:eastAsia="標楷體" w:hAnsi="標楷體"/>
          <w:bCs/>
          <w:sz w:val="28"/>
          <w:szCs w:val="28"/>
        </w:rPr>
        <w:t>簡單切開或切除不縫合(含膿庖切開)』為原則，並不得再合併申報其他相關治療。</w:t>
      </w:r>
    </w:p>
    <w:p w:rsidR="000257EE" w:rsidRPr="00412F21" w:rsidRDefault="00274757">
      <w:pPr>
        <w:snapToGrid w:val="0"/>
        <w:spacing w:line="600" w:lineRule="exact"/>
        <w:ind w:left="1173" w:hanging="935"/>
      </w:pPr>
      <w:r w:rsidRPr="00412F21">
        <w:rPr>
          <w:rFonts w:ascii="標楷體" w:eastAsia="標楷體" w:hAnsi="標楷體"/>
          <w:kern w:val="3"/>
          <w:sz w:val="28"/>
        </w:rPr>
        <w:t>(十二)刪除</w:t>
      </w:r>
      <w:r w:rsidRPr="00412F21">
        <w:rPr>
          <w:rFonts w:ascii="標楷體" w:eastAsia="標楷體" w:hAnsi="標楷體"/>
          <w:sz w:val="28"/>
          <w:szCs w:val="28"/>
        </w:rPr>
        <w:t>(101/2/1)</w:t>
      </w:r>
    </w:p>
    <w:p w:rsidR="000257EE" w:rsidRPr="00412F21" w:rsidRDefault="00274757">
      <w:pPr>
        <w:snapToGrid w:val="0"/>
        <w:spacing w:line="600" w:lineRule="exact"/>
        <w:ind w:left="1075" w:hanging="840"/>
      </w:pPr>
      <w:r w:rsidRPr="00412F21">
        <w:rPr>
          <w:rFonts w:ascii="標楷體" w:eastAsia="標楷體" w:hAnsi="標楷體"/>
          <w:bCs/>
          <w:sz w:val="28"/>
          <w:szCs w:val="28"/>
        </w:rPr>
        <w:t>(十三)</w:t>
      </w:r>
      <w:r w:rsidRPr="00412F21">
        <w:rPr>
          <w:rFonts w:ascii="標楷體" w:eastAsia="標楷體" w:hAnsi="標楷體"/>
          <w:kern w:val="3"/>
          <w:sz w:val="28"/>
        </w:rPr>
        <w:t>Elidel及</w:t>
      </w:r>
      <w:r w:rsidRPr="00412F21">
        <w:rPr>
          <w:rFonts w:ascii="標楷體" w:eastAsia="標楷體" w:hAnsi="標楷體"/>
          <w:bCs/>
          <w:sz w:val="28"/>
          <w:szCs w:val="28"/>
        </w:rPr>
        <w:t>Protopic Oint</w:t>
      </w:r>
      <w:r w:rsidRPr="00412F21">
        <w:rPr>
          <w:rFonts w:ascii="標楷體" w:eastAsia="標楷體" w:hAnsi="標楷體"/>
          <w:kern w:val="3"/>
          <w:sz w:val="28"/>
        </w:rPr>
        <w:t>限異位</w:t>
      </w:r>
      <w:r w:rsidRPr="00412F21">
        <w:rPr>
          <w:rFonts w:ascii="標楷體" w:eastAsia="標楷體" w:hAnsi="標楷體"/>
          <w:bCs/>
          <w:sz w:val="28"/>
          <w:szCs w:val="28"/>
        </w:rPr>
        <w:t>性皮膚炎使用，且限擇一使用，不得併用之。</w:t>
      </w:r>
    </w:p>
    <w:p w:rsidR="000257EE" w:rsidRPr="00412F21" w:rsidRDefault="00274757">
      <w:pPr>
        <w:snapToGrid w:val="0"/>
        <w:spacing w:line="600" w:lineRule="exact"/>
        <w:ind w:left="240"/>
      </w:pPr>
      <w:r w:rsidRPr="00412F21">
        <w:rPr>
          <w:rFonts w:ascii="標楷體" w:eastAsia="標楷體" w:hAnsi="標楷體"/>
          <w:kern w:val="3"/>
          <w:sz w:val="28"/>
        </w:rPr>
        <w:t>(十四)痤瘡病患，外用藥膏以2種為限，且須機轉不同</w:t>
      </w:r>
      <w:r w:rsidRPr="00412F21">
        <w:rPr>
          <w:rFonts w:ascii="標楷體" w:eastAsia="標楷體" w:hAnsi="標楷體"/>
          <w:bCs/>
          <w:sz w:val="28"/>
          <w:szCs w:val="28"/>
        </w:rPr>
        <w:t>。</w:t>
      </w:r>
    </w:p>
    <w:p w:rsidR="000257EE" w:rsidRPr="00412F21" w:rsidRDefault="00274757">
      <w:pPr>
        <w:snapToGrid w:val="0"/>
        <w:spacing w:line="600" w:lineRule="exact"/>
        <w:ind w:left="1133" w:hanging="893"/>
      </w:pPr>
      <w:r w:rsidRPr="00412F21">
        <w:rPr>
          <w:rFonts w:ascii="標楷體" w:eastAsia="標楷體" w:hAnsi="標楷體"/>
          <w:bCs/>
          <w:sz w:val="28"/>
          <w:szCs w:val="28"/>
        </w:rPr>
        <w:lastRenderedPageBreak/>
        <w:t>(十五)</w:t>
      </w:r>
      <w:r w:rsidRPr="00412F21">
        <w:rPr>
          <w:rFonts w:ascii="標楷體" w:eastAsia="標楷體" w:hAnsi="標楷體"/>
          <w:bCs/>
          <w:sz w:val="28"/>
        </w:rPr>
        <w:t>刪除</w:t>
      </w:r>
      <w:r w:rsidRPr="00412F21">
        <w:rPr>
          <w:rFonts w:ascii="標楷體" w:eastAsia="標楷體" w:hAnsi="標楷體"/>
          <w:sz w:val="28"/>
          <w:szCs w:val="28"/>
        </w:rPr>
        <w:t xml:space="preserve">(101/2/1) </w:t>
      </w:r>
    </w:p>
    <w:p w:rsidR="000257EE" w:rsidRPr="00412F21" w:rsidRDefault="00274757" w:rsidP="00CA412C">
      <w:pPr>
        <w:snapToGrid w:val="0"/>
        <w:spacing w:line="600" w:lineRule="exact"/>
        <w:ind w:left="1134" w:hanging="850"/>
      </w:pPr>
      <w:r w:rsidRPr="00412F21">
        <w:rPr>
          <w:rFonts w:ascii="標楷體" w:eastAsia="標楷體" w:hAnsi="標楷體"/>
          <w:bCs/>
          <w:sz w:val="28"/>
          <w:szCs w:val="28"/>
        </w:rPr>
        <w:t>(十六)痣切除於病歷中未見惡性症候記載者，不予支付62001C、62010C、51003C及相關病理費用(但先天性黑色素細胞痣不在此限)，但申報如不符合臨床常態分佈者應加強審查。(95/12/1)</w:t>
      </w:r>
      <w:r w:rsidRPr="00412F21">
        <w:rPr>
          <w:rFonts w:ascii="標楷體" w:eastAsia="標楷體" w:hAnsi="標楷體"/>
          <w:sz w:val="28"/>
          <w:szCs w:val="28"/>
        </w:rPr>
        <w:t xml:space="preserve"> (101/2/1)</w:t>
      </w:r>
    </w:p>
    <w:p w:rsidR="000257EE" w:rsidRPr="00412F21" w:rsidRDefault="00274757" w:rsidP="00F10A9C">
      <w:pPr>
        <w:spacing w:line="600" w:lineRule="exact"/>
        <w:ind w:left="1116" w:hanging="840"/>
        <w:jc w:val="both"/>
        <w:rPr>
          <w:rFonts w:ascii="標楷體" w:eastAsia="標楷體" w:hAnsi="標楷體"/>
          <w:bCs/>
          <w:sz w:val="28"/>
          <w:szCs w:val="28"/>
        </w:rPr>
      </w:pPr>
      <w:r w:rsidRPr="00412F21">
        <w:rPr>
          <w:rFonts w:ascii="標楷體" w:eastAsia="標楷體" w:hAnsi="標楷體"/>
          <w:bCs/>
          <w:sz w:val="28"/>
          <w:szCs w:val="28"/>
        </w:rPr>
        <w:t>(十七)</w:t>
      </w:r>
      <w:r w:rsidR="0004094A" w:rsidRPr="00412F21">
        <w:rPr>
          <w:rFonts w:ascii="標楷體" w:eastAsia="標楷體" w:hAnsi="標楷體"/>
          <w:bCs/>
          <w:sz w:val="28"/>
        </w:rPr>
        <w:t>刪除</w:t>
      </w:r>
      <w:r w:rsidR="0004094A" w:rsidRPr="00412F21">
        <w:rPr>
          <w:rFonts w:ascii="標楷體" w:eastAsia="標楷體" w:hAnsi="標楷體"/>
          <w:sz w:val="28"/>
          <w:szCs w:val="28"/>
        </w:rPr>
        <w:t>(</w:t>
      </w:r>
      <w:r w:rsidR="00817FDE">
        <w:rPr>
          <w:rFonts w:ascii="標楷體" w:eastAsia="標楷體" w:hAnsi="標楷體"/>
          <w:sz w:val="28"/>
          <w:szCs w:val="28"/>
        </w:rPr>
        <w:t>108/3/1</w:t>
      </w:r>
      <w:r w:rsidR="0004094A" w:rsidRPr="00412F21">
        <w:rPr>
          <w:rFonts w:ascii="標楷體" w:eastAsia="標楷體" w:hAnsi="標楷體"/>
          <w:sz w:val="28"/>
          <w:szCs w:val="28"/>
        </w:rPr>
        <w:t>)</w:t>
      </w:r>
    </w:p>
    <w:p w:rsidR="000257EE" w:rsidRPr="00412F21" w:rsidRDefault="00274757">
      <w:pPr>
        <w:snapToGrid w:val="0"/>
        <w:spacing w:line="600" w:lineRule="exact"/>
        <w:ind w:left="1199" w:hanging="921"/>
        <w:rPr>
          <w:rFonts w:ascii="標楷體" w:eastAsia="標楷體" w:hAnsi="標楷體"/>
          <w:bCs/>
          <w:sz w:val="28"/>
          <w:szCs w:val="28"/>
        </w:rPr>
      </w:pPr>
      <w:r w:rsidRPr="00412F21">
        <w:rPr>
          <w:rFonts w:ascii="標楷體" w:eastAsia="標楷體" w:hAnsi="標楷體"/>
          <w:bCs/>
          <w:sz w:val="28"/>
          <w:szCs w:val="28"/>
        </w:rPr>
        <w:t>(十八)審查案件中，有皮膚處置處方者，必要時交由皮膚科專科醫師會審。(95/12/1)</w:t>
      </w:r>
    </w:p>
    <w:p w:rsidR="000257EE" w:rsidRPr="00412F21" w:rsidRDefault="00274757" w:rsidP="00567D55">
      <w:pPr>
        <w:widowControl/>
        <w:spacing w:line="600" w:lineRule="exact"/>
        <w:ind w:left="1134" w:hanging="856"/>
      </w:pPr>
      <w:r w:rsidRPr="00412F21">
        <w:rPr>
          <w:rFonts w:ascii="標楷體" w:eastAsia="標楷體" w:hAnsi="標楷體"/>
          <w:bCs/>
          <w:sz w:val="28"/>
          <w:szCs w:val="28"/>
        </w:rPr>
        <w:t>(十九)</w:t>
      </w:r>
      <w:r w:rsidRPr="00412F21">
        <w:rPr>
          <w:rFonts w:ascii="標楷體" w:eastAsia="標楷體" w:hAnsi="標楷體"/>
          <w:sz w:val="28"/>
          <w:szCs w:val="28"/>
        </w:rPr>
        <w:t>皮膚疾病使用Antihistamine（抗組織胺）藥最多不超過2種為原則；若有例外情況應於病歷上敘明。（97/5/1）（104/1/1）</w:t>
      </w:r>
    </w:p>
    <w:p w:rsidR="000257EE" w:rsidRDefault="00567D55">
      <w:pPr>
        <w:widowControl/>
        <w:spacing w:line="600" w:lineRule="exact"/>
        <w:ind w:left="1079" w:hanging="801"/>
        <w:rPr>
          <w:rFonts w:ascii="標楷體" w:eastAsia="標楷體" w:hAnsi="標楷體"/>
          <w:sz w:val="28"/>
          <w:szCs w:val="28"/>
        </w:rPr>
      </w:pPr>
      <w:r>
        <w:rPr>
          <w:rFonts w:ascii="標楷體" w:eastAsia="標楷體" w:hAnsi="標楷體" w:hint="eastAsia"/>
          <w:sz w:val="28"/>
          <w:szCs w:val="28"/>
        </w:rPr>
        <w:t>(二十</w:t>
      </w:r>
      <w:r w:rsidR="00274757" w:rsidRPr="00412F21">
        <w:rPr>
          <w:rFonts w:ascii="標楷體" w:eastAsia="標楷體" w:hAnsi="標楷體"/>
          <w:sz w:val="28"/>
          <w:szCs w:val="28"/>
        </w:rPr>
        <w:t>）單純性疱疹使用acyclovir依藥品給付規定辦理</w:t>
      </w:r>
      <w:r w:rsidR="00274757" w:rsidRPr="00412F21">
        <w:rPr>
          <w:rFonts w:ascii="標楷體" w:eastAsia="標楷體" w:hAnsi="標楷體"/>
          <w:sz w:val="23"/>
          <w:szCs w:val="23"/>
        </w:rPr>
        <w:t>。</w:t>
      </w:r>
      <w:r w:rsidR="00274757" w:rsidRPr="00412F21">
        <w:rPr>
          <w:rFonts w:ascii="標楷體" w:eastAsia="標楷體" w:hAnsi="標楷體"/>
          <w:sz w:val="28"/>
          <w:szCs w:val="28"/>
        </w:rPr>
        <w:t>(99/7/1)</w:t>
      </w:r>
    </w:p>
    <w:p w:rsidR="00567D55" w:rsidRPr="00567D55" w:rsidRDefault="00567D55" w:rsidP="00CA412C">
      <w:pPr>
        <w:widowControl/>
        <w:spacing w:line="600" w:lineRule="exact"/>
        <w:ind w:left="1418" w:hanging="1140"/>
        <w:rPr>
          <w:rFonts w:ascii="標楷體" w:eastAsia="標楷體" w:hAnsi="標楷體"/>
          <w:sz w:val="28"/>
          <w:szCs w:val="28"/>
        </w:rPr>
      </w:pPr>
      <w:r w:rsidRPr="00567D55">
        <w:rPr>
          <w:rFonts w:ascii="標楷體" w:eastAsia="標楷體" w:hAnsi="標楷體"/>
          <w:sz w:val="28"/>
          <w:szCs w:val="28"/>
        </w:rPr>
        <w:t>(二十一)照光治療：</w:t>
      </w:r>
      <w:r w:rsidRPr="00567D55">
        <w:rPr>
          <w:rFonts w:ascii="標楷體" w:eastAsia="標楷體" w:hAnsi="標楷體" w:hint="eastAsia"/>
          <w:sz w:val="28"/>
          <w:szCs w:val="28"/>
        </w:rPr>
        <w:t>病歷應附照片（首次治療前），並依規定註明每次治療日期及劑量，若未註明則保險人不予給付。病情穩定者，同一療程以六次為原則。治療後每三個月照相一次檢視改善情形，每</w:t>
      </w:r>
      <w:r w:rsidRPr="00567D55">
        <w:rPr>
          <w:rFonts w:ascii="標楷體" w:eastAsia="標楷體" w:hAnsi="標楷體"/>
          <w:sz w:val="28"/>
          <w:szCs w:val="28"/>
        </w:rPr>
        <w:t>50次須重新評估。每次治療須有患者親自簽名。(</w:t>
      </w:r>
      <w:r w:rsidR="003C072F">
        <w:rPr>
          <w:rFonts w:ascii="標楷體" w:eastAsia="標楷體" w:hAnsi="標楷體"/>
          <w:sz w:val="28"/>
          <w:szCs w:val="28"/>
        </w:rPr>
        <w:t>109/5/1</w:t>
      </w:r>
      <w:r w:rsidRPr="00567D55">
        <w:rPr>
          <w:rFonts w:ascii="標楷體" w:eastAsia="標楷體" w:hAnsi="標楷體"/>
          <w:sz w:val="28"/>
          <w:szCs w:val="28"/>
        </w:rPr>
        <w:t>)</w:t>
      </w:r>
    </w:p>
    <w:p w:rsidR="000257EE" w:rsidRPr="00412F21" w:rsidRDefault="000257EE" w:rsidP="003669B2">
      <w:pPr>
        <w:widowControl/>
        <w:suppressAutoHyphens w:val="0"/>
        <w:spacing w:line="240" w:lineRule="auto"/>
        <w:rPr>
          <w:rFonts w:ascii="標楷體" w:eastAsia="標楷體" w:hAnsi="標楷體"/>
          <w:bCs/>
          <w:sz w:val="28"/>
          <w:szCs w:val="28"/>
        </w:rPr>
      </w:pPr>
    </w:p>
    <w:sectPr w:rsidR="000257EE" w:rsidRPr="00412F21" w:rsidSect="004E2CF8">
      <w:headerReference w:type="default" r:id="rId9"/>
      <w:footerReference w:type="default" r:id="rId10"/>
      <w:pgSz w:w="11906" w:h="16838"/>
      <w:pgMar w:top="1418" w:right="1304" w:bottom="1418" w:left="1320" w:header="720" w:footer="720" w:gutter="0"/>
      <w:cols w:space="720"/>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3E" w:rsidRDefault="00F4613E" w:rsidP="000257EE">
      <w:pPr>
        <w:spacing w:line="240" w:lineRule="auto"/>
      </w:pPr>
      <w:r>
        <w:separator/>
      </w:r>
    </w:p>
  </w:endnote>
  <w:endnote w:type="continuationSeparator" w:id="0">
    <w:p w:rsidR="00F4613E" w:rsidRDefault="00F4613E"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7257E">
      <w:rPr>
        <w:noProof/>
        <w:lang w:val="zh-TW"/>
      </w:rPr>
      <w:t>3</w:t>
    </w:r>
    <w:r>
      <w:rPr>
        <w:lang w:val="zh-TW"/>
      </w:rPr>
      <w:fldChar w:fldCharType="end"/>
    </w:r>
  </w:p>
  <w:p w:rsidR="00EE2069" w:rsidRDefault="00EE20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3E" w:rsidRDefault="00F4613E" w:rsidP="000257EE">
      <w:pPr>
        <w:spacing w:line="240" w:lineRule="auto"/>
      </w:pPr>
      <w:r w:rsidRPr="000257EE">
        <w:rPr>
          <w:color w:val="000000"/>
        </w:rPr>
        <w:separator/>
      </w:r>
    </w:p>
  </w:footnote>
  <w:footnote w:type="continuationSeparator" w:id="0">
    <w:p w:rsidR="00F4613E" w:rsidRDefault="00F4613E" w:rsidP="000257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5">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4">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5">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9">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4">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5">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3">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4">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8">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1">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4">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6">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7">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8">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2">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4">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5">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6">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7">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58">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39"/>
  </w:num>
  <w:num w:numId="3">
    <w:abstractNumId w:val="25"/>
  </w:num>
  <w:num w:numId="4">
    <w:abstractNumId w:val="27"/>
  </w:num>
  <w:num w:numId="5">
    <w:abstractNumId w:val="55"/>
  </w:num>
  <w:num w:numId="6">
    <w:abstractNumId w:val="21"/>
  </w:num>
  <w:num w:numId="7">
    <w:abstractNumId w:val="33"/>
  </w:num>
  <w:num w:numId="8">
    <w:abstractNumId w:val="23"/>
  </w:num>
  <w:num w:numId="9">
    <w:abstractNumId w:val="54"/>
  </w:num>
  <w:num w:numId="10">
    <w:abstractNumId w:val="49"/>
  </w:num>
  <w:num w:numId="11">
    <w:abstractNumId w:val="32"/>
  </w:num>
  <w:num w:numId="12">
    <w:abstractNumId w:val="53"/>
  </w:num>
  <w:num w:numId="13">
    <w:abstractNumId w:val="7"/>
  </w:num>
  <w:num w:numId="14">
    <w:abstractNumId w:val="34"/>
  </w:num>
  <w:num w:numId="15">
    <w:abstractNumId w:val="59"/>
  </w:num>
  <w:num w:numId="16">
    <w:abstractNumId w:val="18"/>
  </w:num>
  <w:num w:numId="17">
    <w:abstractNumId w:val="11"/>
  </w:num>
  <w:num w:numId="18">
    <w:abstractNumId w:val="5"/>
  </w:num>
  <w:num w:numId="19">
    <w:abstractNumId w:val="52"/>
  </w:num>
  <w:num w:numId="20">
    <w:abstractNumId w:val="20"/>
  </w:num>
  <w:num w:numId="21">
    <w:abstractNumId w:val="3"/>
  </w:num>
  <w:num w:numId="22">
    <w:abstractNumId w:val="60"/>
  </w:num>
  <w:num w:numId="23">
    <w:abstractNumId w:val="62"/>
  </w:num>
  <w:num w:numId="24">
    <w:abstractNumId w:val="6"/>
  </w:num>
  <w:num w:numId="25">
    <w:abstractNumId w:val="50"/>
  </w:num>
  <w:num w:numId="26">
    <w:abstractNumId w:val="45"/>
  </w:num>
  <w:num w:numId="27">
    <w:abstractNumId w:val="46"/>
  </w:num>
  <w:num w:numId="28">
    <w:abstractNumId w:val="16"/>
  </w:num>
  <w:num w:numId="29">
    <w:abstractNumId w:val="56"/>
  </w:num>
  <w:num w:numId="30">
    <w:abstractNumId w:val="2"/>
  </w:num>
  <w:num w:numId="31">
    <w:abstractNumId w:val="26"/>
  </w:num>
  <w:num w:numId="32">
    <w:abstractNumId w:val="58"/>
  </w:num>
  <w:num w:numId="33">
    <w:abstractNumId w:val="22"/>
  </w:num>
  <w:num w:numId="34">
    <w:abstractNumId w:val="31"/>
  </w:num>
  <w:num w:numId="35">
    <w:abstractNumId w:val="57"/>
  </w:num>
  <w:num w:numId="36">
    <w:abstractNumId w:val="43"/>
  </w:num>
  <w:num w:numId="37">
    <w:abstractNumId w:val="61"/>
  </w:num>
  <w:num w:numId="38">
    <w:abstractNumId w:val="29"/>
  </w:num>
  <w:num w:numId="39">
    <w:abstractNumId w:val="48"/>
  </w:num>
  <w:num w:numId="40">
    <w:abstractNumId w:val="12"/>
  </w:num>
  <w:num w:numId="41">
    <w:abstractNumId w:val="47"/>
  </w:num>
  <w:num w:numId="42">
    <w:abstractNumId w:val="3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num>
  <w:num w:numId="46">
    <w:abstractNumId w:val="8"/>
  </w:num>
  <w:num w:numId="47">
    <w:abstractNumId w:val="35"/>
  </w:num>
  <w:num w:numId="48">
    <w:abstractNumId w:val="51"/>
  </w:num>
  <w:num w:numId="49">
    <w:abstractNumId w:val="36"/>
  </w:num>
  <w:num w:numId="50">
    <w:abstractNumId w:val="38"/>
  </w:num>
  <w:num w:numId="51">
    <w:abstractNumId w:val="42"/>
  </w:num>
  <w:num w:numId="52">
    <w:abstractNumId w:val="15"/>
  </w:num>
  <w:num w:numId="53">
    <w:abstractNumId w:val="10"/>
  </w:num>
  <w:num w:numId="54">
    <w:abstractNumId w:val="37"/>
  </w:num>
  <w:num w:numId="55">
    <w:abstractNumId w:val="44"/>
  </w:num>
  <w:num w:numId="56">
    <w:abstractNumId w:val="19"/>
  </w:num>
  <w:num w:numId="57">
    <w:abstractNumId w:val="4"/>
  </w:num>
  <w:num w:numId="58">
    <w:abstractNumId w:val="24"/>
  </w:num>
  <w:num w:numId="59">
    <w:abstractNumId w:val="14"/>
  </w:num>
  <w:num w:numId="60">
    <w:abstractNumId w:val="40"/>
  </w:num>
  <w:num w:numId="61">
    <w:abstractNumId w:val="41"/>
  </w:num>
  <w:num w:numId="62">
    <w:abstractNumId w:val="0"/>
  </w:num>
  <w:num w:numId="63">
    <w:abstractNumId w:val="28"/>
  </w:num>
  <w:num w:numId="64">
    <w:abstractNumId w:val="1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ea85b02-ecf3-4040-abcd-d632eaf05cd6"/>
  </w:docVars>
  <w:rsids>
    <w:rsidRoot w:val="000257EE"/>
    <w:rsid w:val="0000174F"/>
    <w:rsid w:val="00005EAE"/>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F00A3"/>
    <w:rsid w:val="003F1A6D"/>
    <w:rsid w:val="003F256A"/>
    <w:rsid w:val="003F2C95"/>
    <w:rsid w:val="003F4562"/>
    <w:rsid w:val="003F45E5"/>
    <w:rsid w:val="003F611C"/>
    <w:rsid w:val="003F6B97"/>
    <w:rsid w:val="003F7ADA"/>
    <w:rsid w:val="0040025E"/>
    <w:rsid w:val="00400CCE"/>
    <w:rsid w:val="00400D0B"/>
    <w:rsid w:val="00401B8D"/>
    <w:rsid w:val="00407282"/>
    <w:rsid w:val="004122E2"/>
    <w:rsid w:val="00412F21"/>
    <w:rsid w:val="00414E05"/>
    <w:rsid w:val="0041794C"/>
    <w:rsid w:val="00424B5D"/>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2CF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6F74"/>
    <w:rsid w:val="00537242"/>
    <w:rsid w:val="00545495"/>
    <w:rsid w:val="00550F15"/>
    <w:rsid w:val="00555EB6"/>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57B"/>
    <w:rsid w:val="005F7590"/>
    <w:rsid w:val="00603CDE"/>
    <w:rsid w:val="00605809"/>
    <w:rsid w:val="00607252"/>
    <w:rsid w:val="00607AFA"/>
    <w:rsid w:val="0061030D"/>
    <w:rsid w:val="00612D70"/>
    <w:rsid w:val="00616818"/>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5631"/>
    <w:rsid w:val="00742046"/>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587B"/>
    <w:rsid w:val="00795B79"/>
    <w:rsid w:val="007A0BAB"/>
    <w:rsid w:val="007A2244"/>
    <w:rsid w:val="007A541B"/>
    <w:rsid w:val="007A5899"/>
    <w:rsid w:val="007A6C56"/>
    <w:rsid w:val="007B269F"/>
    <w:rsid w:val="007C0908"/>
    <w:rsid w:val="007C181C"/>
    <w:rsid w:val="007C4BB7"/>
    <w:rsid w:val="007D4DF5"/>
    <w:rsid w:val="007D58DF"/>
    <w:rsid w:val="007D5E6A"/>
    <w:rsid w:val="007E0058"/>
    <w:rsid w:val="007E034B"/>
    <w:rsid w:val="007E08A5"/>
    <w:rsid w:val="007E18EE"/>
    <w:rsid w:val="007E728C"/>
    <w:rsid w:val="007F067C"/>
    <w:rsid w:val="007F1E69"/>
    <w:rsid w:val="007F278E"/>
    <w:rsid w:val="007F45E6"/>
    <w:rsid w:val="007F4F0A"/>
    <w:rsid w:val="00800FA6"/>
    <w:rsid w:val="0080258F"/>
    <w:rsid w:val="0080543F"/>
    <w:rsid w:val="008055ED"/>
    <w:rsid w:val="00817FDE"/>
    <w:rsid w:val="00826B5C"/>
    <w:rsid w:val="00826B67"/>
    <w:rsid w:val="00827FDF"/>
    <w:rsid w:val="00831107"/>
    <w:rsid w:val="008312CA"/>
    <w:rsid w:val="008316EF"/>
    <w:rsid w:val="00832786"/>
    <w:rsid w:val="008339CA"/>
    <w:rsid w:val="0083437C"/>
    <w:rsid w:val="00843FC5"/>
    <w:rsid w:val="0084764E"/>
    <w:rsid w:val="00847A71"/>
    <w:rsid w:val="00855F62"/>
    <w:rsid w:val="00856A8E"/>
    <w:rsid w:val="00866C91"/>
    <w:rsid w:val="00881BDC"/>
    <w:rsid w:val="008846C5"/>
    <w:rsid w:val="00886B3F"/>
    <w:rsid w:val="00890902"/>
    <w:rsid w:val="008B0AAC"/>
    <w:rsid w:val="008B2BA0"/>
    <w:rsid w:val="008B5B3D"/>
    <w:rsid w:val="008C0AE0"/>
    <w:rsid w:val="008C15EB"/>
    <w:rsid w:val="008C3261"/>
    <w:rsid w:val="008C5BF9"/>
    <w:rsid w:val="008C70A2"/>
    <w:rsid w:val="008D18C6"/>
    <w:rsid w:val="008D64D2"/>
    <w:rsid w:val="008E08AD"/>
    <w:rsid w:val="008E2644"/>
    <w:rsid w:val="008E4752"/>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67A3"/>
    <w:rsid w:val="009C7B67"/>
    <w:rsid w:val="009D043C"/>
    <w:rsid w:val="009D3C2F"/>
    <w:rsid w:val="009D67E8"/>
    <w:rsid w:val="009E11C9"/>
    <w:rsid w:val="009E16F8"/>
    <w:rsid w:val="009E2534"/>
    <w:rsid w:val="009E294B"/>
    <w:rsid w:val="009E6E9F"/>
    <w:rsid w:val="009F24F3"/>
    <w:rsid w:val="009F3864"/>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50F5"/>
    <w:rsid w:val="00AA6EE9"/>
    <w:rsid w:val="00AB0885"/>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6C2"/>
    <w:rsid w:val="00B00882"/>
    <w:rsid w:val="00B04D3D"/>
    <w:rsid w:val="00B0547B"/>
    <w:rsid w:val="00B059B0"/>
    <w:rsid w:val="00B10089"/>
    <w:rsid w:val="00B11142"/>
    <w:rsid w:val="00B14FB9"/>
    <w:rsid w:val="00B15C3B"/>
    <w:rsid w:val="00B1644E"/>
    <w:rsid w:val="00B20F1C"/>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6145"/>
    <w:rsid w:val="00B91FA6"/>
    <w:rsid w:val="00B957BC"/>
    <w:rsid w:val="00BA0B6D"/>
    <w:rsid w:val="00BA3245"/>
    <w:rsid w:val="00BA78EA"/>
    <w:rsid w:val="00BA7AD7"/>
    <w:rsid w:val="00BB3413"/>
    <w:rsid w:val="00BB4110"/>
    <w:rsid w:val="00BB4B0D"/>
    <w:rsid w:val="00BC0206"/>
    <w:rsid w:val="00BC17FF"/>
    <w:rsid w:val="00BC4045"/>
    <w:rsid w:val="00BD285D"/>
    <w:rsid w:val="00BD294B"/>
    <w:rsid w:val="00BE1201"/>
    <w:rsid w:val="00BE3181"/>
    <w:rsid w:val="00BE3F3E"/>
    <w:rsid w:val="00BE4022"/>
    <w:rsid w:val="00BE5C9D"/>
    <w:rsid w:val="00BE669F"/>
    <w:rsid w:val="00BF3A86"/>
    <w:rsid w:val="00C03E73"/>
    <w:rsid w:val="00C05D9C"/>
    <w:rsid w:val="00C06A00"/>
    <w:rsid w:val="00C07672"/>
    <w:rsid w:val="00C124E8"/>
    <w:rsid w:val="00C15F5B"/>
    <w:rsid w:val="00C20AE0"/>
    <w:rsid w:val="00C24CE0"/>
    <w:rsid w:val="00C25EBC"/>
    <w:rsid w:val="00C2667B"/>
    <w:rsid w:val="00C30955"/>
    <w:rsid w:val="00C5351A"/>
    <w:rsid w:val="00C55283"/>
    <w:rsid w:val="00C5620E"/>
    <w:rsid w:val="00C574D0"/>
    <w:rsid w:val="00C57EA3"/>
    <w:rsid w:val="00C6204D"/>
    <w:rsid w:val="00C63C2E"/>
    <w:rsid w:val="00C654F7"/>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F315A"/>
    <w:rsid w:val="00CF34C9"/>
    <w:rsid w:val="00D024B9"/>
    <w:rsid w:val="00D052E4"/>
    <w:rsid w:val="00D06D18"/>
    <w:rsid w:val="00D071F4"/>
    <w:rsid w:val="00D11BB4"/>
    <w:rsid w:val="00D13392"/>
    <w:rsid w:val="00D172C4"/>
    <w:rsid w:val="00D20706"/>
    <w:rsid w:val="00D22E87"/>
    <w:rsid w:val="00D233D5"/>
    <w:rsid w:val="00D235D0"/>
    <w:rsid w:val="00D2579B"/>
    <w:rsid w:val="00D262C3"/>
    <w:rsid w:val="00D3119C"/>
    <w:rsid w:val="00D31661"/>
    <w:rsid w:val="00D36E4D"/>
    <w:rsid w:val="00D41472"/>
    <w:rsid w:val="00D46D86"/>
    <w:rsid w:val="00D47034"/>
    <w:rsid w:val="00D50519"/>
    <w:rsid w:val="00D54693"/>
    <w:rsid w:val="00D549F4"/>
    <w:rsid w:val="00D56BC8"/>
    <w:rsid w:val="00D57230"/>
    <w:rsid w:val="00D62586"/>
    <w:rsid w:val="00D62CB5"/>
    <w:rsid w:val="00D6315B"/>
    <w:rsid w:val="00D63DD1"/>
    <w:rsid w:val="00D64054"/>
    <w:rsid w:val="00D662F0"/>
    <w:rsid w:val="00D67839"/>
    <w:rsid w:val="00D72069"/>
    <w:rsid w:val="00D72C3C"/>
    <w:rsid w:val="00D762C7"/>
    <w:rsid w:val="00D7660A"/>
    <w:rsid w:val="00D773F4"/>
    <w:rsid w:val="00D77FF0"/>
    <w:rsid w:val="00D8065A"/>
    <w:rsid w:val="00D91C76"/>
    <w:rsid w:val="00D9286B"/>
    <w:rsid w:val="00D93577"/>
    <w:rsid w:val="00D96C40"/>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257E"/>
    <w:rsid w:val="00E7426F"/>
    <w:rsid w:val="00E76CAE"/>
    <w:rsid w:val="00E76CEE"/>
    <w:rsid w:val="00E84720"/>
    <w:rsid w:val="00E90886"/>
    <w:rsid w:val="00E9512C"/>
    <w:rsid w:val="00E95F85"/>
    <w:rsid w:val="00E9783E"/>
    <w:rsid w:val="00EA0F45"/>
    <w:rsid w:val="00EA5213"/>
    <w:rsid w:val="00EB2763"/>
    <w:rsid w:val="00EB5E9B"/>
    <w:rsid w:val="00EB60DC"/>
    <w:rsid w:val="00EC6849"/>
    <w:rsid w:val="00ED0A48"/>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4613E"/>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1D0A-8ADE-4AC1-B981-9B9F2275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葉祝玫</cp:lastModifiedBy>
  <cp:revision>3</cp:revision>
  <cp:lastPrinted>2020-04-06T05:26:00Z</cp:lastPrinted>
  <dcterms:created xsi:type="dcterms:W3CDTF">2020-04-24T06:02:00Z</dcterms:created>
  <dcterms:modified xsi:type="dcterms:W3CDTF">2020-04-27T00:56:00Z</dcterms:modified>
</cp:coreProperties>
</file>