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E" w:rsidRPr="00412F21" w:rsidRDefault="00274757" w:rsidP="003669B2">
      <w:pPr>
        <w:pStyle w:val="aff6"/>
      </w:pPr>
      <w:bookmarkStart w:id="0" w:name="_Toc35525090"/>
      <w:r w:rsidRPr="00412F21">
        <w:t>十一、</w:t>
      </w:r>
      <w:r w:rsidR="00FC39B5">
        <w:rPr>
          <w:rFonts w:hint="eastAsia"/>
        </w:rPr>
        <w:t>西醫基層醫療費用審查注意事項</w:t>
      </w:r>
      <w:bookmarkStart w:id="1" w:name="_GoBack"/>
      <w:bookmarkEnd w:id="1"/>
      <w:r w:rsidR="00B059B0" w:rsidRPr="00412F21">
        <w:rPr>
          <w:rFonts w:ascii="Times New Roman" w:hAnsi="Times New Roman" w:hint="eastAsia"/>
        </w:rPr>
        <w:t>-</w:t>
      </w:r>
      <w:r w:rsidRPr="00412F21">
        <w:t>神經內科</w:t>
      </w:r>
      <w:bookmarkEnd w:id="0"/>
    </w:p>
    <w:p w:rsidR="000257EE" w:rsidRPr="00412F21" w:rsidRDefault="00274757">
      <w:pPr>
        <w:snapToGrid w:val="0"/>
        <w:spacing w:line="600" w:lineRule="exact"/>
        <w:ind w:left="1040" w:hanging="560"/>
      </w:pPr>
      <w:r w:rsidRPr="00412F21">
        <w:rPr>
          <w:rFonts w:ascii="標楷體" w:eastAsia="標楷體" w:hAnsi="標楷體"/>
          <w:kern w:val="3"/>
          <w:sz w:val="28"/>
        </w:rPr>
        <w:t>(一)門</w:t>
      </w:r>
      <w:r w:rsidRPr="00412F21">
        <w:rPr>
          <w:rFonts w:ascii="標楷體" w:eastAsia="標楷體" w:hAnsi="標楷體"/>
          <w:sz w:val="28"/>
        </w:rPr>
        <w:t>診部分審查原則及注意事項：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1.門診處方用藥之審查，依照健保用藥之相關規定，進行詳細審查。除了應注意用藥之適應症外，也須注意使用之劑量與期間長短是否恰當。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2.門診處方用藥之審查，尤其是抗痙劑、抗凝血劑、抗血小板藥物、降腦壓、腦血管循環促進劑、抗巴金森氏症及類固醇等類藥物容</w:t>
      </w:r>
      <w:r w:rsidRPr="00412F21">
        <w:rPr>
          <w:rFonts w:ascii="標楷體" w:eastAsia="標楷體" w:hAnsi="標楷體"/>
          <w:sz w:val="28"/>
        </w:rPr>
        <w:t>易發生使用不合理之情形，應請神經科審查醫</w:t>
      </w:r>
      <w:r w:rsidRPr="00412F21">
        <w:rPr>
          <w:rFonts w:ascii="標楷體" w:eastAsia="標楷體" w:hAnsi="標楷體"/>
          <w:sz w:val="28"/>
          <w:szCs w:val="28"/>
        </w:rPr>
        <w:t>藥專家</w:t>
      </w:r>
      <w:r w:rsidRPr="00412F21">
        <w:rPr>
          <w:rFonts w:ascii="標楷體" w:eastAsia="標楷體" w:hAnsi="標楷體"/>
          <w:sz w:val="28"/>
        </w:rPr>
        <w:t>加強審查之。(102/3/1)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3.神經科慢性病人比例較高，也應注意其他非慢性病用藥之劑量及時間長短是否適當。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4.須注意檢查或檢驗之必要性，對於以研究、預防或健康檢查而做與診療無關之檢驗或檢查，應加強審查。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 xml:space="preserve"> (二)檢查項目審查原則及注意事項：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1.腦波、肌電圖、神經傳導速度、誘發電位及腦血管超音波等檢查，應按病情需要，慎選個案施行，並須檢附神經專科醫師簽名之報告，對檢查頻率過高及檢查結果為正常之個案比率過高之醫療院所，加強審查。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2.應儘量先使用前述檢查方法以確定診斷，但如經神經科專科醫師診</w:t>
      </w:r>
      <w:r w:rsidRPr="00412F21">
        <w:rPr>
          <w:rFonts w:ascii="標楷體" w:eastAsia="標楷體" w:hAnsi="標楷體"/>
          <w:sz w:val="28"/>
        </w:rPr>
        <w:t>察認為尚無法</w:t>
      </w:r>
      <w:r w:rsidRPr="00412F21">
        <w:rPr>
          <w:rFonts w:ascii="標楷體" w:eastAsia="標楷體" w:hAnsi="標楷體"/>
          <w:kern w:val="3"/>
          <w:sz w:val="28"/>
        </w:rPr>
        <w:t>確定</w:t>
      </w:r>
      <w:r w:rsidRPr="00412F21">
        <w:rPr>
          <w:rFonts w:ascii="標楷體" w:eastAsia="標楷體" w:hAnsi="標楷體"/>
          <w:sz w:val="28"/>
        </w:rPr>
        <w:t>診斷而病情需要時，得施行CT或MRI之檢查。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3.申報立體定位手術之病例需檢附手術(術前、術中、術後)照片，由審查醫</w:t>
      </w:r>
      <w:r w:rsidRPr="00412F21">
        <w:rPr>
          <w:rFonts w:ascii="標楷體" w:eastAsia="標楷體" w:hAnsi="標楷體"/>
          <w:sz w:val="28"/>
          <w:szCs w:val="28"/>
        </w:rPr>
        <w:t>藥專家</w:t>
      </w:r>
      <w:r w:rsidRPr="00412F21">
        <w:rPr>
          <w:rFonts w:ascii="標楷體" w:eastAsia="標楷體" w:hAnsi="標楷體"/>
          <w:kern w:val="3"/>
          <w:sz w:val="28"/>
        </w:rPr>
        <w:t>依學理基礎個案審查。(102/3/1)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lastRenderedPageBreak/>
        <w:t>4.如未有經神經科專科醫師診察而逕行施行前述神經學檢查項目者，應加強審查之，以避免檢查浮濫。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5.神經學檢查如同時施行</w:t>
      </w:r>
      <w:r w:rsidR="000678BB" w:rsidRPr="00412F21">
        <w:rPr>
          <w:rFonts w:ascii="標楷體" w:eastAsia="標楷體" w:hAnsi="標楷體"/>
          <w:kern w:val="3"/>
          <w:sz w:val="28"/>
        </w:rPr>
        <w:t>20013</w:t>
      </w:r>
      <w:r w:rsidR="000678BB">
        <w:rPr>
          <w:rFonts w:ascii="標楷體" w:eastAsia="標楷體" w:hAnsi="標楷體" w:hint="eastAsia"/>
          <w:kern w:val="3"/>
          <w:sz w:val="28"/>
        </w:rPr>
        <w:t>C</w:t>
      </w:r>
      <w:r w:rsidR="000678BB" w:rsidRPr="00412F21">
        <w:rPr>
          <w:rFonts w:ascii="標楷體" w:eastAsia="標楷體" w:hAnsi="標楷體"/>
          <w:kern w:val="3"/>
          <w:sz w:val="28"/>
        </w:rPr>
        <w:t xml:space="preserve"> </w:t>
      </w:r>
      <w:r w:rsidRPr="00412F21">
        <w:rPr>
          <w:rFonts w:ascii="標楷體" w:eastAsia="標楷體" w:hAnsi="標楷體"/>
          <w:kern w:val="3"/>
          <w:sz w:val="28"/>
        </w:rPr>
        <w:t>(頸動脈超音波)、20021B(眼動脈流速測定)</w:t>
      </w:r>
      <w:r w:rsidRPr="00412F21">
        <w:rPr>
          <w:rFonts w:ascii="標楷體" w:eastAsia="標楷體" w:hAnsi="標楷體"/>
          <w:sz w:val="28"/>
        </w:rPr>
        <w:t>二項檢查之適應症：</w:t>
      </w:r>
      <w:r w:rsidRPr="00412F21">
        <w:rPr>
          <w:rFonts w:ascii="標楷體" w:eastAsia="標楷體" w:hAnsi="標楷體"/>
          <w:sz w:val="28"/>
          <w:szCs w:val="28"/>
        </w:rPr>
        <w:t>(101/2/1)</w:t>
      </w:r>
      <w:r w:rsidR="00AA3A63">
        <w:rPr>
          <w:rFonts w:ascii="標楷體" w:eastAsia="標楷體" w:hAnsi="標楷體" w:hint="eastAsia"/>
          <w:sz w:val="28"/>
          <w:szCs w:val="28"/>
        </w:rPr>
        <w:t>(</w:t>
      </w:r>
      <w:r w:rsidR="003C072F">
        <w:rPr>
          <w:rFonts w:ascii="標楷體" w:eastAsia="標楷體" w:hAnsi="標楷體" w:hint="eastAsia"/>
          <w:sz w:val="28"/>
          <w:szCs w:val="28"/>
        </w:rPr>
        <w:t>109/5/1</w:t>
      </w:r>
      <w:r w:rsidR="00AA3A63">
        <w:rPr>
          <w:rFonts w:ascii="標楷體" w:eastAsia="標楷體" w:hAnsi="標楷體" w:hint="eastAsia"/>
          <w:sz w:val="28"/>
          <w:szCs w:val="28"/>
        </w:rPr>
        <w:t>)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(1)症狀性、缺血性腦血管疾病。</w:t>
      </w:r>
    </w:p>
    <w:p w:rsidR="000257EE" w:rsidRPr="00412F21" w:rsidRDefault="00274757">
      <w:pPr>
        <w:snapToGrid w:val="0"/>
        <w:spacing w:line="600" w:lineRule="exact"/>
        <w:ind w:left="16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甲、腦中風</w:t>
      </w:r>
    </w:p>
    <w:p w:rsidR="000257EE" w:rsidRPr="00412F21" w:rsidRDefault="00274757">
      <w:pPr>
        <w:snapToGrid w:val="0"/>
        <w:spacing w:line="600" w:lineRule="exact"/>
        <w:ind w:left="16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乙、暫時性腦缺血發作(TIA)。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(2)腦血管疾病高危險群。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(3)其他特殊腦血管疾病。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6.施行20026B(穿顱都卜勒超音波檢查)之適應症：症狀性、缺血性腦血管疾</w:t>
      </w:r>
      <w:r w:rsidRPr="00412F21">
        <w:rPr>
          <w:rFonts w:ascii="標楷體" w:eastAsia="標楷體" w:hAnsi="標楷體"/>
          <w:sz w:val="28"/>
        </w:rPr>
        <w:t>病(</w:t>
      </w:r>
      <w:r w:rsidRPr="00412F21">
        <w:rPr>
          <w:rFonts w:ascii="標楷體" w:eastAsia="標楷體" w:hAnsi="標楷體"/>
          <w:kern w:val="3"/>
          <w:sz w:val="28"/>
        </w:rPr>
        <w:t>腦中風或TIA)。</w:t>
      </w:r>
      <w:r w:rsidRPr="00412F21">
        <w:rPr>
          <w:rFonts w:ascii="標楷體" w:eastAsia="標楷體" w:hAnsi="標楷體"/>
          <w:sz w:val="28"/>
          <w:szCs w:val="28"/>
        </w:rPr>
        <w:t>(101/2/1)</w:t>
      </w:r>
    </w:p>
    <w:p w:rsidR="000257EE" w:rsidRPr="00412F21" w:rsidRDefault="000257EE">
      <w:pPr>
        <w:snapToGrid w:val="0"/>
        <w:spacing w:line="240" w:lineRule="auto"/>
        <w:ind w:left="240"/>
        <w:rPr>
          <w:rFonts w:ascii="標楷體" w:eastAsia="標楷體" w:hAnsi="標楷體"/>
          <w:sz w:val="28"/>
        </w:rPr>
      </w:pP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 xml:space="preserve"> (三)神經傳導檢查項目NCV, F-wave, H-reflex及EEG之臨床適應症如下：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1.神經傳導速度檢查適應症：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(1)週邊神經病變之診斷、鑑別診斷、追蹤與治療評估，包括多發性及單一性週邊神經病變。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(2)神經根病變及其鑑別診斷。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(3)運動神經元疾病。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(4)脊髓背根結節病灶。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(5)肌肉神經病變之鑑別診斷。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2.H-reflex檢查之適應症：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(1)神經根病變之診斷、鑑別診斷、追蹤與治療評估。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lastRenderedPageBreak/>
        <w:t>(2)中樞神經病灶下對運動神經元之影響。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(3)上神經元病變導致spasticity之評估、追蹤與治療評估。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3.F-waves檢查之適應症：</w:t>
      </w:r>
    </w:p>
    <w:p w:rsidR="000257EE" w:rsidRPr="00412F21" w:rsidRDefault="00274757">
      <w:pPr>
        <w:snapToGrid w:val="0"/>
        <w:spacing w:line="600" w:lineRule="exact"/>
        <w:ind w:left="240" w:firstLine="1243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協助運動神經傳導檢查，作下列病變之診斷：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(1)週邊神經近端病變之診斷。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(2)神經叢病變之診斷。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(3)神經根病變之診斷。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(4)神經元病變與病變數目之評估。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4.EEG適應症之訂定有其困難，須視個案之診斷及病情而定，謹將以下施行EEG條件供參：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(1)診斷價值高：在腦半球、中腦或腦幹構造之突發性及快速惡化病情時，譬如：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甲、痙攣性異常疾病，包括癲癇之診斷、追蹤與治療評估。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乙、類癲癇或假性癲癇之鑑別診斷。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丙、中毒性或代謝性腦症。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丁、病因待確定的昏迷或意識障礙。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戊、疑腦死。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己、腦血流循環降低之病情。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庚、腦膜腦炎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辛、退化性中樞神經疾病，如庫賈氏症、海棉樣腦症及漢疔頓舞蹈症等。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693159">
        <w:rPr>
          <w:rFonts w:ascii="標楷體" w:eastAsia="標楷體" w:hAnsi="標楷體"/>
          <w:kern w:val="3"/>
          <w:sz w:val="28"/>
        </w:rPr>
        <w:t>壬、</w:t>
      </w:r>
      <w:r w:rsidR="00693159" w:rsidRPr="00693159">
        <w:rPr>
          <w:rFonts w:ascii="標楷體" w:eastAsia="標楷體" w:hAnsi="標楷體" w:hint="eastAsia"/>
          <w:kern w:val="3"/>
          <w:sz w:val="28"/>
        </w:rPr>
        <w:t>其</w:t>
      </w:r>
      <w:r w:rsidRPr="00693159">
        <w:rPr>
          <w:rFonts w:ascii="標楷體" w:eastAsia="標楷體" w:hAnsi="標楷體"/>
          <w:kern w:val="3"/>
          <w:sz w:val="28"/>
        </w:rPr>
        <w:t>他神經</w:t>
      </w:r>
      <w:r w:rsidRPr="00412F21">
        <w:rPr>
          <w:rFonts w:ascii="標楷體" w:eastAsia="標楷體" w:hAnsi="標楷體"/>
          <w:kern w:val="3"/>
          <w:sz w:val="28"/>
        </w:rPr>
        <w:t>內科專科醫師認為有必要之臨床情況。</w:t>
      </w:r>
    </w:p>
    <w:p w:rsidR="000257EE" w:rsidRPr="00412F21" w:rsidRDefault="00274757">
      <w:pPr>
        <w:snapToGrid w:val="0"/>
        <w:spacing w:line="600" w:lineRule="exact"/>
        <w:ind w:left="1740" w:hanging="42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(2)診斷價值中等：在新進發生或進行性腦局部佔位性病變，雖</w:t>
      </w:r>
      <w:r w:rsidRPr="00412F21">
        <w:rPr>
          <w:rFonts w:ascii="標楷體" w:eastAsia="標楷體" w:hAnsi="標楷體"/>
          <w:kern w:val="3"/>
          <w:sz w:val="28"/>
        </w:rPr>
        <w:lastRenderedPageBreak/>
        <w:t>然影像學診斷可更正確的定位病變，但有些情況用腦電圖可更早期診斷，甚至於只能靠腦電圖診斷，包括：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甲、腦瘤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乙、腦中風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丙、頭部外傷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丁、慢性硬膜下血腫(99/7/1)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戊、腦腫瘍</w:t>
      </w:r>
    </w:p>
    <w:p w:rsidR="000257EE" w:rsidRPr="00412F21" w:rsidRDefault="00274757">
      <w:pPr>
        <w:snapToGrid w:val="0"/>
        <w:spacing w:line="600" w:lineRule="exact"/>
        <w:ind w:left="1740" w:hanging="420"/>
      </w:pPr>
      <w:r w:rsidRPr="00412F21">
        <w:rPr>
          <w:rFonts w:ascii="標楷體" w:eastAsia="標楷體" w:hAnsi="標楷體"/>
          <w:kern w:val="3"/>
          <w:sz w:val="28"/>
        </w:rPr>
        <w:t>(3)診斷價值較低：病變在腦半球以下且非中央位置性、陳舊性病</w:t>
      </w:r>
      <w:r w:rsidRPr="00412F21">
        <w:rPr>
          <w:rFonts w:ascii="標楷體" w:eastAsia="標楷體" w:hAnsi="標楷體"/>
          <w:sz w:val="28"/>
        </w:rPr>
        <w:t>變、病情進行性較慢或較輕者，包括：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甲、小腦疾病或病變。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乙、侵犯顱神經或長徑路但未波及網狀中心系統之腦幹病變。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丙、精神科疾病。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丁、阿茲海默症、柏金森氏症、威爾森氏症、脊髓小腦退化症等。</w:t>
      </w:r>
    </w:p>
    <w:p w:rsidR="000257EE" w:rsidRPr="00412F21" w:rsidRDefault="00274757">
      <w:pPr>
        <w:snapToGrid w:val="0"/>
        <w:spacing w:line="600" w:lineRule="exact"/>
        <w:ind w:left="2020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戊、病因未確定之慢性頭痛。</w:t>
      </w:r>
    </w:p>
    <w:p w:rsidR="000257EE" w:rsidRPr="00412F21" w:rsidRDefault="00274757">
      <w:pPr>
        <w:snapToGrid w:val="0"/>
        <w:spacing w:line="600" w:lineRule="exact"/>
        <w:ind w:left="1680"/>
      </w:pPr>
      <w:r w:rsidRPr="00412F21">
        <w:rPr>
          <w:rFonts w:ascii="標楷體" w:eastAsia="標楷體" w:hAnsi="標楷體"/>
          <w:sz w:val="28"/>
        </w:rPr>
        <w:t>診斷價值較低疾病屬於排除其他病因才能確定之診斷時，應註明需排除之疾病，以彰顯檢查之合理性。如早期阿茲海默症之診斷需排除海棉樣腦症，檢查之適應症情況應為</w:t>
      </w:r>
      <w:r w:rsidRPr="00412F21">
        <w:rPr>
          <w:rFonts w:ascii="標楷體" w:eastAsia="標楷體" w:hAnsi="標楷體"/>
          <w:kern w:val="3"/>
          <w:sz w:val="28"/>
        </w:rPr>
        <w:t>Alzheimer disease R/O Jakob-Creutzfeldt disease，或Jakob-Creutzfeldt disease R/O Alzheimer disease等。</w:t>
      </w:r>
    </w:p>
    <w:p w:rsidR="000257EE" w:rsidRPr="00412F21" w:rsidRDefault="00274757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5.施行以上該等檢查，須於病歷上詳實記載，以維雙方權益。</w:t>
      </w:r>
    </w:p>
    <w:p w:rsidR="000257EE" w:rsidRPr="00412F21" w:rsidRDefault="00274757">
      <w:pPr>
        <w:snapToGrid w:val="0"/>
        <w:spacing w:line="600" w:lineRule="exact"/>
        <w:ind w:left="1040" w:hanging="56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 xml:space="preserve"> (四)急診部分審查原則及注意事項：</w:t>
      </w:r>
    </w:p>
    <w:p w:rsidR="000257EE" w:rsidRPr="00412F21" w:rsidRDefault="00274757">
      <w:pPr>
        <w:snapToGrid w:val="0"/>
        <w:spacing w:line="600" w:lineRule="exact"/>
        <w:ind w:left="1319" w:hanging="280"/>
      </w:pPr>
      <w:r w:rsidRPr="00412F21">
        <w:rPr>
          <w:rFonts w:ascii="標楷體" w:eastAsia="標楷體" w:hAnsi="標楷體"/>
          <w:kern w:val="3"/>
          <w:sz w:val="28"/>
        </w:rPr>
        <w:t>1.急診定義及適用範圍依</w:t>
      </w:r>
      <w:r w:rsidRPr="00412F21">
        <w:rPr>
          <w:rFonts w:ascii="標楷體" w:eastAsia="標楷體" w:hAnsi="標楷體"/>
          <w:sz w:val="28"/>
          <w:szCs w:val="28"/>
        </w:rPr>
        <w:t>全民健康保險醫療服務給付項目及支付標</w:t>
      </w:r>
      <w:r w:rsidRPr="00412F21">
        <w:rPr>
          <w:rFonts w:ascii="標楷體" w:eastAsia="標楷體" w:hAnsi="標楷體"/>
          <w:sz w:val="28"/>
          <w:szCs w:val="28"/>
        </w:rPr>
        <w:lastRenderedPageBreak/>
        <w:t>準</w:t>
      </w:r>
      <w:r w:rsidRPr="00412F21">
        <w:rPr>
          <w:rFonts w:ascii="標楷體" w:eastAsia="標楷體" w:hAnsi="標楷體"/>
          <w:kern w:val="3"/>
          <w:sz w:val="28"/>
        </w:rPr>
        <w:t>第十五頁之附表一規定辦理。(102/3/1)</w:t>
      </w:r>
    </w:p>
    <w:p w:rsidR="000257EE" w:rsidRPr="00412F21" w:rsidRDefault="00274757" w:rsidP="00E70B36">
      <w:pPr>
        <w:snapToGrid w:val="0"/>
        <w:spacing w:line="600" w:lineRule="exact"/>
        <w:ind w:left="1319" w:hanging="280"/>
        <w:rPr>
          <w:rFonts w:ascii="標楷體" w:eastAsia="標楷體" w:hAnsi="標楷體"/>
          <w:kern w:val="3"/>
          <w:sz w:val="28"/>
        </w:rPr>
      </w:pPr>
      <w:r w:rsidRPr="00412F21">
        <w:rPr>
          <w:rFonts w:ascii="標楷體" w:eastAsia="標楷體" w:hAnsi="標楷體"/>
          <w:kern w:val="3"/>
          <w:sz w:val="28"/>
        </w:rPr>
        <w:t>2.急診病人因緊急傷病必須立即檢查時，其檢查費用得加算百分之二十，但有些blood gas等項目，應依健保規定不得加成，急診病人之常規檢查不得加成。</w:t>
      </w:r>
    </w:p>
    <w:sectPr w:rsidR="000257EE" w:rsidRPr="00412F21" w:rsidSect="00E70B36">
      <w:headerReference w:type="default" r:id="rId9"/>
      <w:footerReference w:type="default" r:id="rId10"/>
      <w:pgSz w:w="11906" w:h="16838"/>
      <w:pgMar w:top="1418" w:right="1304" w:bottom="1418" w:left="132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30" w:rsidRDefault="00922D30" w:rsidP="000257EE">
      <w:pPr>
        <w:spacing w:line="240" w:lineRule="auto"/>
      </w:pPr>
      <w:r>
        <w:separator/>
      </w:r>
    </w:p>
  </w:endnote>
  <w:endnote w:type="continuationSeparator" w:id="0">
    <w:p w:rsidR="00922D30" w:rsidRDefault="00922D30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C39B5">
      <w:rPr>
        <w:noProof/>
        <w:lang w:val="zh-TW"/>
      </w:rPr>
      <w:t>5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30" w:rsidRDefault="00922D30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922D30" w:rsidRDefault="00922D30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3F7ADA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22D30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4054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0B36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39B5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5725-595E-4DCB-8E6F-E6A2AB3A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3</cp:revision>
  <cp:lastPrinted>2020-04-06T05:26:00Z</cp:lastPrinted>
  <dcterms:created xsi:type="dcterms:W3CDTF">2020-04-24T06:03:00Z</dcterms:created>
  <dcterms:modified xsi:type="dcterms:W3CDTF">2020-04-27T00:56:00Z</dcterms:modified>
</cp:coreProperties>
</file>