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E" w:rsidRPr="00412F21" w:rsidRDefault="00274757" w:rsidP="003669B2">
      <w:pPr>
        <w:pStyle w:val="aff6"/>
      </w:pPr>
      <w:bookmarkStart w:id="0" w:name="_Toc35525091"/>
      <w:r w:rsidRPr="00412F21">
        <w:t>十二、</w:t>
      </w:r>
      <w:r w:rsidR="00A0109F">
        <w:rPr>
          <w:rFonts w:hint="eastAsia"/>
        </w:rPr>
        <w:t>西醫基層醫療費用審查注意事項</w:t>
      </w:r>
      <w:bookmarkStart w:id="1" w:name="_GoBack"/>
      <w:bookmarkEnd w:id="1"/>
      <w:r w:rsidR="00B059B0" w:rsidRPr="00412F21">
        <w:rPr>
          <w:rFonts w:ascii="Times New Roman" w:hAnsi="Times New Roman" w:hint="eastAsia"/>
        </w:rPr>
        <w:t>-</w:t>
      </w:r>
      <w:r w:rsidRPr="00412F21">
        <w:t>神經外科</w:t>
      </w:r>
      <w:bookmarkEnd w:id="0"/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(一)輕微頭部外傷病人住院案件，其醫護記錄，必須詳細記錄coma scale、T.P.R及神經功能之變化，以作審查參考。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(二)頭部外傷之檢查，若有必要應以CT為主，MRI為輔，brain concussion若需住院觀察，原則住院三至五天為宜。</w:t>
      </w:r>
    </w:p>
    <w:p w:rsidR="000257EE" w:rsidRPr="00412F21" w:rsidRDefault="00274757">
      <w:pPr>
        <w:snapToGrid w:val="0"/>
        <w:spacing w:line="600" w:lineRule="exact"/>
        <w:ind w:left="1040" w:hanging="560"/>
      </w:pPr>
      <w:r w:rsidRPr="00412F21">
        <w:rPr>
          <w:rFonts w:ascii="標楷體" w:eastAsia="標楷體" w:hAnsi="標楷體"/>
          <w:kern w:val="3"/>
          <w:sz w:val="28"/>
        </w:rPr>
        <w:t>(三)</w:t>
      </w:r>
      <w:r w:rsidRPr="00412F21">
        <w:rPr>
          <w:rFonts w:ascii="標楷體" w:eastAsia="標楷體" w:hAnsi="標楷體"/>
          <w:sz w:val="28"/>
          <w:szCs w:val="28"/>
        </w:rPr>
        <w:t>病人若已</w:t>
      </w:r>
      <w:r w:rsidRPr="00412F21">
        <w:rPr>
          <w:rFonts w:ascii="標楷體" w:eastAsia="標楷體" w:hAnsi="標楷體"/>
          <w:kern w:val="3"/>
          <w:sz w:val="28"/>
        </w:rPr>
        <w:t>使用Pulse Oximeter</w:t>
      </w:r>
      <w:r w:rsidRPr="00412F21">
        <w:rPr>
          <w:rFonts w:ascii="標楷體" w:eastAsia="標楷體" w:hAnsi="標楷體"/>
          <w:sz w:val="28"/>
          <w:szCs w:val="28"/>
        </w:rPr>
        <w:t>【脈動式或耳垂式血氧飽和監視器(每次)(一天)】</w:t>
      </w:r>
      <w:r w:rsidRPr="00412F21">
        <w:rPr>
          <w:rFonts w:ascii="標楷體" w:eastAsia="標楷體" w:hAnsi="標楷體"/>
          <w:kern w:val="3"/>
          <w:sz w:val="28"/>
        </w:rPr>
        <w:t>(</w:t>
      </w:r>
      <w:r w:rsidR="00401B8D" w:rsidRPr="00412F21">
        <w:rPr>
          <w:rFonts w:ascii="標楷體" w:eastAsia="標楷體" w:hAnsi="標楷體"/>
          <w:kern w:val="3"/>
          <w:sz w:val="28"/>
        </w:rPr>
        <w:t>57017</w:t>
      </w:r>
      <w:r w:rsidR="00401B8D">
        <w:rPr>
          <w:rFonts w:ascii="標楷體" w:eastAsia="標楷體" w:hAnsi="標楷體" w:hint="eastAsia"/>
          <w:kern w:val="3"/>
          <w:sz w:val="28"/>
        </w:rPr>
        <w:t>C</w:t>
      </w:r>
      <w:r w:rsidRPr="00412F21">
        <w:rPr>
          <w:rFonts w:ascii="標楷體" w:eastAsia="標楷體" w:hAnsi="標楷體"/>
          <w:kern w:val="3"/>
          <w:sz w:val="28"/>
        </w:rPr>
        <w:t>、57018B)，</w:t>
      </w:r>
      <w:r w:rsidRPr="00412F21">
        <w:rPr>
          <w:rFonts w:ascii="標楷體" w:eastAsia="標楷體" w:hAnsi="標楷體"/>
          <w:sz w:val="28"/>
          <w:szCs w:val="28"/>
        </w:rPr>
        <w:t>則</w:t>
      </w:r>
      <w:r w:rsidRPr="00412F21">
        <w:rPr>
          <w:rFonts w:ascii="標楷體" w:eastAsia="標楷體" w:hAnsi="標楷體"/>
          <w:kern w:val="3"/>
          <w:sz w:val="28"/>
        </w:rPr>
        <w:t>Arterial Blood Ga</w:t>
      </w:r>
      <w:r w:rsidRPr="00412F21">
        <w:rPr>
          <w:rFonts w:ascii="標楷體" w:eastAsia="標楷體" w:hAnsi="標楷體"/>
          <w:sz w:val="28"/>
          <w:szCs w:val="28"/>
        </w:rPr>
        <w:t>s之使用宜節制，應視病情需要，如無特殊情況，一天盡量不超過一次。</w:t>
      </w:r>
      <w:r w:rsidR="00AA3A63">
        <w:rPr>
          <w:rFonts w:ascii="標楷體" w:eastAsia="標楷體" w:hAnsi="標楷體" w:hint="eastAsia"/>
          <w:sz w:val="28"/>
          <w:szCs w:val="28"/>
        </w:rPr>
        <w:t>(</w:t>
      </w:r>
      <w:r w:rsidR="003C072F">
        <w:rPr>
          <w:rFonts w:ascii="標楷體" w:eastAsia="標楷體" w:hAnsi="標楷體" w:hint="eastAsia"/>
          <w:sz w:val="28"/>
          <w:szCs w:val="28"/>
        </w:rPr>
        <w:t>109/5/1</w:t>
      </w:r>
      <w:r w:rsidR="00AA3A63">
        <w:rPr>
          <w:rFonts w:ascii="標楷體" w:eastAsia="標楷體" w:hAnsi="標楷體" w:hint="eastAsia"/>
          <w:sz w:val="28"/>
          <w:szCs w:val="28"/>
        </w:rPr>
        <w:t>)</w:t>
      </w:r>
    </w:p>
    <w:p w:rsidR="000257EE" w:rsidRPr="00412F21" w:rsidRDefault="00274757">
      <w:pPr>
        <w:snapToGrid w:val="0"/>
        <w:spacing w:line="600" w:lineRule="exact"/>
        <w:ind w:left="1040" w:hanging="560"/>
      </w:pPr>
      <w:r w:rsidRPr="00412F21">
        <w:rPr>
          <w:rFonts w:ascii="標楷體" w:eastAsia="標楷體" w:hAnsi="標楷體"/>
          <w:kern w:val="3"/>
          <w:sz w:val="28"/>
        </w:rPr>
        <w:t>(四)Perineal care、Foley care不分性別應皆可申報，惟應注意其indication，不應routine申報。</w:t>
      </w:r>
    </w:p>
    <w:p w:rsidR="000257EE" w:rsidRPr="00412F21" w:rsidRDefault="00274757">
      <w:pPr>
        <w:snapToGrid w:val="0"/>
        <w:spacing w:line="600" w:lineRule="exact"/>
        <w:ind w:left="1040" w:hanging="560"/>
      </w:pPr>
      <w:r w:rsidRPr="00412F21">
        <w:rPr>
          <w:rFonts w:ascii="標楷體" w:eastAsia="標楷體" w:hAnsi="標楷體"/>
          <w:kern w:val="3"/>
          <w:sz w:val="28"/>
        </w:rPr>
        <w:t>(五)比重檢查Specific gravity申報，一星期內急性期ICU care應依其病</w:t>
      </w:r>
      <w:r w:rsidRPr="00412F21">
        <w:rPr>
          <w:rFonts w:ascii="標楷體" w:eastAsia="標楷體" w:hAnsi="標楷體"/>
          <w:sz w:val="28"/>
        </w:rPr>
        <w:t>情需要合理</w:t>
      </w:r>
      <w:r w:rsidRPr="00412F21">
        <w:rPr>
          <w:rFonts w:ascii="標楷體" w:eastAsia="標楷體" w:hAnsi="標楷體"/>
          <w:kern w:val="3"/>
          <w:sz w:val="28"/>
        </w:rPr>
        <w:t>申報。D.I.則另外依order處</w:t>
      </w:r>
      <w:r w:rsidRPr="00412F21">
        <w:rPr>
          <w:rFonts w:ascii="標楷體" w:eastAsia="標楷體" w:hAnsi="標楷體"/>
          <w:sz w:val="28"/>
        </w:rPr>
        <w:t>理。</w:t>
      </w:r>
    </w:p>
    <w:p w:rsidR="000257EE" w:rsidRPr="00412F21" w:rsidRDefault="00274757">
      <w:pPr>
        <w:snapToGrid w:val="0"/>
        <w:spacing w:line="600" w:lineRule="exact"/>
        <w:ind w:left="1040" w:hanging="560"/>
      </w:pPr>
      <w:r w:rsidRPr="00412F21">
        <w:rPr>
          <w:rFonts w:ascii="標楷體" w:eastAsia="標楷體" w:hAnsi="標楷體"/>
          <w:kern w:val="3"/>
          <w:sz w:val="28"/>
        </w:rPr>
        <w:t>(六)門診用藥，宜尊重主治醫師，依據藥品規範但以不重覆為原則，且</w:t>
      </w:r>
      <w:r w:rsidRPr="00412F21">
        <w:rPr>
          <w:rFonts w:ascii="標楷體" w:eastAsia="標楷體" w:hAnsi="標楷體"/>
          <w:sz w:val="28"/>
        </w:rPr>
        <w:t>時間不應太長。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(七)Diprivan之使用，依藥品使用規範為原則，不宜超過一星期。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(八)手術申報規範如下：</w:t>
      </w:r>
    </w:p>
    <w:p w:rsidR="000257EE" w:rsidRPr="00412F21" w:rsidRDefault="00274757">
      <w:pPr>
        <w:snapToGrid w:val="0"/>
        <w:spacing w:line="600" w:lineRule="exact"/>
        <w:ind w:left="1319" w:hanging="280"/>
      </w:pPr>
      <w:r w:rsidRPr="00412F21">
        <w:rPr>
          <w:rFonts w:ascii="標楷體" w:eastAsia="標楷體" w:hAnsi="標楷體"/>
          <w:kern w:val="3"/>
          <w:sz w:val="28"/>
        </w:rPr>
        <w:t>1.Delayed ICH，不論</w:t>
      </w:r>
      <w:r w:rsidRPr="00412F21">
        <w:rPr>
          <w:rFonts w:ascii="標楷體" w:eastAsia="標楷體" w:hAnsi="標楷體"/>
          <w:sz w:val="28"/>
        </w:rPr>
        <w:t>為同部位、不同部位或對側可全額申報，申報時病歷(手</w:t>
      </w:r>
      <w:r w:rsidRPr="00412F21">
        <w:rPr>
          <w:rFonts w:ascii="標楷體" w:eastAsia="標楷體" w:hAnsi="標楷體"/>
          <w:kern w:val="3"/>
          <w:sz w:val="28"/>
        </w:rPr>
        <w:t>術記錄)應記載清楚並附CT scan，若是recurrentICH或complication</w:t>
      </w:r>
      <w:r w:rsidRPr="00412F21">
        <w:rPr>
          <w:rFonts w:ascii="標楷體" w:eastAsia="標楷體" w:hAnsi="標楷體"/>
          <w:sz w:val="28"/>
        </w:rPr>
        <w:t>則只能給付１／２。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2.Spinal stenosis若作Laminectomy(多節)【椎弓切除術(減壓)－超過二節】(83003C)【椎弓切除術(減壓)－二節以內】及Diskectomy【椎間盤切除術－頸椎(83022C)、椎間盤切除術－胸</w:t>
      </w:r>
      <w:r w:rsidRPr="00412F21">
        <w:rPr>
          <w:rFonts w:ascii="標楷體" w:eastAsia="標楷體" w:hAnsi="標楷體"/>
          <w:kern w:val="3"/>
          <w:sz w:val="28"/>
        </w:rPr>
        <w:lastRenderedPageBreak/>
        <w:t>椎(83023C)、椎間盤切除術－腰椎(83024C)】可以申報Diskectomy×1＋Laminectomy(83002C、83003C)×1/2。</w:t>
      </w:r>
    </w:p>
    <w:p w:rsidR="000257EE" w:rsidRPr="00412F21" w:rsidRDefault="00274757">
      <w:pPr>
        <w:snapToGrid w:val="0"/>
        <w:spacing w:line="600" w:lineRule="exact"/>
        <w:ind w:left="1319" w:hanging="280"/>
      </w:pPr>
      <w:r w:rsidRPr="00412F21">
        <w:rPr>
          <w:rFonts w:ascii="標楷體" w:eastAsia="標楷體" w:hAnsi="標楷體"/>
          <w:kern w:val="3"/>
          <w:sz w:val="28"/>
        </w:rPr>
        <w:t>3.Open depressed fracture+ICH，除ICH之申報外，可申報depressed fracture</w:t>
      </w:r>
      <w:r w:rsidRPr="00412F21">
        <w:rPr>
          <w:rFonts w:ascii="標楷體" w:eastAsia="標楷體" w:hAnsi="標楷體"/>
          <w:sz w:val="28"/>
        </w:rPr>
        <w:t>為副手術，但須檢附CT Scan。</w:t>
      </w:r>
    </w:p>
    <w:p w:rsidR="003669B2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4.Transsphenoidal surgery，若併矯正鼻中隔異常，可申報SMR×1/2(65004C)。另Bone Graft可申報64002B，若取皮下組織、脂肪可申報62009C。</w:t>
      </w:r>
    </w:p>
    <w:p w:rsidR="000257EE" w:rsidRPr="00412F21" w:rsidRDefault="000257EE" w:rsidP="003669B2">
      <w:pPr>
        <w:widowControl/>
        <w:suppressAutoHyphens w:val="0"/>
        <w:spacing w:line="240" w:lineRule="auto"/>
        <w:rPr>
          <w:rFonts w:ascii="標楷體" w:eastAsia="標楷體" w:hAnsi="標楷體"/>
          <w:kern w:val="3"/>
          <w:sz w:val="28"/>
        </w:rPr>
      </w:pPr>
    </w:p>
    <w:sectPr w:rsidR="000257EE" w:rsidRPr="00412F21" w:rsidSect="00064AE6">
      <w:headerReference w:type="default" r:id="rId9"/>
      <w:footerReference w:type="default" r:id="rId10"/>
      <w:pgSz w:w="11906" w:h="16838"/>
      <w:pgMar w:top="1418" w:right="1304" w:bottom="1418" w:left="132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E8" w:rsidRDefault="000E52E8" w:rsidP="000257EE">
      <w:pPr>
        <w:spacing w:line="240" w:lineRule="auto"/>
      </w:pPr>
      <w:r>
        <w:separator/>
      </w:r>
    </w:p>
  </w:endnote>
  <w:endnote w:type="continuationSeparator" w:id="0">
    <w:p w:rsidR="000E52E8" w:rsidRDefault="000E52E8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0109F">
      <w:rPr>
        <w:noProof/>
        <w:lang w:val="zh-TW"/>
      </w:rPr>
      <w:t>2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E8" w:rsidRDefault="000E52E8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0E52E8" w:rsidRDefault="000E52E8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4AE6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52E8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3F7ADA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109F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4054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54EF-AB56-4156-B563-D163D439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葉祝玫</cp:lastModifiedBy>
  <cp:revision>3</cp:revision>
  <cp:lastPrinted>2020-04-06T05:26:00Z</cp:lastPrinted>
  <dcterms:created xsi:type="dcterms:W3CDTF">2020-04-24T06:04:00Z</dcterms:created>
  <dcterms:modified xsi:type="dcterms:W3CDTF">2020-04-27T00:57:00Z</dcterms:modified>
</cp:coreProperties>
</file>