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28" w:rsidRPr="004E7561" w:rsidRDefault="00230528" w:rsidP="004E7561">
      <w:pPr>
        <w:jc w:val="center"/>
        <w:rPr>
          <w:rStyle w:val="a4"/>
          <w:rFonts w:ascii="Times New Roman" w:eastAsia="標楷體" w:hAnsi="Times New Roman"/>
          <w:b/>
          <w:color w:val="000000"/>
          <w:sz w:val="36"/>
          <w:szCs w:val="36"/>
        </w:rPr>
      </w:pPr>
      <w:r w:rsidRPr="004E7561">
        <w:rPr>
          <w:rFonts w:ascii="Times New Roman" w:eastAsia="標楷體" w:hAnsi="Times New Roman"/>
          <w:b/>
          <w:sz w:val="36"/>
          <w:szCs w:val="36"/>
        </w:rPr>
        <w:t>Tw-DRGs</w:t>
      </w:r>
      <w:r w:rsidRPr="004E7561">
        <w:rPr>
          <w:rFonts w:ascii="Times New Roman" w:eastAsia="標楷體" w:hAnsi="Times New Roman"/>
          <w:b/>
          <w:sz w:val="36"/>
          <w:szCs w:val="36"/>
        </w:rPr>
        <w:t>支付方案問答輯</w:t>
      </w:r>
      <w:r w:rsidRPr="004E7561">
        <w:rPr>
          <w:rFonts w:ascii="Times New Roman" w:eastAsia="標楷體" w:hAnsi="Times New Roman"/>
          <w:b/>
          <w:sz w:val="36"/>
          <w:szCs w:val="36"/>
        </w:rPr>
        <w:t>(3)-</w:t>
      </w:r>
      <w:r w:rsidRPr="004E7561">
        <w:rPr>
          <w:rFonts w:ascii="Times New Roman" w:eastAsia="標楷體" w:hAnsi="Times New Roman"/>
          <w:b/>
          <w:sz w:val="36"/>
          <w:szCs w:val="36"/>
        </w:rPr>
        <w:t>支付通則</w:t>
      </w:r>
    </w:p>
    <w:p w:rsidR="00230528" w:rsidRDefault="00230528">
      <w:pPr>
        <w:pStyle w:val="a0"/>
        <w:jc w:val="center"/>
      </w:pPr>
      <w:r>
        <w:rPr>
          <w:rStyle w:val="a4"/>
          <w:rFonts w:ascii="Times New Roman" w:eastAsia="標楷體" w:hAnsi="Times New Roman"/>
          <w:b/>
          <w:color w:val="000000"/>
          <w:sz w:val="32"/>
          <w:szCs w:val="32"/>
        </w:rPr>
        <w:t>目錄</w:t>
      </w:r>
    </w:p>
    <w:p w:rsidR="00230528" w:rsidRDefault="00230528">
      <w:pPr>
        <w:pStyle w:val="a0"/>
        <w:jc w:val="center"/>
      </w:pPr>
      <w:r>
        <w:fldChar w:fldCharType="begin"/>
      </w:r>
      <w:r>
        <w:instrText xml:space="preserve"> TOC \t "</w:instrText>
      </w:r>
      <w:r>
        <w:instrText>目錄一</w:instrText>
      </w:r>
      <w:r>
        <w:instrText>,1,</w:instrText>
      </w:r>
      <w:r>
        <w:instrText>目錄二</w:instrText>
      </w:r>
      <w:r>
        <w:instrText>,2" \h</w:instrText>
      </w:r>
      <w:r>
        <w:fldChar w:fldCharType="separate"/>
      </w:r>
    </w:p>
    <w:p w:rsidR="00230528" w:rsidRDefault="00230528" w:rsidP="00EF753B">
      <w:pPr>
        <w:pStyle w:val="21"/>
      </w:pPr>
      <w:hyperlink r:id="rId8" w:anchor="_blank" w:history="1">
        <w:r>
          <w:rPr>
            <w:rStyle w:val="a5"/>
            <w:color w:val="auto"/>
            <w:u w:val="none"/>
          </w:rPr>
          <w:t>1.</w:t>
        </w:r>
        <w:r>
          <w:rPr>
            <w:rStyle w:val="a5"/>
            <w:color w:val="auto"/>
            <w:u w:val="none"/>
          </w:rPr>
          <w:t>公告</w:t>
        </w:r>
        <w:r>
          <w:rPr>
            <w:rStyle w:val="a5"/>
            <w:color w:val="auto"/>
            <w:u w:val="none"/>
          </w:rPr>
          <w:t>Tw-DRGs</w:t>
        </w:r>
        <w:r>
          <w:rPr>
            <w:rStyle w:val="a5"/>
            <w:color w:val="auto"/>
            <w:u w:val="none"/>
          </w:rPr>
          <w:t>之權重</w:t>
        </w:r>
        <w:r>
          <w:rPr>
            <w:rStyle w:val="a5"/>
            <w:color w:val="auto"/>
            <w:u w:val="none"/>
          </w:rPr>
          <w:t>(RW)</w:t>
        </w:r>
        <w:r>
          <w:rPr>
            <w:rStyle w:val="a5"/>
            <w:color w:val="auto"/>
            <w:u w:val="none"/>
          </w:rPr>
          <w:t>、標準給付額</w:t>
        </w:r>
        <w:r>
          <w:rPr>
            <w:rStyle w:val="a5"/>
            <w:color w:val="auto"/>
            <w:u w:val="none"/>
          </w:rPr>
          <w:t>(SPR)</w:t>
        </w:r>
        <w:r>
          <w:rPr>
            <w:rStyle w:val="a5"/>
            <w:color w:val="auto"/>
            <w:u w:val="none"/>
          </w:rPr>
          <w:t>、上</w:t>
        </w:r>
        <w:r>
          <w:rPr>
            <w:rStyle w:val="a5"/>
            <w:color w:val="auto"/>
            <w:u w:val="none"/>
          </w:rPr>
          <w:t>(</w:t>
        </w:r>
        <w:r>
          <w:rPr>
            <w:rStyle w:val="a5"/>
            <w:color w:val="auto"/>
            <w:u w:val="none"/>
          </w:rPr>
          <w:t>下</w:t>
        </w:r>
        <w:r>
          <w:rPr>
            <w:rStyle w:val="a5"/>
            <w:color w:val="auto"/>
            <w:u w:val="none"/>
          </w:rPr>
          <w:t>)</w:t>
        </w:r>
        <w:r>
          <w:rPr>
            <w:rStyle w:val="a5"/>
            <w:color w:val="auto"/>
            <w:u w:val="none"/>
          </w:rPr>
          <w:t>限臨界點、幾何平均住院天數、各醫院</w:t>
        </w:r>
        <w:r>
          <w:rPr>
            <w:rStyle w:val="a5"/>
            <w:color w:val="auto"/>
            <w:u w:val="none"/>
          </w:rPr>
          <w:t>CMI</w:t>
        </w:r>
        <w:r>
          <w:rPr>
            <w:rStyle w:val="a5"/>
            <w:color w:val="auto"/>
            <w:u w:val="none"/>
          </w:rPr>
          <w:t>值是否每年會重新計算及公告？</w:t>
        </w:r>
        <w:r>
          <w:rPr>
            <w:rStyle w:val="ae"/>
          </w:rPr>
          <w:tab/>
          <w:t>1</w:t>
        </w:r>
      </w:hyperlink>
    </w:p>
    <w:p w:rsidR="00230528" w:rsidRDefault="00230528" w:rsidP="00EF753B">
      <w:pPr>
        <w:pStyle w:val="21"/>
      </w:pPr>
      <w:hyperlink r:id="rId9" w:anchor="_blank" w:history="1">
        <w:r>
          <w:rPr>
            <w:rStyle w:val="a5"/>
            <w:color w:val="auto"/>
            <w:u w:val="none"/>
          </w:rPr>
          <w:t>2.</w:t>
        </w:r>
        <w:r>
          <w:rPr>
            <w:rStyle w:val="a5"/>
            <w:color w:val="auto"/>
            <w:u w:val="none"/>
          </w:rPr>
          <w:t>由門或急診當次轉住院之門、急診費用是否包含於當次</w:t>
        </w:r>
        <w:r>
          <w:rPr>
            <w:rStyle w:val="a5"/>
            <w:color w:val="auto"/>
            <w:u w:val="none"/>
          </w:rPr>
          <w:t>DRG</w:t>
        </w:r>
        <w:r>
          <w:rPr>
            <w:rStyle w:val="a5"/>
            <w:color w:val="auto"/>
            <w:u w:val="none"/>
          </w:rPr>
          <w:t>支付點數內？</w:t>
        </w:r>
        <w:r>
          <w:rPr>
            <w:rStyle w:val="ae"/>
          </w:rPr>
          <w:tab/>
          <w:t>1</w:t>
        </w:r>
      </w:hyperlink>
    </w:p>
    <w:p w:rsidR="00230528" w:rsidRDefault="00230528" w:rsidP="00EF753B">
      <w:pPr>
        <w:pStyle w:val="21"/>
      </w:pPr>
      <w:hyperlink r:id="rId10" w:anchor="_blank" w:history="1">
        <w:r>
          <w:rPr>
            <w:rStyle w:val="a5"/>
            <w:color w:val="auto"/>
            <w:u w:val="none"/>
          </w:rPr>
          <w:t>3.</w:t>
        </w:r>
        <w:r>
          <w:rPr>
            <w:rStyle w:val="a5"/>
            <w:color w:val="auto"/>
            <w:u w:val="none"/>
          </w:rPr>
          <w:t>個案實際醫療點數費用大於上限臨界點之邊際成本如何計算？</w:t>
        </w:r>
        <w:r>
          <w:rPr>
            <w:rStyle w:val="ae"/>
          </w:rPr>
          <w:tab/>
          <w:t>2</w:t>
        </w:r>
      </w:hyperlink>
    </w:p>
    <w:p w:rsidR="00230528" w:rsidRDefault="00230528" w:rsidP="00EF753B">
      <w:pPr>
        <w:pStyle w:val="21"/>
      </w:pPr>
      <w:hyperlink r:id="rId11" w:anchor="_blank" w:history="1">
        <w:r>
          <w:rPr>
            <w:rStyle w:val="a5"/>
            <w:color w:val="auto"/>
            <w:u w:val="none"/>
          </w:rPr>
          <w:t>4.</w:t>
        </w:r>
        <w:r>
          <w:rPr>
            <w:rStyle w:val="a5"/>
            <w:color w:val="auto"/>
            <w:u w:val="none"/>
          </w:rPr>
          <w:t>上限臨界點以</w:t>
        </w:r>
        <w:r>
          <w:rPr>
            <w:rStyle w:val="a5"/>
            <w:color w:val="auto"/>
            <w:u w:val="none"/>
          </w:rPr>
          <w:t>Tw-DRGs</w:t>
        </w:r>
        <w:r>
          <w:rPr>
            <w:rStyle w:val="a5"/>
            <w:color w:val="auto"/>
            <w:u w:val="none"/>
          </w:rPr>
          <w:t>支付定額計算之規定，可能導致相關加成率高之案件</w:t>
        </w:r>
        <w:r>
          <w:rPr>
            <w:rStyle w:val="a5"/>
            <w:color w:val="auto"/>
            <w:u w:val="none"/>
          </w:rPr>
          <w:t>(</w:t>
        </w:r>
        <w:r>
          <w:rPr>
            <w:rStyle w:val="a5"/>
            <w:color w:val="auto"/>
            <w:u w:val="none"/>
          </w:rPr>
          <w:t>例如兒童加成</w:t>
        </w:r>
        <w:r>
          <w:rPr>
            <w:rStyle w:val="a5"/>
            <w:color w:val="auto"/>
            <w:u w:val="none"/>
          </w:rPr>
          <w:t>)</w:t>
        </w:r>
        <w:r>
          <w:rPr>
            <w:rStyle w:val="a5"/>
            <w:color w:val="auto"/>
            <w:u w:val="none"/>
          </w:rPr>
          <w:t>，因此反而給付變少，設計原則有失公平。</w:t>
        </w:r>
        <w:r>
          <w:rPr>
            <w:rStyle w:val="ae"/>
          </w:rPr>
          <w:tab/>
        </w:r>
        <w:r w:rsidR="005F45D4">
          <w:rPr>
            <w:rStyle w:val="ae"/>
            <w:rFonts w:hint="eastAsia"/>
            <w:lang w:eastAsia="zh-TW"/>
          </w:rPr>
          <w:t>3</w:t>
        </w:r>
      </w:hyperlink>
    </w:p>
    <w:p w:rsidR="00230528" w:rsidRDefault="00230528" w:rsidP="00EF753B">
      <w:pPr>
        <w:pStyle w:val="21"/>
      </w:pPr>
      <w:hyperlink r:id="rId12" w:anchor="_blank" w:history="1">
        <w:r>
          <w:rPr>
            <w:rStyle w:val="a5"/>
            <w:color w:val="auto"/>
            <w:u w:val="none"/>
          </w:rPr>
          <w:t>5.</w:t>
        </w:r>
        <w:r>
          <w:rPr>
            <w:rStyle w:val="a5"/>
            <w:color w:val="auto"/>
            <w:u w:val="none"/>
          </w:rPr>
          <w:t>同次住院期間，安胎後生產個案之</w:t>
        </w:r>
        <w:r>
          <w:rPr>
            <w:rStyle w:val="a5"/>
            <w:color w:val="auto"/>
            <w:u w:val="none"/>
          </w:rPr>
          <w:t>DRG</w:t>
        </w:r>
        <w:r>
          <w:rPr>
            <w:rStyle w:val="a5"/>
            <w:color w:val="auto"/>
            <w:u w:val="none"/>
          </w:rPr>
          <w:t>支付點數如何計算？</w:t>
        </w:r>
        <w:r>
          <w:rPr>
            <w:rStyle w:val="ae"/>
          </w:rPr>
          <w:tab/>
          <w:t>3</w:t>
        </w:r>
      </w:hyperlink>
    </w:p>
    <w:p w:rsidR="00230528" w:rsidRDefault="00230528" w:rsidP="00EF753B">
      <w:pPr>
        <w:pStyle w:val="21"/>
      </w:pPr>
      <w:hyperlink r:id="rId13" w:anchor="_blank" w:history="1">
        <w:r>
          <w:rPr>
            <w:rStyle w:val="a5"/>
            <w:color w:val="auto"/>
            <w:u w:val="none"/>
          </w:rPr>
          <w:t>6.</w:t>
        </w:r>
        <w:r>
          <w:rPr>
            <w:rStyle w:val="a5"/>
            <w:color w:val="auto"/>
            <w:u w:val="none"/>
          </w:rPr>
          <w:t>多胞胎生產是否可比照論病例計酬</w:t>
        </w:r>
        <w:r>
          <w:rPr>
            <w:rStyle w:val="a5"/>
            <w:color w:val="auto"/>
            <w:u w:val="none"/>
          </w:rPr>
          <w:t>—</w:t>
        </w:r>
        <w:r>
          <w:rPr>
            <w:rStyle w:val="a5"/>
            <w:color w:val="auto"/>
            <w:u w:val="none"/>
          </w:rPr>
          <w:t>雙胞胎以定額再加計一人之新生兒費用為界限，多胞胎類推之規定，外加多胞胎費用。</w:t>
        </w:r>
        <w:r>
          <w:rPr>
            <w:rStyle w:val="ae"/>
          </w:rPr>
          <w:tab/>
        </w:r>
        <w:r w:rsidR="005F45D4">
          <w:rPr>
            <w:rStyle w:val="ae"/>
            <w:rFonts w:hint="eastAsia"/>
            <w:lang w:eastAsia="zh-TW"/>
          </w:rPr>
          <w:t>4</w:t>
        </w:r>
      </w:hyperlink>
    </w:p>
    <w:p w:rsidR="00230528" w:rsidRDefault="00230528" w:rsidP="00EF753B">
      <w:pPr>
        <w:pStyle w:val="21"/>
        <w:rPr>
          <w:rStyle w:val="a5"/>
          <w:color w:val="auto"/>
          <w:u w:val="none"/>
        </w:rPr>
      </w:pPr>
      <w:hyperlink r:id="rId14" w:anchor="_blank" w:history="1">
        <w:r>
          <w:rPr>
            <w:rStyle w:val="a5"/>
            <w:color w:val="auto"/>
            <w:u w:val="none"/>
          </w:rPr>
          <w:t>7.</w:t>
        </w:r>
        <w:r>
          <w:rPr>
            <w:rStyle w:val="a5"/>
            <w:color w:val="auto"/>
            <w:u w:val="none"/>
          </w:rPr>
          <w:t>核實申報點數在認定是否有超過上限臨界點時，是不是可以併入實際醫療點數計算？</w:t>
        </w:r>
        <w:r>
          <w:rPr>
            <w:rStyle w:val="ae"/>
          </w:rPr>
          <w:tab/>
        </w:r>
      </w:hyperlink>
      <w:r>
        <w:rPr>
          <w:rStyle w:val="a5"/>
          <w:color w:val="auto"/>
          <w:u w:val="none"/>
        </w:rPr>
        <w:t>4</w:t>
      </w:r>
    </w:p>
    <w:p w:rsidR="00230528" w:rsidRDefault="00230528" w:rsidP="00EF753B">
      <w:pPr>
        <w:pStyle w:val="21"/>
      </w:pPr>
      <w:r>
        <w:rPr>
          <w:rStyle w:val="a5"/>
          <w:color w:val="auto"/>
          <w:u w:val="none"/>
        </w:rPr>
        <w:t>8</w:t>
      </w:r>
      <w:hyperlink r:id="rId15" w:anchor="_blank" w:history="1">
        <w:r>
          <w:rPr>
            <w:rStyle w:val="a5"/>
            <w:color w:val="auto"/>
            <w:u w:val="none"/>
          </w:rPr>
          <w:t>.</w:t>
        </w:r>
        <w:r>
          <w:rPr>
            <w:rStyle w:val="a5"/>
            <w:color w:val="auto"/>
            <w:u w:val="none"/>
          </w:rPr>
          <w:t>基本診療加成之認定方式及期間？</w:t>
        </w:r>
        <w:r>
          <w:rPr>
            <w:rStyle w:val="ae"/>
          </w:rPr>
          <w:tab/>
          <w:t>5</w:t>
        </w:r>
      </w:hyperlink>
    </w:p>
    <w:p w:rsidR="00230528" w:rsidRDefault="00230528" w:rsidP="00EF753B">
      <w:pPr>
        <w:pStyle w:val="21"/>
      </w:pPr>
      <w:hyperlink r:id="rId16" w:anchor="_blank" w:history="1">
        <w:r>
          <w:rPr>
            <w:rStyle w:val="a5"/>
            <w:color w:val="auto"/>
            <w:u w:val="none"/>
          </w:rPr>
          <w:t>9.Tw-DRGs</w:t>
        </w:r>
        <w:r>
          <w:rPr>
            <w:rStyle w:val="a5"/>
            <w:color w:val="auto"/>
            <w:u w:val="none"/>
          </w:rPr>
          <w:t>中有關年齡</w:t>
        </w:r>
        <w:r>
          <w:rPr>
            <w:rStyle w:val="a5"/>
            <w:color w:val="auto"/>
            <w:u w:val="none"/>
          </w:rPr>
          <w:t>-</w:t>
        </w:r>
        <w:r>
          <w:rPr>
            <w:rStyle w:val="a5"/>
            <w:color w:val="auto"/>
            <w:u w:val="none"/>
          </w:rPr>
          <w:t>年及月齡</w:t>
        </w:r>
        <w:r>
          <w:rPr>
            <w:rStyle w:val="a5"/>
            <w:color w:val="auto"/>
            <w:u w:val="none"/>
          </w:rPr>
          <w:t>(</w:t>
        </w:r>
        <w:r>
          <w:rPr>
            <w:rStyle w:val="a5"/>
            <w:color w:val="auto"/>
            <w:u w:val="none"/>
          </w:rPr>
          <w:t>如兒童加成率</w:t>
        </w:r>
        <w:r>
          <w:rPr>
            <w:rStyle w:val="a5"/>
            <w:color w:val="auto"/>
            <w:u w:val="none"/>
          </w:rPr>
          <w:t>-6</w:t>
        </w:r>
        <w:r>
          <w:rPr>
            <w:rStyle w:val="a5"/>
            <w:color w:val="auto"/>
            <w:u w:val="none"/>
          </w:rPr>
          <w:t>個月</w:t>
        </w:r>
        <w:r>
          <w:rPr>
            <w:rStyle w:val="a5"/>
            <w:color w:val="auto"/>
            <w:u w:val="none"/>
          </w:rPr>
          <w:t>)</w:t>
        </w:r>
        <w:r>
          <w:rPr>
            <w:rStyle w:val="a5"/>
            <w:color w:val="auto"/>
            <w:u w:val="none"/>
          </w:rPr>
          <w:t>的計算規則？</w:t>
        </w:r>
        <w:r>
          <w:rPr>
            <w:rStyle w:val="ae"/>
          </w:rPr>
          <w:tab/>
          <w:t>5</w:t>
        </w:r>
      </w:hyperlink>
    </w:p>
    <w:p w:rsidR="00230528" w:rsidRDefault="00230528" w:rsidP="00EF753B">
      <w:pPr>
        <w:pStyle w:val="21"/>
      </w:pPr>
      <w:hyperlink r:id="rId17" w:anchor="_blank" w:history="1">
        <w:r>
          <w:rPr>
            <w:rStyle w:val="a5"/>
            <w:color w:val="auto"/>
            <w:u w:val="none"/>
          </w:rPr>
          <w:t>10.</w:t>
        </w:r>
        <w:r>
          <w:rPr>
            <w:rStyle w:val="a5"/>
            <w:color w:val="auto"/>
            <w:u w:val="none"/>
          </w:rPr>
          <w:t>基本診療加成率如何計算得之，地區醫院是否也可以加成？</w:t>
        </w:r>
        <w:r>
          <w:rPr>
            <w:rStyle w:val="ae"/>
          </w:rPr>
          <w:tab/>
        </w:r>
        <w:r w:rsidR="005F45D4">
          <w:rPr>
            <w:rStyle w:val="ae"/>
            <w:rFonts w:hint="eastAsia"/>
            <w:lang w:eastAsia="zh-TW"/>
          </w:rPr>
          <w:t>6</w:t>
        </w:r>
      </w:hyperlink>
    </w:p>
    <w:p w:rsidR="00230528" w:rsidRDefault="00230528" w:rsidP="00EF753B">
      <w:pPr>
        <w:pStyle w:val="21"/>
      </w:pPr>
      <w:hyperlink r:id="rId18" w:anchor="_blank" w:history="1">
        <w:r>
          <w:rPr>
            <w:rStyle w:val="a5"/>
            <w:color w:val="auto"/>
            <w:u w:val="none"/>
          </w:rPr>
          <w:t>11.</w:t>
        </w:r>
        <w:r>
          <w:rPr>
            <w:rStyle w:val="a5"/>
            <w:color w:val="auto"/>
            <w:u w:val="none"/>
          </w:rPr>
          <w:t>兒童加成率的目的為何？如何計算得之？</w:t>
        </w:r>
        <w:r>
          <w:rPr>
            <w:rStyle w:val="ae"/>
          </w:rPr>
          <w:tab/>
        </w:r>
        <w:r w:rsidR="005F45D4">
          <w:rPr>
            <w:rStyle w:val="ae"/>
            <w:rFonts w:hint="eastAsia"/>
            <w:lang w:eastAsia="zh-TW"/>
          </w:rPr>
          <w:t>7</w:t>
        </w:r>
      </w:hyperlink>
    </w:p>
    <w:p w:rsidR="00230528" w:rsidRDefault="00230528" w:rsidP="00EF753B">
      <w:pPr>
        <w:pStyle w:val="21"/>
      </w:pPr>
      <w:hyperlink r:id="rId19" w:anchor="_blank" w:history="1">
        <w:r>
          <w:rPr>
            <w:rStyle w:val="a5"/>
            <w:color w:val="auto"/>
            <w:u w:val="none"/>
          </w:rPr>
          <w:t>12.</w:t>
        </w:r>
        <w:r>
          <w:rPr>
            <w:rStyle w:val="a5"/>
            <w:color w:val="auto"/>
            <w:u w:val="none"/>
          </w:rPr>
          <w:t>支付通則規定的住院日</w:t>
        </w:r>
        <w:r>
          <w:rPr>
            <w:rStyle w:val="a5"/>
            <w:color w:val="auto"/>
            <w:u w:val="none"/>
          </w:rPr>
          <w:t>30</w:t>
        </w:r>
        <w:r>
          <w:rPr>
            <w:rStyle w:val="a5"/>
            <w:color w:val="auto"/>
            <w:u w:val="none"/>
          </w:rPr>
          <w:t>日如何計算</w:t>
        </w:r>
        <w:r>
          <w:rPr>
            <w:rStyle w:val="a5"/>
            <w:color w:val="auto"/>
            <w:u w:val="none"/>
          </w:rPr>
          <w:t>?</w:t>
        </w:r>
        <w:r>
          <w:rPr>
            <w:rStyle w:val="ae"/>
          </w:rPr>
          <w:tab/>
          <w:t>7</w:t>
        </w:r>
      </w:hyperlink>
    </w:p>
    <w:p w:rsidR="00230528" w:rsidRDefault="00230528" w:rsidP="00EF753B">
      <w:pPr>
        <w:pStyle w:val="21"/>
      </w:pPr>
      <w:r>
        <w:t>13.</w:t>
      </w:r>
      <w:r>
        <w:t>不適用</w:t>
      </w:r>
      <w:r>
        <w:t>Tw-DRGs</w:t>
      </w:r>
      <w:r>
        <w:t>案件範圍有哪些</w:t>
      </w:r>
      <w:r>
        <w:t>?...............................................................8</w:t>
      </w:r>
      <w:r>
        <w:br/>
      </w:r>
      <w:hyperlink r:id="rId20" w:anchor="_blank" w:history="1">
        <w:r>
          <w:rPr>
            <w:rStyle w:val="a5"/>
            <w:color w:val="auto"/>
            <w:u w:val="none"/>
          </w:rPr>
          <w:t>14.</w:t>
        </w:r>
        <w:r>
          <w:rPr>
            <w:rStyle w:val="a5"/>
            <w:color w:val="auto"/>
            <w:u w:val="none"/>
          </w:rPr>
          <w:t>不適用</w:t>
        </w:r>
        <w:r>
          <w:rPr>
            <w:rStyle w:val="a5"/>
            <w:color w:val="auto"/>
            <w:u w:val="none"/>
          </w:rPr>
          <w:t>Tw-DRGs</w:t>
        </w:r>
        <w:r>
          <w:rPr>
            <w:rStyle w:val="a5"/>
            <w:color w:val="auto"/>
            <w:u w:val="none"/>
          </w:rPr>
          <w:t>案件中，試辦計畫之操作型定義為何？</w:t>
        </w:r>
        <w:r>
          <w:rPr>
            <w:rStyle w:val="ae"/>
          </w:rPr>
          <w:tab/>
          <w:t>8</w:t>
        </w:r>
      </w:hyperlink>
    </w:p>
    <w:p w:rsidR="00230528" w:rsidRDefault="00230528" w:rsidP="00EF753B">
      <w:pPr>
        <w:pStyle w:val="21"/>
      </w:pPr>
      <w:hyperlink r:id="rId21" w:anchor="_blank" w:history="1">
        <w:r>
          <w:rPr>
            <w:rStyle w:val="a5"/>
            <w:color w:val="auto"/>
            <w:u w:val="none"/>
          </w:rPr>
          <w:t>15.</w:t>
        </w:r>
        <w:r>
          <w:rPr>
            <w:rStyle w:val="a5"/>
            <w:color w:val="auto"/>
            <w:u w:val="none"/>
          </w:rPr>
          <w:t>住院安寧療護案件之操作型定義為何？</w:t>
        </w:r>
        <w:r>
          <w:rPr>
            <w:rStyle w:val="ae"/>
          </w:rPr>
          <w:tab/>
        </w:r>
        <w:r w:rsidR="005F45D4">
          <w:rPr>
            <w:rStyle w:val="ae"/>
            <w:rFonts w:hint="eastAsia"/>
            <w:lang w:eastAsia="zh-TW"/>
          </w:rPr>
          <w:t>9</w:t>
        </w:r>
      </w:hyperlink>
    </w:p>
    <w:p w:rsidR="00230528" w:rsidRDefault="00230528" w:rsidP="00EF753B">
      <w:pPr>
        <w:pStyle w:val="21"/>
      </w:pPr>
      <w:hyperlink r:id="rId22" w:anchor="_blank" w:history="1">
        <w:r>
          <w:rPr>
            <w:rStyle w:val="a5"/>
            <w:color w:val="auto"/>
            <w:u w:val="none"/>
          </w:rPr>
          <w:t>16.</w:t>
        </w:r>
        <w:r>
          <w:rPr>
            <w:rStyle w:val="a5"/>
            <w:color w:val="auto"/>
            <w:u w:val="none"/>
          </w:rPr>
          <w:t>住院過程中加入試辦計畫，後又離開該試辦計畫者，是否屬</w:t>
        </w:r>
        <w:r>
          <w:rPr>
            <w:rStyle w:val="a5"/>
            <w:color w:val="auto"/>
            <w:u w:val="none"/>
          </w:rPr>
          <w:t>Tw-DRGs</w:t>
        </w:r>
        <w:r>
          <w:rPr>
            <w:rStyle w:val="a5"/>
            <w:color w:val="auto"/>
            <w:u w:val="none"/>
          </w:rPr>
          <w:t>適用個案？</w:t>
        </w:r>
        <w:r>
          <w:rPr>
            <w:rStyle w:val="ae"/>
          </w:rPr>
          <w:tab/>
        </w:r>
        <w:r w:rsidR="005F45D4">
          <w:rPr>
            <w:rStyle w:val="ae"/>
            <w:rFonts w:hint="eastAsia"/>
            <w:lang w:eastAsia="zh-TW"/>
          </w:rPr>
          <w:t>9</w:t>
        </w:r>
      </w:hyperlink>
    </w:p>
    <w:p w:rsidR="00230528" w:rsidRDefault="00230528" w:rsidP="00EF753B">
      <w:pPr>
        <w:pStyle w:val="21"/>
      </w:pPr>
      <w:hyperlink r:id="rId23" w:anchor="_blank" w:history="1">
        <w:r>
          <w:rPr>
            <w:rStyle w:val="a5"/>
            <w:color w:val="auto"/>
            <w:u w:val="none"/>
          </w:rPr>
          <w:t>17.</w:t>
        </w:r>
        <w:r>
          <w:rPr>
            <w:rStyle w:val="a5"/>
            <w:color w:val="auto"/>
            <w:u w:val="none"/>
          </w:rPr>
          <w:t>住院時為一般案件，後發現有肺結核需強制隔離治療，於隔離病房期間費用由疾病管制局支付，後再度由隔離病房轉至一般病房，此類案件是否屬</w:t>
        </w:r>
        <w:r>
          <w:rPr>
            <w:rStyle w:val="a5"/>
            <w:color w:val="auto"/>
            <w:u w:val="none"/>
          </w:rPr>
          <w:t>Tw-DRGs</w:t>
        </w:r>
        <w:r>
          <w:rPr>
            <w:rStyle w:val="a5"/>
            <w:color w:val="auto"/>
            <w:u w:val="none"/>
          </w:rPr>
          <w:t>適用個案？</w:t>
        </w:r>
        <w:r>
          <w:rPr>
            <w:rStyle w:val="ae"/>
          </w:rPr>
          <w:tab/>
          <w:t>9</w:t>
        </w:r>
      </w:hyperlink>
    </w:p>
    <w:p w:rsidR="00230528" w:rsidRDefault="00230528" w:rsidP="00EF753B">
      <w:pPr>
        <w:pStyle w:val="21"/>
      </w:pPr>
      <w:hyperlink r:id="rId24" w:anchor="_blank" w:history="1">
        <w:r>
          <w:rPr>
            <w:rStyle w:val="a5"/>
            <w:color w:val="auto"/>
            <w:u w:val="none"/>
          </w:rPr>
          <w:t>18.</w:t>
        </w:r>
        <w:r>
          <w:rPr>
            <w:rStyle w:val="a5"/>
            <w:color w:val="auto"/>
            <w:u w:val="none"/>
          </w:rPr>
          <w:t>如住院期間中間某幾天接受臨床試驗</w:t>
        </w:r>
        <w:r>
          <w:rPr>
            <w:rStyle w:val="a5"/>
            <w:color w:val="auto"/>
            <w:u w:val="none"/>
          </w:rPr>
          <w:t>(</w:t>
        </w:r>
        <w:r>
          <w:rPr>
            <w:rStyle w:val="a5"/>
            <w:color w:val="auto"/>
            <w:u w:val="none"/>
          </w:rPr>
          <w:t>其費用亦非健保支付</w:t>
        </w:r>
        <w:r>
          <w:rPr>
            <w:rStyle w:val="a5"/>
            <w:color w:val="auto"/>
            <w:u w:val="none"/>
          </w:rPr>
          <w:t>)</w:t>
        </w:r>
        <w:r>
          <w:rPr>
            <w:rStyle w:val="a5"/>
            <w:color w:val="auto"/>
            <w:u w:val="none"/>
          </w:rPr>
          <w:t>，其住院天數應如何計算？</w:t>
        </w:r>
        <w:r>
          <w:rPr>
            <w:rStyle w:val="ae"/>
          </w:rPr>
          <w:tab/>
          <w:t>9</w:t>
        </w:r>
      </w:hyperlink>
    </w:p>
    <w:p w:rsidR="00230528" w:rsidRDefault="00230528" w:rsidP="00EF753B">
      <w:pPr>
        <w:pStyle w:val="21"/>
      </w:pPr>
      <w:hyperlink r:id="rId25" w:anchor="_blank" w:history="1">
        <w:r>
          <w:rPr>
            <w:rStyle w:val="a5"/>
            <w:color w:val="auto"/>
            <w:u w:val="none"/>
          </w:rPr>
          <w:t>19.</w:t>
        </w:r>
        <w:r>
          <w:rPr>
            <w:rStyle w:val="a5"/>
            <w:color w:val="auto"/>
            <w:u w:val="none"/>
          </w:rPr>
          <w:t>請說明主診斷定義？</w:t>
        </w:r>
        <w:r>
          <w:rPr>
            <w:rStyle w:val="ae"/>
          </w:rPr>
          <w:tab/>
        </w:r>
        <w:r w:rsidR="005F45D4">
          <w:rPr>
            <w:rStyle w:val="ae"/>
            <w:rFonts w:hint="eastAsia"/>
            <w:lang w:eastAsia="zh-TW"/>
          </w:rPr>
          <w:t>10</w:t>
        </w:r>
      </w:hyperlink>
    </w:p>
    <w:p w:rsidR="00230528" w:rsidRDefault="00230528" w:rsidP="00EF753B">
      <w:pPr>
        <w:pStyle w:val="21"/>
      </w:pPr>
      <w:hyperlink r:id="rId26" w:anchor="_blank" w:history="1">
        <w:r>
          <w:rPr>
            <w:rStyle w:val="a5"/>
            <w:color w:val="auto"/>
            <w:u w:val="none"/>
          </w:rPr>
          <w:t>20.Tw-DRGs</w:t>
        </w:r>
        <w:r>
          <w:rPr>
            <w:rStyle w:val="a5"/>
            <w:color w:val="auto"/>
            <w:u w:val="none"/>
          </w:rPr>
          <w:t>支付制度第二章</w:t>
        </w:r>
        <w:r>
          <w:rPr>
            <w:rStyle w:val="a5"/>
            <w:color w:val="auto"/>
            <w:u w:val="none"/>
          </w:rPr>
          <w:t>Tw-DRGs</w:t>
        </w:r>
        <w:r>
          <w:rPr>
            <w:rStyle w:val="a5"/>
            <w:color w:val="auto"/>
            <w:u w:val="none"/>
          </w:rPr>
          <w:t>分類架構及原則通則五、</w:t>
        </w:r>
        <w:r>
          <w:rPr>
            <w:rStyle w:val="a5"/>
            <w:color w:val="auto"/>
            <w:u w:val="none"/>
          </w:rPr>
          <w:t>(</w:t>
        </w:r>
        <w:r>
          <w:rPr>
            <w:rStyle w:val="a5"/>
            <w:color w:val="auto"/>
            <w:u w:val="none"/>
          </w:rPr>
          <w:t>三</w:t>
        </w:r>
        <w:r>
          <w:rPr>
            <w:rStyle w:val="a5"/>
            <w:color w:val="auto"/>
            <w:u w:val="none"/>
          </w:rPr>
          <w:t>)…</w:t>
        </w:r>
        <w:r>
          <w:rPr>
            <w:rStyle w:val="a5"/>
            <w:color w:val="auto"/>
            <w:u w:val="none"/>
          </w:rPr>
          <w:t>若屬二個以上無權重</w:t>
        </w:r>
        <w:r>
          <w:rPr>
            <w:rStyle w:val="a5"/>
            <w:color w:val="auto"/>
            <w:u w:val="none"/>
          </w:rPr>
          <w:t>DRG</w:t>
        </w:r>
        <w:r>
          <w:rPr>
            <w:rStyle w:val="a5"/>
            <w:color w:val="auto"/>
            <w:u w:val="none"/>
          </w:rPr>
          <w:t>者依附表</w:t>
        </w:r>
        <w:r>
          <w:rPr>
            <w:rStyle w:val="a5"/>
            <w:color w:val="auto"/>
            <w:u w:val="none"/>
          </w:rPr>
          <w:t>7.1.11</w:t>
        </w:r>
        <w:r>
          <w:rPr>
            <w:rStyle w:val="a5"/>
            <w:color w:val="auto"/>
            <w:u w:val="none"/>
          </w:rPr>
          <w:t>流程圖順序認定，核實申報費用」之用意？</w:t>
        </w:r>
        <w:r>
          <w:rPr>
            <w:rStyle w:val="ae"/>
          </w:rPr>
          <w:tab/>
        </w:r>
        <w:r w:rsidR="005F45D4">
          <w:rPr>
            <w:rStyle w:val="ae"/>
            <w:rFonts w:hint="eastAsia"/>
            <w:lang w:eastAsia="zh-TW"/>
          </w:rPr>
          <w:t>10</w:t>
        </w:r>
      </w:hyperlink>
    </w:p>
    <w:p w:rsidR="00230528" w:rsidRDefault="00230528" w:rsidP="00EF753B">
      <w:pPr>
        <w:pStyle w:val="21"/>
      </w:pPr>
      <w:hyperlink r:id="rId27" w:anchor="_blank" w:history="1">
        <w:r>
          <w:rPr>
            <w:rStyle w:val="a5"/>
            <w:color w:val="auto"/>
            <w:u w:val="none"/>
          </w:rPr>
          <w:t>21.</w:t>
        </w:r>
        <w:r>
          <w:rPr>
            <w:rStyle w:val="a5"/>
            <w:color w:val="auto"/>
            <w:u w:val="none"/>
          </w:rPr>
          <w:t>裝置「腹主動脈瘤支架暨輸送引導系統」之個案，原應屬</w:t>
        </w:r>
        <w:r>
          <w:rPr>
            <w:rStyle w:val="a5"/>
            <w:color w:val="auto"/>
            <w:u w:val="none"/>
          </w:rPr>
          <w:t>DRG</w:t>
        </w:r>
        <w:r>
          <w:rPr>
            <w:rStyle w:val="a5"/>
            <w:color w:val="auto"/>
            <w:u w:val="none"/>
          </w:rPr>
          <w:t>範圍暫以論量計酬方式申報乙項，所稱「腹主動脈瘤支架暨輸送引導系統」是指那些特材？</w:t>
        </w:r>
        <w:r>
          <w:rPr>
            <w:rStyle w:val="ae"/>
          </w:rPr>
          <w:tab/>
          <w:t>1</w:t>
        </w:r>
        <w:r w:rsidR="005F45D4">
          <w:rPr>
            <w:rStyle w:val="ae"/>
            <w:rFonts w:hint="eastAsia"/>
            <w:lang w:eastAsia="zh-TW"/>
          </w:rPr>
          <w:t>1</w:t>
        </w:r>
      </w:hyperlink>
    </w:p>
    <w:p w:rsidR="00230528" w:rsidRDefault="00230528" w:rsidP="00EF753B">
      <w:pPr>
        <w:pStyle w:val="21"/>
      </w:pPr>
      <w:hyperlink r:id="rId28" w:anchor="_blank" w:history="1">
        <w:r>
          <w:rPr>
            <w:rStyle w:val="a5"/>
            <w:color w:val="auto"/>
            <w:u w:val="none"/>
          </w:rPr>
          <w:t>22.</w:t>
        </w:r>
        <w:r>
          <w:rPr>
            <w:rStyle w:val="a5"/>
            <w:color w:val="auto"/>
            <w:u w:val="none"/>
          </w:rPr>
          <w:t>執行</w:t>
        </w:r>
        <w:r>
          <w:rPr>
            <w:rStyle w:val="a5"/>
            <w:color w:val="auto"/>
            <w:u w:val="none"/>
          </w:rPr>
          <w:t>2</w:t>
        </w:r>
        <w:r>
          <w:rPr>
            <w:rStyle w:val="a5"/>
            <w:color w:val="auto"/>
            <w:u w:val="none"/>
          </w:rPr>
          <w:t>項</w:t>
        </w:r>
        <w:r>
          <w:rPr>
            <w:rStyle w:val="a5"/>
            <w:color w:val="auto"/>
            <w:u w:val="none"/>
          </w:rPr>
          <w:t>DRG</w:t>
        </w:r>
        <w:r>
          <w:rPr>
            <w:rStyle w:val="a5"/>
            <w:color w:val="auto"/>
            <w:u w:val="none"/>
          </w:rPr>
          <w:t>，是否可以選擇權重低的</w:t>
        </w:r>
        <w:r>
          <w:rPr>
            <w:rStyle w:val="a5"/>
            <w:color w:val="auto"/>
            <w:u w:val="none"/>
          </w:rPr>
          <w:t>DRG</w:t>
        </w:r>
        <w:r>
          <w:rPr>
            <w:rStyle w:val="a5"/>
            <w:color w:val="auto"/>
            <w:u w:val="none"/>
          </w:rPr>
          <w:t>申報？</w:t>
        </w:r>
        <w:r>
          <w:rPr>
            <w:rStyle w:val="ae"/>
          </w:rPr>
          <w:tab/>
        </w:r>
      </w:hyperlink>
      <w:r>
        <w:rPr>
          <w:rStyle w:val="a5"/>
          <w:color w:val="auto"/>
          <w:u w:val="none"/>
        </w:rPr>
        <w:t>11</w:t>
      </w:r>
    </w:p>
    <w:p w:rsidR="00230528" w:rsidRDefault="00230528" w:rsidP="00EF753B">
      <w:pPr>
        <w:pStyle w:val="21"/>
      </w:pPr>
      <w:hyperlink r:id="rId29" w:anchor="_blank" w:history="1">
        <w:r>
          <w:rPr>
            <w:rStyle w:val="a5"/>
            <w:color w:val="auto"/>
            <w:u w:val="none"/>
          </w:rPr>
          <w:t>23.</w:t>
        </w:r>
        <w:r>
          <w:rPr>
            <w:rStyle w:val="a5"/>
            <w:color w:val="auto"/>
            <w:u w:val="none"/>
          </w:rPr>
          <w:t>次診斷為癌症及性態未明腫瘤之個案核實申報之化療藥品有那些項目？</w:t>
        </w:r>
        <w:r>
          <w:rPr>
            <w:rStyle w:val="ae"/>
          </w:rPr>
          <w:tab/>
          <w:t>1</w:t>
        </w:r>
        <w:r w:rsidR="005F45D4">
          <w:rPr>
            <w:rStyle w:val="ae"/>
            <w:rFonts w:hint="eastAsia"/>
            <w:lang w:eastAsia="zh-TW"/>
          </w:rPr>
          <w:t>2</w:t>
        </w:r>
      </w:hyperlink>
    </w:p>
    <w:p w:rsidR="00230528" w:rsidRDefault="00230528" w:rsidP="00EF753B">
      <w:pPr>
        <w:pStyle w:val="21"/>
      </w:pPr>
      <w:hyperlink r:id="rId30" w:anchor="_blank" w:history="1">
        <w:r>
          <w:rPr>
            <w:rStyle w:val="a5"/>
            <w:color w:val="auto"/>
            <w:u w:val="none"/>
          </w:rPr>
          <w:t>24.</w:t>
        </w:r>
        <w:r>
          <w:rPr>
            <w:rStyle w:val="a5"/>
            <w:color w:val="auto"/>
            <w:u w:val="none"/>
          </w:rPr>
          <w:t>得加計額外點數之新增全新功能類別特殊材料項目有那些？</w:t>
        </w:r>
        <w:r>
          <w:rPr>
            <w:rStyle w:val="a5"/>
            <w:color w:val="auto"/>
            <w:u w:val="none"/>
          </w:rPr>
          <w:t>102</w:t>
        </w:r>
        <w:r>
          <w:rPr>
            <w:rStyle w:val="a5"/>
            <w:color w:val="auto"/>
            <w:u w:val="none"/>
          </w:rPr>
          <w:t>年新增之全新功能特材在</w:t>
        </w:r>
        <w:r>
          <w:rPr>
            <w:rStyle w:val="a5"/>
            <w:color w:val="auto"/>
            <w:u w:val="none"/>
          </w:rPr>
          <w:t>DRG</w:t>
        </w:r>
        <w:r>
          <w:rPr>
            <w:rStyle w:val="a5"/>
            <w:color w:val="auto"/>
            <w:u w:val="none"/>
          </w:rPr>
          <w:t>下可否額外加計點數</w:t>
        </w:r>
        <w:r>
          <w:rPr>
            <w:rStyle w:val="a5"/>
            <w:color w:val="auto"/>
            <w:u w:val="none"/>
          </w:rPr>
          <w:t>(add on)?</w:t>
        </w:r>
        <w:r>
          <w:rPr>
            <w:rStyle w:val="ae"/>
          </w:rPr>
          <w:tab/>
          <w:t>1</w:t>
        </w:r>
        <w:r w:rsidR="005F45D4">
          <w:rPr>
            <w:rStyle w:val="ae"/>
            <w:rFonts w:hint="eastAsia"/>
            <w:lang w:eastAsia="zh-TW"/>
          </w:rPr>
          <w:t>2</w:t>
        </w:r>
      </w:hyperlink>
    </w:p>
    <w:p w:rsidR="00230528" w:rsidRDefault="00230528" w:rsidP="00EF753B">
      <w:pPr>
        <w:pStyle w:val="21"/>
      </w:pPr>
      <w:hyperlink r:id="rId31" w:anchor="_blank" w:history="1">
        <w:r>
          <w:rPr>
            <w:rStyle w:val="a5"/>
            <w:color w:val="auto"/>
            <w:u w:val="none"/>
          </w:rPr>
          <w:t>25.</w:t>
        </w:r>
        <w:r>
          <w:rPr>
            <w:rStyle w:val="a5"/>
            <w:color w:val="auto"/>
            <w:u w:val="none"/>
          </w:rPr>
          <w:t>次診斷為癌症及性態未明腫瘤之個案核實申報化療費用之處置碼申報方式？</w:t>
        </w:r>
        <w:r>
          <w:rPr>
            <w:rStyle w:val="ae"/>
          </w:rPr>
          <w:tab/>
          <w:t>1</w:t>
        </w:r>
        <w:r w:rsidR="005F45D4">
          <w:rPr>
            <w:rStyle w:val="ae"/>
            <w:rFonts w:hint="eastAsia"/>
            <w:lang w:eastAsia="zh-TW"/>
          </w:rPr>
          <w:t>2</w:t>
        </w:r>
      </w:hyperlink>
    </w:p>
    <w:p w:rsidR="00230528" w:rsidRDefault="00230528" w:rsidP="00EF753B">
      <w:pPr>
        <w:pStyle w:val="21"/>
      </w:pPr>
      <w:r>
        <w:t>26.</w:t>
      </w:r>
      <w:r>
        <w:rPr>
          <w:rStyle w:val="a4"/>
          <w:bCs/>
        </w:rPr>
        <w:t>單一特材</w:t>
      </w:r>
      <w:r>
        <w:t>因</w:t>
      </w:r>
      <w:r>
        <w:rPr>
          <w:rStyle w:val="a4"/>
          <w:bCs/>
        </w:rPr>
        <w:t>使用數量不同，造成同一</w:t>
      </w:r>
      <w:r>
        <w:rPr>
          <w:rStyle w:val="a4"/>
          <w:bCs/>
        </w:rPr>
        <w:t>DRG</w:t>
      </w:r>
      <w:r>
        <w:rPr>
          <w:rStyle w:val="a4"/>
          <w:bCs/>
        </w:rPr>
        <w:t>下費用差異大</w:t>
      </w:r>
      <w:r>
        <w:t>或同功能類別特材單價差異大，占總費用比率高，造成部分使用單價高之病人其支付不足</w:t>
      </w:r>
      <w:r>
        <w:rPr>
          <w:rStyle w:val="a4"/>
          <w:rFonts w:ascii="標楷體" w:hAnsi="標楷體"/>
        </w:rPr>
        <w:t>，</w:t>
      </w:r>
      <w:r>
        <w:t>如何處理</w:t>
      </w:r>
      <w:r>
        <w:t>?.............................................................................................1</w:t>
      </w:r>
      <w:r w:rsidR="005F45D4">
        <w:rPr>
          <w:rFonts w:hint="eastAsia"/>
        </w:rPr>
        <w:t>3</w:t>
      </w:r>
    </w:p>
    <w:p w:rsidR="00230528" w:rsidRDefault="00230528" w:rsidP="00EF753B">
      <w:pPr>
        <w:pStyle w:val="21"/>
      </w:pPr>
      <w:hyperlink r:id="rId32" w:anchor="_blank" w:history="1">
        <w:r>
          <w:rPr>
            <w:rStyle w:val="a5"/>
            <w:color w:val="auto"/>
            <w:u w:val="none"/>
          </w:rPr>
          <w:t>27.</w:t>
        </w:r>
        <w:r>
          <w:rPr>
            <w:rStyle w:val="a5"/>
            <w:color w:val="auto"/>
            <w:u w:val="none"/>
          </w:rPr>
          <w:t>支付通則六之</w:t>
        </w:r>
        <w:r>
          <w:rPr>
            <w:rStyle w:val="a5"/>
            <w:color w:val="auto"/>
            <w:u w:val="none"/>
          </w:rPr>
          <w:t>(</w:t>
        </w:r>
        <w:r>
          <w:rPr>
            <w:rStyle w:val="a5"/>
            <w:color w:val="auto"/>
            <w:u w:val="none"/>
          </w:rPr>
          <w:t>三</w:t>
        </w:r>
        <w:r>
          <w:rPr>
            <w:rStyle w:val="a5"/>
            <w:color w:val="auto"/>
            <w:u w:val="none"/>
          </w:rPr>
          <w:t>)</w:t>
        </w:r>
        <w:r>
          <w:rPr>
            <w:rStyle w:val="a5"/>
            <w:color w:val="auto"/>
            <w:u w:val="none"/>
          </w:rPr>
          <w:t>規定</w:t>
        </w:r>
        <w:r>
          <w:rPr>
            <w:rStyle w:val="a5"/>
            <w:color w:val="auto"/>
            <w:u w:val="none"/>
          </w:rPr>
          <w:t>-</w:t>
        </w:r>
        <w:r>
          <w:rPr>
            <w:rStyle w:val="a5"/>
            <w:color w:val="auto"/>
            <w:u w:val="none"/>
          </w:rPr>
          <w:t>「年齡小於</w:t>
        </w:r>
        <w:r>
          <w:rPr>
            <w:rStyle w:val="a5"/>
            <w:color w:val="auto"/>
            <w:u w:val="none"/>
          </w:rPr>
          <w:t>18</w:t>
        </w:r>
        <w:r>
          <w:rPr>
            <w:rStyle w:val="a5"/>
            <w:color w:val="auto"/>
            <w:u w:val="none"/>
          </w:rPr>
          <w:t>歲之先天性疾病個案，超過上限臨界點之實際醫療服務點數全數支付」，假設個案之定額高於上限臨界點時如何計算？</w:t>
        </w:r>
        <w:r>
          <w:rPr>
            <w:rStyle w:val="ae"/>
          </w:rPr>
          <w:tab/>
          <w:t>1</w:t>
        </w:r>
        <w:r w:rsidR="005F45D4">
          <w:rPr>
            <w:rStyle w:val="ae"/>
            <w:rFonts w:hint="eastAsia"/>
            <w:lang w:eastAsia="zh-TW"/>
          </w:rPr>
          <w:t>3</w:t>
        </w:r>
      </w:hyperlink>
    </w:p>
    <w:p w:rsidR="00230528" w:rsidRDefault="00230528" w:rsidP="00EF753B">
      <w:pPr>
        <w:pStyle w:val="21"/>
      </w:pPr>
      <w:r>
        <w:t>28.</w:t>
      </w:r>
      <w:r>
        <w:t>實際醫療服務點數高於點數上限臨界點之計算方式為何</w:t>
      </w:r>
      <w:r>
        <w:t>?........................1</w:t>
      </w:r>
      <w:r w:rsidR="005F45D4">
        <w:rPr>
          <w:rFonts w:hint="eastAsia"/>
        </w:rPr>
        <w:t>4</w:t>
      </w:r>
    </w:p>
    <w:p w:rsidR="00230528" w:rsidRDefault="00230528" w:rsidP="00EF753B">
      <w:pPr>
        <w:pStyle w:val="21"/>
      </w:pPr>
      <w:hyperlink r:id="rId33" w:anchor="_blank" w:history="1">
        <w:r>
          <w:rPr>
            <w:rStyle w:val="a5"/>
            <w:color w:val="auto"/>
            <w:u w:val="none"/>
          </w:rPr>
          <w:t>29.</w:t>
        </w:r>
        <w:r>
          <w:rPr>
            <w:rStyle w:val="a5"/>
            <w:color w:val="auto"/>
            <w:u w:val="none"/>
          </w:rPr>
          <w:t>「</w:t>
        </w:r>
        <w:r>
          <w:rPr>
            <w:rStyle w:val="a5"/>
            <w:color w:val="auto"/>
            <w:u w:val="none"/>
          </w:rPr>
          <w:t>DRG</w:t>
        </w:r>
        <w:r>
          <w:rPr>
            <w:rStyle w:val="a5"/>
            <w:color w:val="auto"/>
            <w:u w:val="none"/>
          </w:rPr>
          <w:t>支付制度下新增全新功能類別特殊材料因應方案」第四點（二）</w:t>
        </w:r>
        <w:r>
          <w:rPr>
            <w:rStyle w:val="a5"/>
            <w:color w:val="auto"/>
            <w:u w:val="none"/>
          </w:rPr>
          <w:t>1</w:t>
        </w:r>
        <w:r>
          <w:rPr>
            <w:rStyle w:val="a5"/>
            <w:color w:val="auto"/>
            <w:u w:val="none"/>
          </w:rPr>
          <w:t>之（</w:t>
        </w:r>
        <w:r>
          <w:rPr>
            <w:rStyle w:val="a5"/>
            <w:color w:val="auto"/>
            <w:u w:val="none"/>
          </w:rPr>
          <w:t>2</w:t>
        </w:r>
        <w:r>
          <w:rPr>
            <w:rStyle w:val="a5"/>
            <w:color w:val="auto"/>
            <w:u w:val="none"/>
          </w:rPr>
          <w:t>）規範實際醫療服務點數小於</w:t>
        </w:r>
        <w:r>
          <w:rPr>
            <w:rStyle w:val="a5"/>
            <w:color w:val="auto"/>
            <w:u w:val="none"/>
          </w:rPr>
          <w:t>DRG</w:t>
        </w:r>
        <w:r>
          <w:rPr>
            <w:rStyle w:val="a5"/>
            <w:color w:val="auto"/>
            <w:u w:val="none"/>
          </w:rPr>
          <w:t>定額不得加計額外點數，且不得向病患收取費用，假設實際醫療服務點數等於定額如何處理？</w:t>
        </w:r>
        <w:r>
          <w:rPr>
            <w:rStyle w:val="ae"/>
          </w:rPr>
          <w:tab/>
          <w:t>1</w:t>
        </w:r>
      </w:hyperlink>
      <w:r w:rsidR="005F45D4">
        <w:rPr>
          <w:rFonts w:hint="eastAsia"/>
        </w:rPr>
        <w:t>4</w:t>
      </w:r>
    </w:p>
    <w:p w:rsidR="00230528" w:rsidRDefault="00230528" w:rsidP="00EF753B">
      <w:pPr>
        <w:pStyle w:val="21"/>
      </w:pPr>
      <w:hyperlink r:id="rId34" w:anchor="_blank" w:history="1">
        <w:r>
          <w:rPr>
            <w:rStyle w:val="a5"/>
            <w:color w:val="auto"/>
            <w:u w:val="none"/>
          </w:rPr>
          <w:t>30.</w:t>
        </w:r>
        <w:r>
          <w:rPr>
            <w:rStyle w:val="a5"/>
            <w:color w:val="auto"/>
            <w:u w:val="none"/>
          </w:rPr>
          <w:t>參加「孕產婦照護品質確保及諮詢服務計畫」個案，其試辦計畫之管理照護費與生產之醫療服務點數如何申報？</w:t>
        </w:r>
        <w:r>
          <w:rPr>
            <w:rStyle w:val="ae"/>
          </w:rPr>
          <w:tab/>
          <w:t>1</w:t>
        </w:r>
        <w:r w:rsidR="005F45D4">
          <w:rPr>
            <w:rStyle w:val="ae"/>
            <w:rFonts w:hint="eastAsia"/>
            <w:lang w:eastAsia="zh-TW"/>
          </w:rPr>
          <w:t>4</w:t>
        </w:r>
      </w:hyperlink>
    </w:p>
    <w:p w:rsidR="00230528" w:rsidRDefault="00230528" w:rsidP="00EF753B">
      <w:pPr>
        <w:pStyle w:val="21"/>
      </w:pPr>
      <w:hyperlink r:id="rId35" w:anchor="_blank" w:history="1">
        <w:r>
          <w:rPr>
            <w:rStyle w:val="a5"/>
            <w:color w:val="auto"/>
            <w:u w:val="none"/>
          </w:rPr>
          <w:t>31.</w:t>
        </w:r>
        <w:r>
          <w:rPr>
            <w:rStyle w:val="a5"/>
            <w:color w:val="auto"/>
            <w:u w:val="none"/>
          </w:rPr>
          <w:t>實際醫療服務點數高於上限臨界點，且</w:t>
        </w:r>
        <w:r>
          <w:rPr>
            <w:rStyle w:val="a5"/>
            <w:color w:val="auto"/>
            <w:u w:val="none"/>
          </w:rPr>
          <w:t>Tw-DRGs</w:t>
        </w:r>
        <w:r>
          <w:rPr>
            <w:rStyle w:val="a5"/>
            <w:color w:val="auto"/>
            <w:u w:val="none"/>
          </w:rPr>
          <w:t>支付定額高於上限臨界點及等於實際醫療服點數時應如何申報？</w:t>
        </w:r>
        <w:r>
          <w:rPr>
            <w:rStyle w:val="ae"/>
          </w:rPr>
          <w:tab/>
          <w:t>1</w:t>
        </w:r>
        <w:r w:rsidR="005F45D4">
          <w:rPr>
            <w:rStyle w:val="ae"/>
            <w:rFonts w:hint="eastAsia"/>
            <w:lang w:eastAsia="zh-TW"/>
          </w:rPr>
          <w:t>5</w:t>
        </w:r>
      </w:hyperlink>
    </w:p>
    <w:p w:rsidR="00230528" w:rsidRDefault="00230528" w:rsidP="00EF753B">
      <w:pPr>
        <w:pStyle w:val="21"/>
      </w:pPr>
      <w:hyperlink r:id="rId36" w:anchor="_blank" w:history="1">
        <w:r>
          <w:rPr>
            <w:rStyle w:val="a5"/>
            <w:color w:val="auto"/>
            <w:u w:val="none"/>
          </w:rPr>
          <w:t>32.</w:t>
        </w:r>
        <w:r>
          <w:rPr>
            <w:rStyle w:val="a5"/>
            <w:color w:val="auto"/>
            <w:u w:val="none"/>
          </w:rPr>
          <w:t>「</w:t>
        </w:r>
        <w:r>
          <w:rPr>
            <w:rStyle w:val="a5"/>
            <w:color w:val="auto"/>
            <w:u w:val="none"/>
          </w:rPr>
          <w:t>DRG</w:t>
        </w:r>
        <w:r>
          <w:rPr>
            <w:rStyle w:val="a5"/>
            <w:color w:val="auto"/>
            <w:u w:val="none"/>
          </w:rPr>
          <w:t>支付制度下新增全新功能類別特殊材料因應方案」四（二）</w:t>
        </w:r>
        <w:r>
          <w:rPr>
            <w:rStyle w:val="a5"/>
            <w:color w:val="auto"/>
            <w:u w:val="none"/>
          </w:rPr>
          <w:t>2</w:t>
        </w:r>
        <w:r>
          <w:rPr>
            <w:rStyle w:val="a5"/>
            <w:color w:val="auto"/>
            <w:u w:val="none"/>
          </w:rPr>
          <w:t>之（</w:t>
        </w:r>
        <w:r>
          <w:rPr>
            <w:rStyle w:val="a5"/>
            <w:color w:val="auto"/>
            <w:u w:val="none"/>
          </w:rPr>
          <w:t>2</w:t>
        </w:r>
        <w:r>
          <w:rPr>
            <w:rStyle w:val="a5"/>
            <w:color w:val="auto"/>
            <w:u w:val="none"/>
          </w:rPr>
          <w:t>）規定以實際醫療服務點數計算額外加計點數，假設實際醫療服務點數等於上限臨界點，且大於</w:t>
        </w:r>
        <w:r>
          <w:rPr>
            <w:rStyle w:val="a5"/>
            <w:color w:val="auto"/>
            <w:u w:val="none"/>
          </w:rPr>
          <w:t>DRG</w:t>
        </w:r>
        <w:r>
          <w:rPr>
            <w:rStyle w:val="a5"/>
            <w:color w:val="auto"/>
            <w:u w:val="none"/>
          </w:rPr>
          <w:t>定額時，其額外加計之特材點數應如何計算及申報？</w:t>
        </w:r>
        <w:r>
          <w:rPr>
            <w:rStyle w:val="ae"/>
          </w:rPr>
          <w:tab/>
          <w:t>1</w:t>
        </w:r>
        <w:r w:rsidR="005F45D4">
          <w:rPr>
            <w:rStyle w:val="ae"/>
            <w:rFonts w:hint="eastAsia"/>
            <w:lang w:eastAsia="zh-TW"/>
          </w:rPr>
          <w:t>5</w:t>
        </w:r>
      </w:hyperlink>
    </w:p>
    <w:p w:rsidR="00230528" w:rsidRDefault="00230528" w:rsidP="00EF753B">
      <w:pPr>
        <w:pStyle w:val="21"/>
      </w:pPr>
      <w:hyperlink r:id="rId37" w:anchor="_blank" w:history="1">
        <w:r>
          <w:rPr>
            <w:rStyle w:val="a5"/>
            <w:color w:val="auto"/>
            <w:u w:val="none"/>
          </w:rPr>
          <w:t>33.</w:t>
        </w:r>
        <w:r>
          <w:rPr>
            <w:rStyle w:val="a5"/>
            <w:color w:val="auto"/>
            <w:u w:val="none"/>
          </w:rPr>
          <w:t>通則六、</w:t>
        </w:r>
        <w:r>
          <w:rPr>
            <w:rStyle w:val="a5"/>
            <w:color w:val="auto"/>
            <w:u w:val="none"/>
          </w:rPr>
          <w:t>(</w:t>
        </w:r>
        <w:r>
          <w:rPr>
            <w:rStyle w:val="a5"/>
            <w:color w:val="auto"/>
            <w:u w:val="none"/>
          </w:rPr>
          <w:t>六</w:t>
        </w:r>
        <w:r>
          <w:rPr>
            <w:rStyle w:val="a5"/>
            <w:color w:val="auto"/>
            <w:u w:val="none"/>
          </w:rPr>
          <w:t>)</w:t>
        </w:r>
        <w:r>
          <w:rPr>
            <w:rStyle w:val="a5"/>
            <w:color w:val="auto"/>
            <w:u w:val="none"/>
          </w:rPr>
          <w:t>所列各項得另行核實申報項目如：多胞胎新生兒費、特定範圍生物製劑、化</w:t>
        </w:r>
        <w:r>
          <w:rPr>
            <w:rStyle w:val="a5"/>
            <w:color w:val="auto"/>
            <w:u w:val="none"/>
          </w:rPr>
          <w:t>(</w:t>
        </w:r>
        <w:r>
          <w:rPr>
            <w:rStyle w:val="a5"/>
            <w:color w:val="auto"/>
            <w:u w:val="none"/>
          </w:rPr>
          <w:t>放</w:t>
        </w:r>
        <w:r>
          <w:rPr>
            <w:rStyle w:val="a5"/>
            <w:color w:val="auto"/>
            <w:u w:val="none"/>
          </w:rPr>
          <w:t>)</w:t>
        </w:r>
        <w:r>
          <w:rPr>
            <w:rStyle w:val="a5"/>
            <w:color w:val="auto"/>
            <w:u w:val="none"/>
          </w:rPr>
          <w:t>療、呼吸器及洗腎點數等，是否可以選擇部份醫令數採核實申報或部份含於</w:t>
        </w:r>
        <w:r>
          <w:rPr>
            <w:rStyle w:val="a5"/>
            <w:color w:val="auto"/>
            <w:u w:val="none"/>
          </w:rPr>
          <w:t>DRG</w:t>
        </w:r>
        <w:r>
          <w:rPr>
            <w:rStyle w:val="a5"/>
            <w:color w:val="auto"/>
            <w:u w:val="none"/>
          </w:rPr>
          <w:t>定額內申報？（例如住院中總共洗腎</w:t>
        </w:r>
        <w:r>
          <w:rPr>
            <w:rStyle w:val="a5"/>
            <w:color w:val="auto"/>
            <w:u w:val="none"/>
          </w:rPr>
          <w:t>3</w:t>
        </w:r>
        <w:r>
          <w:rPr>
            <w:rStyle w:val="a5"/>
            <w:color w:val="auto"/>
            <w:u w:val="none"/>
          </w:rPr>
          <w:t>次，其中</w:t>
        </w:r>
        <w:r>
          <w:rPr>
            <w:rStyle w:val="a5"/>
            <w:color w:val="auto"/>
            <w:u w:val="none"/>
          </w:rPr>
          <w:t>1</w:t>
        </w:r>
        <w:r>
          <w:rPr>
            <w:rStyle w:val="a5"/>
            <w:color w:val="auto"/>
            <w:u w:val="none"/>
          </w:rPr>
          <w:t>次含於</w:t>
        </w:r>
        <w:r>
          <w:rPr>
            <w:rStyle w:val="a5"/>
            <w:color w:val="auto"/>
            <w:u w:val="none"/>
          </w:rPr>
          <w:t>DRG</w:t>
        </w:r>
        <w:r>
          <w:rPr>
            <w:rStyle w:val="a5"/>
            <w:color w:val="auto"/>
            <w:u w:val="none"/>
          </w:rPr>
          <w:t>定額内，另</w:t>
        </w:r>
        <w:r>
          <w:rPr>
            <w:rStyle w:val="a5"/>
            <w:color w:val="auto"/>
            <w:u w:val="none"/>
          </w:rPr>
          <w:t>2</w:t>
        </w:r>
        <w:r>
          <w:rPr>
            <w:rStyle w:val="a5"/>
            <w:color w:val="auto"/>
            <w:u w:val="none"/>
          </w:rPr>
          <w:t>次採核實申報。）</w:t>
        </w:r>
        <w:r>
          <w:rPr>
            <w:rStyle w:val="ae"/>
          </w:rPr>
          <w:tab/>
          <w:t>1</w:t>
        </w:r>
        <w:r w:rsidR="005F45D4">
          <w:rPr>
            <w:rStyle w:val="ae"/>
            <w:rFonts w:hint="eastAsia"/>
            <w:lang w:eastAsia="zh-TW"/>
          </w:rPr>
          <w:t>5</w:t>
        </w:r>
      </w:hyperlink>
    </w:p>
    <w:p w:rsidR="00230528" w:rsidRDefault="00230528" w:rsidP="00EF753B">
      <w:pPr>
        <w:pStyle w:val="21"/>
      </w:pPr>
      <w:hyperlink r:id="rId38" w:anchor="_blank" w:history="1">
        <w:r>
          <w:rPr>
            <w:rStyle w:val="a5"/>
            <w:color w:val="auto"/>
            <w:u w:val="none"/>
          </w:rPr>
          <w:t>34.</w:t>
        </w:r>
        <w:r>
          <w:rPr>
            <w:rStyle w:val="a5"/>
            <w:color w:val="auto"/>
            <w:u w:val="none"/>
          </w:rPr>
          <w:t>手術中使用呼吸器之個案，於手術後轉至恢復室或病房續用呼吸器小於</w:t>
        </w:r>
        <w:r>
          <w:rPr>
            <w:rStyle w:val="a5"/>
            <w:color w:val="auto"/>
            <w:u w:val="none"/>
          </w:rPr>
          <w:t>48</w:t>
        </w:r>
        <w:r>
          <w:rPr>
            <w:rStyle w:val="a5"/>
            <w:color w:val="auto"/>
            <w:u w:val="none"/>
          </w:rPr>
          <w:t>小時者，此類案件使用呼吸器之費用可以核實申報嗎？</w:t>
        </w:r>
        <w:r>
          <w:rPr>
            <w:rStyle w:val="ae"/>
          </w:rPr>
          <w:tab/>
          <w:t>1</w:t>
        </w:r>
        <w:r w:rsidR="005F45D4">
          <w:rPr>
            <w:rStyle w:val="ae"/>
            <w:rFonts w:hint="eastAsia"/>
            <w:lang w:eastAsia="zh-TW"/>
          </w:rPr>
          <w:t>6</w:t>
        </w:r>
      </w:hyperlink>
    </w:p>
    <w:p w:rsidR="00230528" w:rsidRDefault="00230528" w:rsidP="00EF753B">
      <w:pPr>
        <w:pStyle w:val="21"/>
      </w:pPr>
      <w:hyperlink r:id="rId39" w:anchor="_blank" w:history="1">
        <w:r>
          <w:rPr>
            <w:rStyle w:val="a5"/>
            <w:color w:val="auto"/>
            <w:u w:val="none"/>
          </w:rPr>
          <w:t>35.</w:t>
        </w:r>
        <w:r>
          <w:rPr>
            <w:rStyle w:val="a5"/>
            <w:color w:val="auto"/>
            <w:u w:val="none"/>
          </w:rPr>
          <w:t>「</w:t>
        </w:r>
        <w:r>
          <w:rPr>
            <w:rStyle w:val="a5"/>
            <w:color w:val="auto"/>
            <w:u w:val="none"/>
          </w:rPr>
          <w:t>DRG</w:t>
        </w:r>
        <w:r>
          <w:rPr>
            <w:rStyle w:val="a5"/>
            <w:color w:val="auto"/>
            <w:u w:val="none"/>
          </w:rPr>
          <w:t>支付制度下新增全新功能類別特殊材料因應方案」之四之</w:t>
        </w:r>
        <w:r>
          <w:rPr>
            <w:rStyle w:val="a5"/>
            <w:color w:val="auto"/>
            <w:u w:val="none"/>
          </w:rPr>
          <w:t>(</w:t>
        </w:r>
        <w:r>
          <w:rPr>
            <w:rStyle w:val="a5"/>
            <w:color w:val="auto"/>
            <w:u w:val="none"/>
          </w:rPr>
          <w:t>一</w:t>
        </w:r>
        <w:r>
          <w:rPr>
            <w:rStyle w:val="a5"/>
            <w:color w:val="auto"/>
            <w:u w:val="none"/>
          </w:rPr>
          <w:t>)</w:t>
        </w:r>
        <w:r>
          <w:rPr>
            <w:rStyle w:val="a5"/>
            <w:color w:val="auto"/>
            <w:u w:val="none"/>
          </w:rPr>
          <w:t>「使用第一類新特殊材料之個案暫以論量計酬方式申報」之新增全新功能類別特殊材料項目有那些？</w:t>
        </w:r>
        <w:r>
          <w:rPr>
            <w:rStyle w:val="ae"/>
          </w:rPr>
          <w:tab/>
          <w:t>1</w:t>
        </w:r>
        <w:r w:rsidR="005F45D4">
          <w:rPr>
            <w:rStyle w:val="ae"/>
            <w:rFonts w:hint="eastAsia"/>
            <w:lang w:eastAsia="zh-TW"/>
          </w:rPr>
          <w:t>6</w:t>
        </w:r>
      </w:hyperlink>
    </w:p>
    <w:p w:rsidR="00230528" w:rsidRDefault="00230528" w:rsidP="00EF753B">
      <w:pPr>
        <w:pStyle w:val="21"/>
      </w:pPr>
      <w:hyperlink r:id="rId40" w:anchor="_blank" w:history="1">
        <w:r>
          <w:rPr>
            <w:rStyle w:val="a5"/>
            <w:color w:val="auto"/>
            <w:u w:val="none"/>
          </w:rPr>
          <w:t>36.</w:t>
        </w:r>
        <w:r>
          <w:rPr>
            <w:rStyle w:val="a5"/>
            <w:color w:val="auto"/>
            <w:u w:val="none"/>
          </w:rPr>
          <w:t>參加「全民健康保險急診品質提升方案」個案，其方案之品質獎勵金與</w:t>
        </w:r>
        <w:r>
          <w:rPr>
            <w:rStyle w:val="a5"/>
            <w:color w:val="auto"/>
            <w:u w:val="none"/>
          </w:rPr>
          <w:t>DRG</w:t>
        </w:r>
        <w:r>
          <w:rPr>
            <w:rStyle w:val="a5"/>
            <w:color w:val="auto"/>
            <w:u w:val="none"/>
          </w:rPr>
          <w:t>案件醫療服務點數如何申報？</w:t>
        </w:r>
        <w:r>
          <w:rPr>
            <w:rStyle w:val="ae"/>
          </w:rPr>
          <w:tab/>
          <w:t>1</w:t>
        </w:r>
        <w:r w:rsidR="005F45D4">
          <w:rPr>
            <w:rStyle w:val="ae"/>
            <w:rFonts w:hint="eastAsia"/>
            <w:lang w:eastAsia="zh-TW"/>
          </w:rPr>
          <w:t>7</w:t>
        </w:r>
      </w:hyperlink>
    </w:p>
    <w:p w:rsidR="00230528" w:rsidRDefault="00230528" w:rsidP="00EF753B">
      <w:pPr>
        <w:pStyle w:val="21"/>
      </w:pPr>
      <w:hyperlink r:id="rId41" w:anchor="_blank" w:history="1">
        <w:r>
          <w:rPr>
            <w:rStyle w:val="a5"/>
            <w:color w:val="auto"/>
            <w:u w:val="none"/>
          </w:rPr>
          <w:t>37.</w:t>
        </w:r>
        <w:r>
          <w:rPr>
            <w:rStyle w:val="a5"/>
            <w:color w:val="auto"/>
            <w:u w:val="none"/>
          </w:rPr>
          <w:t>有關符合「</w:t>
        </w:r>
        <w:r>
          <w:rPr>
            <w:rStyle w:val="a5"/>
            <w:color w:val="auto"/>
            <w:u w:val="none"/>
          </w:rPr>
          <w:t>DRG</w:t>
        </w:r>
        <w:r>
          <w:rPr>
            <w:rStyle w:val="a5"/>
            <w:color w:val="auto"/>
            <w:u w:val="none"/>
          </w:rPr>
          <w:t>支付制度下新增全新功能類別特殊材料因應方案」得加計額外點數之新增全新功能類別特殊材料，於申報加計額外點數時，醫令代碼「</w:t>
        </w:r>
        <w:r>
          <w:rPr>
            <w:rStyle w:val="a5"/>
            <w:color w:val="auto"/>
            <w:u w:val="none"/>
          </w:rPr>
          <w:t>H00021-22</w:t>
        </w:r>
        <w:r>
          <w:rPr>
            <w:rStyle w:val="a5"/>
            <w:color w:val="auto"/>
            <w:u w:val="none"/>
          </w:rPr>
          <w:t>、</w:t>
        </w:r>
        <w:r>
          <w:rPr>
            <w:rStyle w:val="a5"/>
            <w:color w:val="auto"/>
            <w:u w:val="none"/>
          </w:rPr>
          <w:t>H00031-32</w:t>
        </w:r>
        <w:r>
          <w:rPr>
            <w:rStyle w:val="a5"/>
            <w:color w:val="auto"/>
            <w:u w:val="none"/>
          </w:rPr>
          <w:t>」得否含特材管理費？</w:t>
        </w:r>
        <w:r>
          <w:rPr>
            <w:rStyle w:val="ae"/>
          </w:rPr>
          <w:tab/>
          <w:t>1</w:t>
        </w:r>
        <w:r w:rsidR="005F45D4">
          <w:rPr>
            <w:rStyle w:val="ae"/>
            <w:rFonts w:hint="eastAsia"/>
            <w:lang w:eastAsia="zh-TW"/>
          </w:rPr>
          <w:t>7</w:t>
        </w:r>
      </w:hyperlink>
    </w:p>
    <w:p w:rsidR="00230528" w:rsidRDefault="00230528" w:rsidP="00EF753B">
      <w:pPr>
        <w:pStyle w:val="21"/>
      </w:pPr>
      <w:hyperlink r:id="rId42" w:anchor="_blank" w:history="1">
        <w:r>
          <w:rPr>
            <w:rStyle w:val="a5"/>
            <w:color w:val="auto"/>
            <w:u w:val="none"/>
          </w:rPr>
          <w:t>38.DRGs</w:t>
        </w:r>
        <w:r>
          <w:rPr>
            <w:rStyle w:val="a5"/>
            <w:color w:val="auto"/>
            <w:u w:val="none"/>
          </w:rPr>
          <w:t>實施後，是否可另外向民眾收取新增之新功能類別特殊材料費用</w:t>
        </w:r>
        <w:r>
          <w:rPr>
            <w:rStyle w:val="a5"/>
            <w:color w:val="auto"/>
            <w:u w:val="none"/>
          </w:rPr>
          <w:t>?</w:t>
        </w:r>
        <w:r>
          <w:rPr>
            <w:rStyle w:val="ae"/>
          </w:rPr>
          <w:tab/>
          <w:t>1</w:t>
        </w:r>
        <w:r w:rsidR="005F45D4">
          <w:rPr>
            <w:rStyle w:val="ae"/>
            <w:rFonts w:hint="eastAsia"/>
            <w:lang w:eastAsia="zh-TW"/>
          </w:rPr>
          <w:t>7</w:t>
        </w:r>
      </w:hyperlink>
    </w:p>
    <w:p w:rsidR="00230528" w:rsidRDefault="00230528" w:rsidP="00EF753B">
      <w:pPr>
        <w:pStyle w:val="21"/>
      </w:pPr>
      <w:hyperlink r:id="rId43" w:anchor="_blank" w:history="1">
        <w:r>
          <w:rPr>
            <w:rStyle w:val="a5"/>
            <w:color w:val="auto"/>
            <w:u w:val="none"/>
          </w:rPr>
          <w:t>39.</w:t>
        </w:r>
        <w:r>
          <w:rPr>
            <w:rStyle w:val="a5"/>
            <w:color w:val="auto"/>
            <w:u w:val="none"/>
          </w:rPr>
          <w:t>使用人工血管接環（特材代碼：</w:t>
        </w:r>
        <w:r>
          <w:rPr>
            <w:rStyle w:val="a5"/>
            <w:color w:val="auto"/>
            <w:u w:val="none"/>
          </w:rPr>
          <w:t>FHP41V1017VW</w:t>
        </w:r>
        <w:r>
          <w:rPr>
            <w:rStyle w:val="a5"/>
            <w:color w:val="auto"/>
            <w:u w:val="none"/>
          </w:rPr>
          <w:t>）」之主動脈剝離（主動脈瘤）重建手術之案例，是否可採論量計酬方式申報？</w:t>
        </w:r>
        <w:r>
          <w:rPr>
            <w:rStyle w:val="ae"/>
          </w:rPr>
          <w:tab/>
          <w:t>1</w:t>
        </w:r>
        <w:r w:rsidR="005F45D4">
          <w:rPr>
            <w:rStyle w:val="ae"/>
            <w:rFonts w:hint="eastAsia"/>
            <w:lang w:eastAsia="zh-TW"/>
          </w:rPr>
          <w:t>8</w:t>
        </w:r>
      </w:hyperlink>
    </w:p>
    <w:p w:rsidR="00230528" w:rsidRDefault="00230528" w:rsidP="00EF753B">
      <w:pPr>
        <w:pStyle w:val="21"/>
      </w:pPr>
      <w:hyperlink r:id="rId44" w:anchor="_blank" w:history="1">
        <w:r>
          <w:rPr>
            <w:rStyle w:val="a5"/>
            <w:color w:val="auto"/>
            <w:u w:val="none"/>
          </w:rPr>
          <w:t>40.</w:t>
        </w:r>
        <w:r>
          <w:rPr>
            <w:rStyle w:val="a5"/>
            <w:color w:val="auto"/>
            <w:u w:val="none"/>
          </w:rPr>
          <w:t>自行要求剖腹產之</w:t>
        </w:r>
        <w:r>
          <w:rPr>
            <w:rStyle w:val="a5"/>
            <w:color w:val="auto"/>
            <w:u w:val="none"/>
          </w:rPr>
          <w:t>RW</w:t>
        </w:r>
        <w:r>
          <w:rPr>
            <w:rStyle w:val="a5"/>
            <w:color w:val="auto"/>
            <w:u w:val="none"/>
          </w:rPr>
          <w:t>如何計算所得？是否得加計各項加成率？</w:t>
        </w:r>
        <w:r>
          <w:rPr>
            <w:rStyle w:val="ae"/>
          </w:rPr>
          <w:tab/>
          <w:t>1</w:t>
        </w:r>
        <w:r w:rsidR="005F45D4">
          <w:rPr>
            <w:rStyle w:val="ae"/>
            <w:rFonts w:hint="eastAsia"/>
            <w:lang w:eastAsia="zh-TW"/>
          </w:rPr>
          <w:t>8</w:t>
        </w:r>
      </w:hyperlink>
    </w:p>
    <w:p w:rsidR="00230528" w:rsidRDefault="00230528" w:rsidP="00EF753B">
      <w:pPr>
        <w:pStyle w:val="21"/>
      </w:pPr>
      <w:hyperlink r:id="rId45" w:anchor="_blank" w:history="1">
        <w:r>
          <w:rPr>
            <w:rStyle w:val="a5"/>
            <w:color w:val="auto"/>
            <w:u w:val="none"/>
          </w:rPr>
          <w:t>41.</w:t>
        </w:r>
        <w:r>
          <w:rPr>
            <w:rStyle w:val="ae"/>
          </w:rPr>
          <w:t>IABP(Intraaortic balloon pump)</w:t>
        </w:r>
        <w:r>
          <w:rPr>
            <w:rStyle w:val="ae"/>
          </w:rPr>
          <w:t>手術之住院案件是否排除於</w:t>
        </w:r>
        <w:r>
          <w:rPr>
            <w:rStyle w:val="ae"/>
          </w:rPr>
          <w:t>DRG</w:t>
        </w:r>
        <w:r>
          <w:rPr>
            <w:rStyle w:val="ae"/>
          </w:rPr>
          <w:t>範圍</w:t>
        </w:r>
        <w:r>
          <w:rPr>
            <w:rStyle w:val="ae"/>
          </w:rPr>
          <w:t>?</w:t>
        </w:r>
        <w:r>
          <w:rPr>
            <w:rStyle w:val="ae"/>
          </w:rPr>
          <w:tab/>
          <w:t>1</w:t>
        </w:r>
        <w:r w:rsidR="005F45D4">
          <w:rPr>
            <w:rStyle w:val="ae"/>
            <w:rFonts w:hint="eastAsia"/>
            <w:lang w:eastAsia="zh-TW"/>
          </w:rPr>
          <w:t>9</w:t>
        </w:r>
      </w:hyperlink>
    </w:p>
    <w:p w:rsidR="00230528" w:rsidRDefault="00230528" w:rsidP="00EF753B">
      <w:pPr>
        <w:pStyle w:val="21"/>
      </w:pPr>
      <w:hyperlink r:id="rId46" w:anchor="_blank" w:history="1">
        <w:r>
          <w:rPr>
            <w:rStyle w:val="a5"/>
            <w:color w:val="auto"/>
            <w:u w:val="none"/>
          </w:rPr>
          <w:t>42.</w:t>
        </w:r>
        <w:r>
          <w:rPr>
            <w:rStyle w:val="a5"/>
            <w:color w:val="auto"/>
            <w:u w:val="none"/>
          </w:rPr>
          <w:t>支付通則六之第（六）</w:t>
        </w:r>
        <w:r>
          <w:rPr>
            <w:rStyle w:val="a5"/>
            <w:color w:val="auto"/>
            <w:u w:val="none"/>
          </w:rPr>
          <w:t>-6.</w:t>
        </w:r>
        <w:r>
          <w:rPr>
            <w:rStyle w:val="a5"/>
            <w:color w:val="auto"/>
            <w:u w:val="none"/>
          </w:rPr>
          <w:t>生物製劑之藥品範圍為何</w:t>
        </w:r>
        <w:r>
          <w:rPr>
            <w:rStyle w:val="a5"/>
            <w:color w:val="auto"/>
            <w:u w:val="none"/>
          </w:rPr>
          <w:t>?</w:t>
        </w:r>
        <w:r>
          <w:rPr>
            <w:rStyle w:val="ae"/>
          </w:rPr>
          <w:tab/>
          <w:t>1</w:t>
        </w:r>
        <w:r w:rsidR="005F45D4">
          <w:rPr>
            <w:rStyle w:val="ae"/>
            <w:rFonts w:hint="eastAsia"/>
            <w:lang w:eastAsia="zh-TW"/>
          </w:rPr>
          <w:t>9</w:t>
        </w:r>
      </w:hyperlink>
    </w:p>
    <w:p w:rsidR="00230528" w:rsidRDefault="00230528" w:rsidP="00EF753B">
      <w:pPr>
        <w:pStyle w:val="21"/>
      </w:pPr>
      <w:r>
        <w:t>4</w:t>
      </w:r>
      <w:r w:rsidR="00C404CB">
        <w:rPr>
          <w:rFonts w:hint="eastAsia"/>
        </w:rPr>
        <w:t>3</w:t>
      </w:r>
      <w:r>
        <w:t>.</w:t>
      </w:r>
      <w:r>
        <w:t>不適用</w:t>
      </w:r>
      <w:r>
        <w:t>DRG</w:t>
      </w:r>
      <w:r>
        <w:t>案件「複雜性多重骨盆腔器官脫垂，須同時施行骨盆腔多器官重建手術之個案」之操作型定義為何？</w:t>
      </w:r>
      <w:r>
        <w:t>……………………………..</w:t>
      </w:r>
      <w:r w:rsidR="005F45D4">
        <w:rPr>
          <w:rFonts w:hint="eastAsia"/>
        </w:rPr>
        <w:t>20</w:t>
      </w:r>
    </w:p>
    <w:p w:rsidR="00230528" w:rsidRDefault="00230528" w:rsidP="00EF753B">
      <w:pPr>
        <w:pStyle w:val="21"/>
      </w:pPr>
      <w:r>
        <w:t>4</w:t>
      </w:r>
      <w:r w:rsidR="005F45D4">
        <w:rPr>
          <w:rFonts w:hint="eastAsia"/>
        </w:rPr>
        <w:t>4</w:t>
      </w:r>
      <w:r>
        <w:t>.</w:t>
      </w:r>
      <w:r>
        <w:t>安胎個案因安胎不成功而流產，其安胎期間費用是否可比照安胎後生產個案採核實申報？</w:t>
      </w:r>
      <w:r>
        <w:t>……………………………….………………….………</w:t>
      </w:r>
      <w:r w:rsidR="005F45D4">
        <w:rPr>
          <w:rFonts w:hint="eastAsia"/>
        </w:rPr>
        <w:t>20</w:t>
      </w:r>
    </w:p>
    <w:p w:rsidR="00230528" w:rsidRDefault="00230528" w:rsidP="00EF753B">
      <w:pPr>
        <w:pStyle w:val="21"/>
        <w:rPr>
          <w:rStyle w:val="a4"/>
          <w:sz w:val="30"/>
          <w:szCs w:val="30"/>
        </w:rPr>
      </w:pPr>
      <w:r>
        <w:t>4</w:t>
      </w:r>
      <w:r w:rsidR="005F45D4">
        <w:rPr>
          <w:rFonts w:hint="eastAsia"/>
        </w:rPr>
        <w:t>5</w:t>
      </w:r>
      <w:r>
        <w:t>.</w:t>
      </w:r>
      <w:r>
        <w:t>有關原應屬</w:t>
      </w:r>
      <w:r>
        <w:t>Tw-DRGs</w:t>
      </w:r>
      <w:r>
        <w:t>範圍案件，因接受「醫療科技評估（以下稱</w:t>
      </w:r>
      <w:r>
        <w:t>HTA</w:t>
      </w:r>
      <w:r>
        <w:t>）期間或已完成</w:t>
      </w:r>
      <w:r>
        <w:t>HTA</w:t>
      </w:r>
      <w:r>
        <w:t>評估後不同意納入健保給付」之診療項目者排除</w:t>
      </w:r>
      <w:r>
        <w:t>Tw-DRGs</w:t>
      </w:r>
      <w:r>
        <w:t>範圍。</w:t>
      </w:r>
      <w:r>
        <w:t>…………………………….…………………………</w:t>
      </w:r>
      <w:r w:rsidR="005F45D4">
        <w:rPr>
          <w:rFonts w:hint="eastAsia"/>
        </w:rPr>
        <w:t>20</w:t>
      </w:r>
    </w:p>
    <w:p w:rsidR="00230528" w:rsidRDefault="00230528">
      <w:pPr>
        <w:pStyle w:val="a0"/>
        <w:rPr>
          <w:rStyle w:val="a4"/>
          <w:rFonts w:ascii="Times New Roman" w:eastAsia="標楷體" w:hAnsi="Times New Roman" w:hint="eastAsia"/>
          <w:sz w:val="30"/>
          <w:szCs w:val="30"/>
        </w:rPr>
      </w:pPr>
      <w:r>
        <w:rPr>
          <w:rStyle w:val="a4"/>
          <w:rFonts w:ascii="Times New Roman" w:hAnsi="Times New Roman"/>
          <w:sz w:val="30"/>
          <w:szCs w:val="30"/>
        </w:rPr>
        <w:t>4</w:t>
      </w:r>
      <w:r w:rsidR="005F45D4">
        <w:rPr>
          <w:rStyle w:val="a4"/>
          <w:rFonts w:ascii="Times New Roman" w:hAnsi="Times New Roman" w:hint="eastAsia"/>
          <w:sz w:val="30"/>
          <w:szCs w:val="30"/>
        </w:rPr>
        <w:t>6</w:t>
      </w:r>
      <w:r>
        <w:rPr>
          <w:rStyle w:val="a4"/>
          <w:rFonts w:ascii="Times New Roman" w:hAnsi="Times New Roman"/>
          <w:sz w:val="30"/>
          <w:szCs w:val="30"/>
        </w:rPr>
        <w:t>.</w:t>
      </w:r>
      <w:r w:rsidRPr="005F45D4">
        <w:rPr>
          <w:rStyle w:val="a4"/>
          <w:rFonts w:ascii="標楷體" w:eastAsia="標楷體" w:hAnsi="標楷體"/>
          <w:sz w:val="32"/>
          <w:szCs w:val="32"/>
        </w:rPr>
        <w:t>新增診療項目無替代既有項目之申報方</w:t>
      </w:r>
      <w:r w:rsidR="00D004CF">
        <w:rPr>
          <w:rStyle w:val="a4"/>
          <w:rFonts w:ascii="標楷體" w:eastAsia="標楷體" w:hAnsi="標楷體" w:hint="eastAsia"/>
          <w:sz w:val="32"/>
          <w:szCs w:val="32"/>
        </w:rPr>
        <w:t>式</w:t>
      </w:r>
      <w:r>
        <w:rPr>
          <w:rStyle w:val="a4"/>
          <w:rFonts w:ascii="標楷體" w:eastAsia="標楷體" w:hAnsi="標楷體"/>
          <w:sz w:val="30"/>
          <w:szCs w:val="30"/>
        </w:rPr>
        <w:t>..........................</w:t>
      </w:r>
      <w:r w:rsidR="005F45D4" w:rsidRPr="00D004CF">
        <w:rPr>
          <w:rStyle w:val="a4"/>
          <w:rFonts w:ascii="Times New Roman" w:eastAsia="標楷體" w:hAnsi="Times New Roman" w:hint="eastAsia"/>
          <w:sz w:val="32"/>
          <w:szCs w:val="32"/>
        </w:rPr>
        <w:t>20</w:t>
      </w:r>
    </w:p>
    <w:p w:rsidR="005F45D4" w:rsidRDefault="005F45D4">
      <w:pPr>
        <w:pStyle w:val="a0"/>
        <w:rPr>
          <w:rFonts w:ascii="Times New Roman" w:eastAsia="標楷體" w:hAnsi="Times New Roman" w:hint="eastAsia"/>
          <w:sz w:val="32"/>
          <w:szCs w:val="32"/>
        </w:rPr>
      </w:pPr>
      <w:r>
        <w:rPr>
          <w:rStyle w:val="a4"/>
          <w:rFonts w:ascii="Times New Roman" w:eastAsia="標楷體" w:hAnsi="Times New Roman" w:hint="eastAsia"/>
          <w:sz w:val="30"/>
          <w:szCs w:val="30"/>
        </w:rPr>
        <w:t>47.</w:t>
      </w:r>
      <w:r w:rsidRPr="00D004CF">
        <w:rPr>
          <w:rFonts w:ascii="標楷體" w:eastAsia="標楷體" w:hAnsi="標楷體"/>
          <w:sz w:val="32"/>
          <w:szCs w:val="32"/>
        </w:rPr>
        <w:t>出院準備及追蹤管理費之申報方式</w:t>
      </w:r>
      <w:r w:rsidR="00D004CF">
        <w:rPr>
          <w:rFonts w:ascii="標楷體" w:eastAsia="標楷體" w:hAnsi="標楷體" w:hint="eastAsia"/>
          <w:sz w:val="32"/>
          <w:szCs w:val="32"/>
        </w:rPr>
        <w:t>..............................</w:t>
      </w:r>
      <w:r w:rsidR="00D004CF" w:rsidRPr="00D004CF">
        <w:rPr>
          <w:rFonts w:ascii="Times New Roman" w:eastAsia="標楷體" w:hAnsi="Times New Roman"/>
          <w:sz w:val="32"/>
          <w:szCs w:val="32"/>
        </w:rPr>
        <w:t>21</w:t>
      </w:r>
    </w:p>
    <w:p w:rsidR="00D004CF" w:rsidRDefault="00D004CF" w:rsidP="00D004CF">
      <w:pPr>
        <w:pStyle w:val="a0"/>
        <w:ind w:left="282" w:hangingChars="88" w:hanging="282"/>
        <w:rPr>
          <w:rFonts w:ascii="Times New Roman" w:eastAsia="標楷體" w:hAnsi="Times New Roman" w:hint="eastAsia"/>
          <w:sz w:val="32"/>
          <w:szCs w:val="32"/>
        </w:rPr>
      </w:pPr>
      <w:r>
        <w:rPr>
          <w:rFonts w:ascii="Times New Roman" w:eastAsia="標楷體" w:hAnsi="Times New Roman" w:hint="eastAsia"/>
          <w:sz w:val="32"/>
          <w:szCs w:val="32"/>
        </w:rPr>
        <w:t>48.</w:t>
      </w:r>
      <w:r w:rsidRPr="00D004CF">
        <w:rPr>
          <w:rFonts w:ascii="Times New Roman" w:hAnsi="Times New Roman" w:hint="eastAsia"/>
        </w:rPr>
        <w:t xml:space="preserve"> </w:t>
      </w:r>
      <w:r w:rsidRPr="00D004CF">
        <w:rPr>
          <w:rFonts w:ascii="Times New Roman" w:eastAsia="標楷體" w:hAnsi="Times New Roman"/>
          <w:sz w:val="32"/>
          <w:szCs w:val="32"/>
        </w:rPr>
        <w:t>DRG</w:t>
      </w:r>
      <w:r w:rsidRPr="00D004CF">
        <w:rPr>
          <w:rFonts w:ascii="Times New Roman" w:eastAsia="標楷體" w:hAnsi="Times New Roman"/>
          <w:sz w:val="32"/>
          <w:szCs w:val="32"/>
        </w:rPr>
        <w:t>案件使用自費特材，未依規定申報被替代健保給付特材品項之處理方式？</w:t>
      </w:r>
      <w:r>
        <w:rPr>
          <w:rFonts w:ascii="Times New Roman" w:eastAsia="標楷體" w:hAnsi="Times New Roman"/>
          <w:sz w:val="32"/>
          <w:szCs w:val="32"/>
        </w:rPr>
        <w:t>……………………………………………………………………</w:t>
      </w:r>
      <w:r>
        <w:rPr>
          <w:rFonts w:ascii="Times New Roman" w:eastAsia="標楷體" w:hAnsi="Times New Roman" w:hint="eastAsia"/>
          <w:sz w:val="32"/>
          <w:szCs w:val="32"/>
        </w:rPr>
        <w:t>21</w:t>
      </w:r>
    </w:p>
    <w:p w:rsidR="00D004CF" w:rsidRPr="00D004CF" w:rsidRDefault="00D004CF" w:rsidP="00D004CF">
      <w:pPr>
        <w:pStyle w:val="a0"/>
        <w:ind w:left="282" w:hangingChars="88" w:hanging="282"/>
        <w:rPr>
          <w:rFonts w:ascii="Times New Roman" w:hAnsi="Times New Roman"/>
        </w:rPr>
      </w:pPr>
      <w:r>
        <w:rPr>
          <w:rFonts w:ascii="Times New Roman" w:eastAsia="標楷體" w:hAnsi="Times New Roman" w:hint="eastAsia"/>
          <w:sz w:val="32"/>
          <w:szCs w:val="32"/>
        </w:rPr>
        <w:t>49.</w:t>
      </w:r>
      <w:r w:rsidRPr="00D004CF">
        <w:rPr>
          <w:rFonts w:ascii="標楷體" w:eastAsia="標楷體" w:hAnsi="標楷體" w:hint="eastAsia"/>
          <w:sz w:val="32"/>
          <w:szCs w:val="32"/>
        </w:rPr>
        <w:t>矯正機關收容對象戒護外醫住院案件之申報方式?</w:t>
      </w:r>
      <w:r w:rsidRPr="00D004CF">
        <w:rPr>
          <w:rFonts w:ascii="Times New Roman" w:eastAsia="標楷體" w:hAnsi="Times New Roman"/>
          <w:sz w:val="32"/>
          <w:szCs w:val="32"/>
        </w:rPr>
        <w:t>........</w:t>
      </w:r>
      <w:r>
        <w:rPr>
          <w:rFonts w:ascii="Times New Roman" w:eastAsia="標楷體" w:hAnsi="Times New Roman" w:hint="eastAsia"/>
          <w:sz w:val="32"/>
          <w:szCs w:val="32"/>
        </w:rPr>
        <w:t>................</w:t>
      </w:r>
      <w:r w:rsidRPr="00D004CF">
        <w:rPr>
          <w:rFonts w:ascii="Times New Roman" w:eastAsia="標楷體" w:hAnsi="Times New Roman"/>
          <w:sz w:val="32"/>
          <w:szCs w:val="32"/>
        </w:rPr>
        <w:t>.........22</w:t>
      </w:r>
    </w:p>
    <w:p w:rsidR="004E7561" w:rsidRDefault="00230528">
      <w:pPr>
        <w:pStyle w:val="11"/>
        <w:sectPr w:rsidR="004E7561" w:rsidSect="004E7561">
          <w:footerReference w:type="default" r:id="rId47"/>
          <w:pgSz w:w="11906" w:h="16838"/>
          <w:pgMar w:top="851" w:right="720" w:bottom="851" w:left="720" w:header="720" w:footer="992" w:gutter="0"/>
          <w:pgNumType w:start="1"/>
          <w:cols w:space="720"/>
          <w:docGrid w:type="lines" w:linePitch="600" w:charSpace="40960"/>
        </w:sectPr>
      </w:pPr>
      <w:r>
        <w:fldChar w:fldCharType="end"/>
      </w:r>
    </w:p>
    <w:tbl>
      <w:tblPr>
        <w:tblW w:w="11057" w:type="dxa"/>
        <w:tblInd w:w="-86" w:type="dxa"/>
        <w:tblLayout w:type="fixed"/>
        <w:tblCellMar>
          <w:left w:w="28" w:type="dxa"/>
          <w:right w:w="28" w:type="dxa"/>
        </w:tblCellMar>
        <w:tblLook w:val="0000" w:firstRow="0" w:lastRow="0" w:firstColumn="0" w:lastColumn="0" w:noHBand="0" w:noVBand="0"/>
      </w:tblPr>
      <w:tblGrid>
        <w:gridCol w:w="142"/>
        <w:gridCol w:w="4253"/>
        <w:gridCol w:w="6662"/>
      </w:tblGrid>
      <w:tr w:rsidR="00230528" w:rsidTr="004E7561">
        <w:trPr>
          <w:trHeight w:val="390"/>
          <w:tblHeader/>
        </w:trPr>
        <w:tc>
          <w:tcPr>
            <w:tcW w:w="142" w:type="dxa"/>
            <w:tcBorders>
              <w:right w:val="single" w:sz="4" w:space="0" w:color="000000"/>
            </w:tcBorders>
            <w:shd w:val="clear" w:color="auto" w:fill="auto"/>
          </w:tcPr>
          <w:p w:rsidR="00230528" w:rsidRDefault="00230528">
            <w:pPr>
              <w:pStyle w:val="a0"/>
              <w:pageBreakBefore/>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vAlign w:val="center"/>
          </w:tcPr>
          <w:p w:rsidR="00230528" w:rsidRDefault="00230528">
            <w:pPr>
              <w:pStyle w:val="a0"/>
              <w:widowControl/>
              <w:spacing w:line="560" w:lineRule="exact"/>
              <w:jc w:val="center"/>
            </w:pPr>
            <w:r>
              <w:rPr>
                <w:rStyle w:val="a4"/>
                <w:rFonts w:ascii="Times New Roman" w:eastAsia="標楷體" w:hAnsi="Times New Roman"/>
                <w:b/>
                <w:kern w:val="0"/>
                <w:sz w:val="28"/>
                <w:szCs w:val="28"/>
              </w:rPr>
              <w:t>問題</w:t>
            </w:r>
          </w:p>
        </w:tc>
        <w:tc>
          <w:tcPr>
            <w:tcW w:w="6662" w:type="dxa"/>
            <w:tcBorders>
              <w:top w:val="single" w:sz="4" w:space="0" w:color="000000"/>
              <w:bottom w:val="single" w:sz="4" w:space="0" w:color="000000"/>
              <w:right w:val="single" w:sz="4" w:space="0" w:color="000000"/>
            </w:tcBorders>
            <w:shd w:val="clear" w:color="auto" w:fill="auto"/>
            <w:vAlign w:val="center"/>
          </w:tcPr>
          <w:p w:rsidR="00230528" w:rsidRDefault="00230528">
            <w:pPr>
              <w:pStyle w:val="a0"/>
              <w:widowControl/>
              <w:spacing w:line="560" w:lineRule="exact"/>
              <w:jc w:val="center"/>
            </w:pPr>
            <w:r>
              <w:rPr>
                <w:rStyle w:val="a4"/>
                <w:rFonts w:ascii="Times New Roman" w:eastAsia="標楷體" w:hAnsi="Times New Roman"/>
                <w:b/>
                <w:sz w:val="28"/>
              </w:rPr>
              <w:t>保險人</w:t>
            </w:r>
            <w:r>
              <w:rPr>
                <w:rStyle w:val="a4"/>
                <w:rFonts w:ascii="Times New Roman" w:eastAsia="標楷體" w:hAnsi="Times New Roman"/>
                <w:b/>
                <w:kern w:val="0"/>
                <w:sz w:val="28"/>
                <w:szCs w:val="28"/>
              </w:rPr>
              <w:t>說明</w:t>
            </w:r>
          </w:p>
        </w:tc>
      </w:tr>
      <w:tr w:rsidR="00230528" w:rsidTr="004E7561">
        <w:trPr>
          <w:trHeight w:val="82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55" w:hanging="255"/>
            </w:pPr>
            <w:bookmarkStart w:id="0" w:name="_Toc392256908"/>
            <w:r>
              <w:rPr>
                <w:rStyle w:val="a4"/>
                <w:rFonts w:ascii="Times New Roman" w:hAnsi="Times New Roman"/>
                <w:szCs w:val="28"/>
              </w:rPr>
              <w:t>1.</w:t>
            </w:r>
            <w:r>
              <w:rPr>
                <w:rStyle w:val="a4"/>
                <w:rFonts w:ascii="Times New Roman" w:hAnsi="Times New Roman"/>
                <w:szCs w:val="28"/>
              </w:rPr>
              <w:t>公告</w:t>
            </w:r>
            <w:r>
              <w:rPr>
                <w:rStyle w:val="a4"/>
                <w:rFonts w:ascii="Times New Roman" w:hAnsi="Times New Roman"/>
                <w:szCs w:val="28"/>
              </w:rPr>
              <w:t>Tw-DRGs</w:t>
            </w:r>
            <w:r>
              <w:rPr>
                <w:rStyle w:val="a4"/>
                <w:rFonts w:ascii="Times New Roman" w:hAnsi="Times New Roman"/>
                <w:szCs w:val="28"/>
              </w:rPr>
              <w:t>之權重</w:t>
            </w:r>
            <w:r>
              <w:rPr>
                <w:rStyle w:val="a4"/>
                <w:rFonts w:ascii="Times New Roman" w:hAnsi="Times New Roman"/>
                <w:szCs w:val="28"/>
              </w:rPr>
              <w:t>(RW)</w:t>
            </w:r>
            <w:r>
              <w:rPr>
                <w:rStyle w:val="a4"/>
                <w:rFonts w:ascii="Times New Roman" w:hAnsi="Times New Roman"/>
                <w:szCs w:val="28"/>
              </w:rPr>
              <w:t>、標準給付額</w:t>
            </w:r>
            <w:r>
              <w:rPr>
                <w:rStyle w:val="a4"/>
                <w:rFonts w:ascii="Times New Roman" w:hAnsi="Times New Roman"/>
                <w:szCs w:val="28"/>
              </w:rPr>
              <w:t>(SPR)</w:t>
            </w:r>
            <w:r>
              <w:rPr>
                <w:rStyle w:val="a4"/>
                <w:rFonts w:ascii="Times New Roman" w:hAnsi="Times New Roman"/>
                <w:szCs w:val="28"/>
              </w:rPr>
              <w:t>、上</w:t>
            </w:r>
            <w:r>
              <w:rPr>
                <w:rStyle w:val="a4"/>
                <w:rFonts w:ascii="Times New Roman" w:hAnsi="Times New Roman"/>
                <w:szCs w:val="28"/>
              </w:rPr>
              <w:t>(</w:t>
            </w:r>
            <w:r>
              <w:rPr>
                <w:rStyle w:val="a4"/>
                <w:rFonts w:ascii="Times New Roman" w:hAnsi="Times New Roman"/>
                <w:szCs w:val="28"/>
              </w:rPr>
              <w:t>下</w:t>
            </w:r>
            <w:r>
              <w:rPr>
                <w:rStyle w:val="a4"/>
                <w:rFonts w:ascii="Times New Roman" w:hAnsi="Times New Roman"/>
                <w:szCs w:val="28"/>
              </w:rPr>
              <w:t>)</w:t>
            </w:r>
            <w:r>
              <w:rPr>
                <w:rStyle w:val="a4"/>
                <w:rFonts w:ascii="Times New Roman" w:hAnsi="Times New Roman"/>
                <w:szCs w:val="28"/>
              </w:rPr>
              <w:t>限臨界點、幾何平均住院天數是否每年會重新計算及公告？</w:t>
            </w:r>
            <w:r>
              <w:rPr>
                <w:rStyle w:val="a4"/>
                <w:rFonts w:ascii="Times New Roman" w:hAnsi="Times New Roman"/>
                <w:szCs w:val="28"/>
              </w:rPr>
              <w:br/>
            </w:r>
            <w:bookmarkEnd w:id="0"/>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1.RW</w:t>
            </w:r>
            <w:r>
              <w:rPr>
                <w:rStyle w:val="a4"/>
                <w:rFonts w:ascii="Times New Roman" w:eastAsia="標楷體" w:hAnsi="Times New Roman"/>
                <w:kern w:val="0"/>
                <w:sz w:val="28"/>
                <w:szCs w:val="28"/>
              </w:rPr>
              <w:t>部分：</w:t>
            </w:r>
          </w:p>
          <w:p w:rsidR="00230528" w:rsidRDefault="00230528">
            <w:pPr>
              <w:pStyle w:val="a0"/>
              <w:widowControl/>
              <w:spacing w:line="560" w:lineRule="exact"/>
              <w:ind w:left="272" w:hanging="272"/>
              <w:rPr>
                <w:rStyle w:val="a4"/>
                <w:rFonts w:ascii="Times New Roman" w:eastAsia="標楷體" w:hAnsi="Times New Roman"/>
                <w:kern w:val="0"/>
                <w:sz w:val="28"/>
                <w:szCs w:val="28"/>
              </w:rPr>
            </w:pPr>
            <w:r>
              <w:rPr>
                <w:rStyle w:val="a4"/>
                <w:rFonts w:ascii="Times New Roman" w:eastAsia="標楷體" w:hAnsi="Times New Roman"/>
                <w:kern w:val="0"/>
                <w:sz w:val="28"/>
                <w:szCs w:val="28"/>
              </w:rPr>
              <w:t>(1)99</w:t>
            </w:r>
            <w:r>
              <w:rPr>
                <w:rStyle w:val="a4"/>
                <w:rFonts w:ascii="Times New Roman" w:eastAsia="標楷體" w:hAnsi="Times New Roman"/>
                <w:kern w:val="0"/>
                <w:sz w:val="28"/>
                <w:szCs w:val="28"/>
              </w:rPr>
              <w:t>年至</w:t>
            </w:r>
            <w:r>
              <w:rPr>
                <w:rStyle w:val="a4"/>
                <w:rFonts w:ascii="Times New Roman" w:eastAsia="標楷體" w:hAnsi="Times New Roman"/>
                <w:kern w:val="0"/>
                <w:sz w:val="28"/>
                <w:szCs w:val="28"/>
              </w:rPr>
              <w:t>102</w:t>
            </w:r>
            <w:r>
              <w:rPr>
                <w:rStyle w:val="a4"/>
                <w:rFonts w:ascii="Times New Roman" w:eastAsia="標楷體" w:hAnsi="Times New Roman"/>
                <w:kern w:val="0"/>
                <w:sz w:val="28"/>
                <w:szCs w:val="28"/>
              </w:rPr>
              <w:t>年適用之權重、上</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下限臨界點、幾何平均住院日，因為避免不同</w:t>
            </w:r>
            <w:r>
              <w:rPr>
                <w:rStyle w:val="a4"/>
                <w:rFonts w:ascii="Times New Roman" w:eastAsia="標楷體" w:hAnsi="Times New Roman"/>
                <w:kern w:val="0"/>
                <w:sz w:val="28"/>
                <w:szCs w:val="28"/>
              </w:rPr>
              <w:t>MDC</w:t>
            </w:r>
            <w:r>
              <w:rPr>
                <w:rStyle w:val="a4"/>
                <w:rFonts w:ascii="Times New Roman" w:eastAsia="標楷體" w:hAnsi="Times New Roman"/>
                <w:kern w:val="0"/>
                <w:sz w:val="28"/>
                <w:szCs w:val="28"/>
              </w:rPr>
              <w:t>導入年度差異，導致上述參數有系統性的計算誤差，經</w:t>
            </w:r>
            <w:r>
              <w:rPr>
                <w:rStyle w:val="a4"/>
                <w:rFonts w:ascii="Times New Roman" w:eastAsia="標楷體" w:hAnsi="Times New Roman"/>
                <w:kern w:val="0"/>
                <w:sz w:val="28"/>
                <w:szCs w:val="28"/>
              </w:rPr>
              <w:t>99.11.11</w:t>
            </w:r>
            <w:r>
              <w:rPr>
                <w:rStyle w:val="a4"/>
                <w:rFonts w:ascii="Times New Roman" w:eastAsia="標楷體" w:hAnsi="Times New Roman"/>
                <w:kern w:val="0"/>
                <w:sz w:val="28"/>
                <w:szCs w:val="28"/>
              </w:rPr>
              <w:t>召開之</w:t>
            </w:r>
            <w:r>
              <w:rPr>
                <w:rStyle w:val="a4"/>
                <w:rFonts w:ascii="Times New Roman" w:eastAsia="標楷體" w:hAnsi="Times New Roman"/>
                <w:kern w:val="0"/>
                <w:sz w:val="28"/>
                <w:szCs w:val="28"/>
              </w:rPr>
              <w:t>99</w:t>
            </w:r>
            <w:r>
              <w:rPr>
                <w:rStyle w:val="a4"/>
                <w:rFonts w:ascii="Times New Roman" w:eastAsia="標楷體" w:hAnsi="Times New Roman"/>
                <w:kern w:val="0"/>
                <w:sz w:val="28"/>
                <w:szCs w:val="28"/>
              </w:rPr>
              <w:t>年度第</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次全民健康保險醫療給付協議會議討論，於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全部導入後適當時機，整體重新計算，導入過程中維持以</w:t>
            </w:r>
            <w:r>
              <w:rPr>
                <w:rStyle w:val="a4"/>
                <w:rFonts w:ascii="Times New Roman" w:eastAsia="標楷體" w:hAnsi="Times New Roman"/>
                <w:kern w:val="0"/>
                <w:sz w:val="28"/>
                <w:szCs w:val="28"/>
              </w:rPr>
              <w:t>97</w:t>
            </w:r>
            <w:r>
              <w:rPr>
                <w:rStyle w:val="a4"/>
                <w:rFonts w:ascii="Times New Roman" w:eastAsia="標楷體" w:hAnsi="Times New Roman"/>
                <w:kern w:val="0"/>
                <w:sz w:val="28"/>
                <w:szCs w:val="28"/>
              </w:rPr>
              <w:t>年申報資料進行統計。</w:t>
            </w:r>
          </w:p>
          <w:p w:rsidR="00230528" w:rsidRDefault="00230528">
            <w:pPr>
              <w:pStyle w:val="a0"/>
              <w:widowControl/>
              <w:spacing w:line="560" w:lineRule="exact"/>
              <w:ind w:left="274" w:hanging="274"/>
              <w:rPr>
                <w:rStyle w:val="a4"/>
                <w:rFonts w:ascii="Times New Roman" w:eastAsia="標楷體" w:hAnsi="Times New Roman"/>
                <w:kern w:val="0"/>
                <w:sz w:val="28"/>
                <w:szCs w:val="28"/>
              </w:rPr>
            </w:pPr>
            <w:r>
              <w:rPr>
                <w:rStyle w:val="a4"/>
                <w:rFonts w:ascii="Times New Roman" w:eastAsia="標楷體" w:hAnsi="Times New Roman"/>
                <w:kern w:val="0"/>
                <w:sz w:val="28"/>
                <w:szCs w:val="28"/>
              </w:rPr>
              <w:t>(2)103</w:t>
            </w:r>
            <w:r>
              <w:rPr>
                <w:rStyle w:val="a4"/>
                <w:rFonts w:ascii="Times New Roman" w:eastAsia="標楷體" w:hAnsi="Times New Roman"/>
                <w:kern w:val="0"/>
                <w:sz w:val="28"/>
                <w:szCs w:val="28"/>
              </w:rPr>
              <w:t>年起適用之參數：依</w:t>
            </w:r>
            <w:r>
              <w:rPr>
                <w:rStyle w:val="a4"/>
                <w:rFonts w:ascii="Times New Roman" w:eastAsia="標楷體" w:hAnsi="Times New Roman"/>
                <w:kern w:val="0"/>
                <w:sz w:val="28"/>
                <w:szCs w:val="28"/>
              </w:rPr>
              <w:t>102</w:t>
            </w:r>
            <w:r>
              <w:rPr>
                <w:rStyle w:val="a4"/>
                <w:rFonts w:ascii="Times New Roman" w:eastAsia="標楷體" w:hAnsi="Times New Roman"/>
                <w:kern w:val="0"/>
                <w:sz w:val="28"/>
                <w:szCs w:val="28"/>
              </w:rPr>
              <w:t>年度第</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次</w:t>
            </w:r>
            <w:r>
              <w:rPr>
                <w:rStyle w:val="a4"/>
                <w:rFonts w:ascii="Times New Roman" w:eastAsia="標楷體" w:hAnsi="Times New Roman"/>
                <w:kern w:val="0"/>
                <w:sz w:val="28"/>
                <w:szCs w:val="28"/>
              </w:rPr>
              <w:t>(102</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12</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19</w:t>
            </w:r>
            <w:r>
              <w:rPr>
                <w:rStyle w:val="a4"/>
                <w:rFonts w:ascii="Times New Roman" w:eastAsia="標楷體" w:hAnsi="Times New Roman"/>
                <w:kern w:val="0"/>
                <w:sz w:val="28"/>
                <w:szCs w:val="28"/>
              </w:rPr>
              <w:t>日</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「全民健康保險醫療服務給付項目及支付標準共同擬訂會議決議，</w:t>
            </w:r>
            <w:r>
              <w:rPr>
                <w:rStyle w:val="a4"/>
                <w:rFonts w:ascii="Times New Roman" w:eastAsia="標楷體" w:hAnsi="Times New Roman"/>
                <w:kern w:val="0"/>
                <w:sz w:val="28"/>
                <w:szCs w:val="28"/>
              </w:rPr>
              <w:t>103</w:t>
            </w:r>
            <w:r>
              <w:rPr>
                <w:rStyle w:val="a4"/>
                <w:rFonts w:ascii="Times New Roman" w:eastAsia="標楷體" w:hAnsi="Times New Roman"/>
                <w:kern w:val="0"/>
                <w:sz w:val="28"/>
                <w:szCs w:val="28"/>
              </w:rPr>
              <w:t>年起適用之</w:t>
            </w:r>
            <w:r>
              <w:rPr>
                <w:rStyle w:val="a4"/>
                <w:rFonts w:ascii="Times New Roman" w:eastAsia="標楷體" w:hAnsi="Times New Roman"/>
                <w:kern w:val="0"/>
                <w:sz w:val="28"/>
                <w:szCs w:val="28"/>
              </w:rPr>
              <w:t>RW</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SPR</w:t>
            </w:r>
            <w:r>
              <w:rPr>
                <w:rStyle w:val="a4"/>
                <w:rFonts w:ascii="Times New Roman" w:eastAsia="標楷體" w:hAnsi="Times New Roman"/>
                <w:kern w:val="0"/>
                <w:sz w:val="28"/>
                <w:szCs w:val="28"/>
              </w:rPr>
              <w:t>、醫療服務點數上限臨界點、醫療服務點數下限臨界點等相關計算參數修訂為依前一年</w:t>
            </w:r>
            <w:r>
              <w:rPr>
                <w:rStyle w:val="a4"/>
                <w:rFonts w:ascii="Times New Roman" w:eastAsia="標楷體" w:hAnsi="Times New Roman"/>
                <w:kern w:val="0"/>
                <w:sz w:val="28"/>
                <w:szCs w:val="28"/>
              </w:rPr>
              <w:t>(101)</w:t>
            </w:r>
            <w:r>
              <w:rPr>
                <w:rStyle w:val="a4"/>
                <w:rFonts w:ascii="Times New Roman" w:eastAsia="標楷體" w:hAnsi="Times New Roman"/>
                <w:kern w:val="0"/>
                <w:sz w:val="28"/>
                <w:szCs w:val="28"/>
              </w:rPr>
              <w:t>醫療服務點數計算，並於次年</w:t>
            </w:r>
            <w:r>
              <w:rPr>
                <w:rStyle w:val="a4"/>
                <w:rFonts w:ascii="Times New Roman" w:eastAsia="標楷體" w:hAnsi="Times New Roman"/>
                <w:kern w:val="0"/>
                <w:sz w:val="28"/>
                <w:szCs w:val="28"/>
              </w:rPr>
              <w:t>(103)</w:t>
            </w:r>
            <w:r>
              <w:rPr>
                <w:rStyle w:val="a4"/>
                <w:rFonts w:ascii="Times New Roman" w:eastAsia="標楷體" w:hAnsi="Times New Roman"/>
                <w:kern w:val="0"/>
                <w:sz w:val="28"/>
                <w:szCs w:val="28"/>
              </w:rPr>
              <w:t>年適用。</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標準給付額：每年依時間遞延依序，按通則規定</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「實施前後總點數中平原則」及「超過上限臨界點之支付點數占總</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支付點數之</w:t>
            </w:r>
            <w:r>
              <w:rPr>
                <w:rStyle w:val="a4"/>
                <w:rFonts w:ascii="Times New Roman" w:eastAsia="標楷體" w:hAnsi="Times New Roman"/>
                <w:kern w:val="0"/>
                <w:sz w:val="28"/>
                <w:szCs w:val="28"/>
              </w:rPr>
              <w:t>5.1%</w:t>
            </w:r>
            <w:r>
              <w:rPr>
                <w:rStyle w:val="a4"/>
                <w:rFonts w:ascii="Times New Roman" w:eastAsia="標楷體" w:hAnsi="Times New Roman"/>
                <w:kern w:val="0"/>
                <w:sz w:val="28"/>
                <w:szCs w:val="28"/>
              </w:rPr>
              <w:t>原則」之原則重新計算，例如目前</w:t>
            </w:r>
            <w:r>
              <w:rPr>
                <w:rStyle w:val="a4"/>
                <w:rFonts w:ascii="Times New Roman" w:eastAsia="標楷體" w:hAnsi="Times New Roman"/>
                <w:kern w:val="0"/>
                <w:sz w:val="28"/>
                <w:szCs w:val="28"/>
              </w:rPr>
              <w:t>103</w:t>
            </w:r>
            <w:r>
              <w:rPr>
                <w:rStyle w:val="a4"/>
                <w:rFonts w:ascii="Times New Roman" w:eastAsia="標楷體" w:hAnsi="Times New Roman"/>
                <w:kern w:val="0"/>
                <w:sz w:val="28"/>
                <w:szCs w:val="28"/>
              </w:rPr>
              <w:t>年採</w:t>
            </w:r>
            <w:r>
              <w:rPr>
                <w:rStyle w:val="a4"/>
                <w:rFonts w:ascii="Times New Roman" w:eastAsia="標楷體" w:hAnsi="Times New Roman"/>
                <w:kern w:val="0"/>
                <w:sz w:val="28"/>
                <w:szCs w:val="28"/>
              </w:rPr>
              <w:t>101</w:t>
            </w:r>
            <w:r>
              <w:rPr>
                <w:rStyle w:val="a4"/>
                <w:rFonts w:ascii="Times New Roman" w:eastAsia="標楷體" w:hAnsi="Times New Roman"/>
                <w:kern w:val="0"/>
                <w:sz w:val="28"/>
                <w:szCs w:val="28"/>
              </w:rPr>
              <w:t>年住院申報資料計算，同時校正</w:t>
            </w:r>
            <w:r>
              <w:rPr>
                <w:rStyle w:val="a4"/>
                <w:rFonts w:ascii="Times New Roman" w:eastAsia="標楷體" w:hAnsi="Times New Roman"/>
                <w:kern w:val="0"/>
                <w:sz w:val="28"/>
                <w:szCs w:val="28"/>
              </w:rPr>
              <w:t>101</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102</w:t>
            </w:r>
            <w:r>
              <w:rPr>
                <w:rStyle w:val="a4"/>
                <w:rFonts w:ascii="Times New Roman" w:eastAsia="標楷體" w:hAnsi="Times New Roman"/>
                <w:kern w:val="0"/>
                <w:sz w:val="28"/>
                <w:szCs w:val="28"/>
              </w:rPr>
              <w:t>年期間支付標準調整內容。</w:t>
            </w:r>
          </w:p>
        </w:tc>
      </w:tr>
      <w:tr w:rsidR="00230528" w:rsidTr="004E7561">
        <w:trPr>
          <w:trHeight w:val="43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55" w:hanging="255"/>
              <w:rPr>
                <w:rStyle w:val="a4"/>
                <w:rFonts w:ascii="Times New Roman" w:hAnsi="Times New Roman" w:hint="eastAsia"/>
                <w:szCs w:val="28"/>
              </w:rPr>
            </w:pPr>
            <w:bookmarkStart w:id="1" w:name="_Toc392256909"/>
            <w:r>
              <w:rPr>
                <w:rStyle w:val="a4"/>
                <w:rFonts w:ascii="Times New Roman" w:hAnsi="Times New Roman"/>
                <w:szCs w:val="28"/>
              </w:rPr>
              <w:t>2.</w:t>
            </w:r>
            <w:r>
              <w:rPr>
                <w:rStyle w:val="a4"/>
                <w:rFonts w:ascii="Times New Roman" w:hAnsi="Times New Roman"/>
                <w:szCs w:val="28"/>
              </w:rPr>
              <w:t>由門或急診當次轉住院之門、急診費用是否包含於當次</w:t>
            </w:r>
            <w:r>
              <w:rPr>
                <w:rStyle w:val="a4"/>
                <w:rFonts w:ascii="Times New Roman" w:hAnsi="Times New Roman"/>
                <w:szCs w:val="28"/>
              </w:rPr>
              <w:t>DRG</w:t>
            </w:r>
            <w:r>
              <w:rPr>
                <w:rStyle w:val="a4"/>
                <w:rFonts w:ascii="Times New Roman" w:hAnsi="Times New Roman"/>
                <w:szCs w:val="28"/>
              </w:rPr>
              <w:t>支付點數內？</w:t>
            </w:r>
            <w:bookmarkEnd w:id="1"/>
          </w:p>
          <w:p w:rsidR="004E7561" w:rsidRPr="004E7561" w:rsidRDefault="004E7561" w:rsidP="00C404CB">
            <w:pPr>
              <w:pStyle w:val="af5"/>
              <w:ind w:left="255" w:hanging="255"/>
              <w:rPr>
                <w:color w:val="0000FF"/>
                <w:u w:val="single"/>
              </w:rPr>
            </w:pPr>
            <w:r>
              <w:rPr>
                <w:rStyle w:val="a4"/>
                <w:rFonts w:ascii="Times New Roman" w:hAnsi="Times New Roman" w:hint="eastAsia"/>
                <w:szCs w:val="28"/>
              </w:rPr>
              <w:t xml:space="preserve"> </w:t>
            </w:r>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55" w:hanging="255"/>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依</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支付通則二：</w:t>
            </w:r>
            <w:r>
              <w:rPr>
                <w:rStyle w:val="a4"/>
                <w:rFonts w:ascii="Times New Roman" w:eastAsia="標楷體" w:hAnsi="Times New Roman"/>
                <w:sz w:val="28"/>
                <w:szCs w:val="28"/>
              </w:rPr>
              <w:t>各</w:t>
            </w:r>
            <w:r>
              <w:rPr>
                <w:rStyle w:val="a4"/>
                <w:rFonts w:ascii="Times New Roman" w:eastAsia="標楷體" w:hAnsi="Times New Roman"/>
                <w:sz w:val="28"/>
                <w:szCs w:val="28"/>
              </w:rPr>
              <w:t>Tw-DRGs</w:t>
            </w:r>
            <w:r>
              <w:rPr>
                <w:rStyle w:val="a4"/>
                <w:rFonts w:ascii="Times New Roman" w:eastAsia="標楷體" w:hAnsi="Times New Roman"/>
                <w:sz w:val="28"/>
                <w:szCs w:val="28"/>
              </w:rPr>
              <w:t>之給付，已包含當次住院屬本標準及全民健康保險藥物給付項目及支付標準所訂各項相關費用，特約醫療院所不得將屬當次住院範圍之相關費用移轉至門診或急診申報，或採分次住院，或除病患同意使用符合「全</w:t>
            </w:r>
            <w:r>
              <w:rPr>
                <w:rStyle w:val="a4"/>
                <w:rFonts w:ascii="Times New Roman" w:eastAsia="標楷體" w:hAnsi="Times New Roman"/>
                <w:sz w:val="28"/>
                <w:szCs w:val="28"/>
              </w:rPr>
              <w:lastRenderedPageBreak/>
              <w:t>民健康保險保險醫事服務機構收取自費特材費用規範」規定之特材外，另行向保險對象收取給付範圍費用，違反本項規定者，整筆醫療費用不予支付。</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sidRPr="004E7561">
              <w:rPr>
                <w:rStyle w:val="a4"/>
                <w:rFonts w:ascii="標楷體" w:eastAsia="標楷體" w:hAnsi="標楷體"/>
                <w:kern w:val="0"/>
                <w:sz w:val="28"/>
                <w:szCs w:val="28"/>
              </w:rPr>
              <w:t>考量由急診轉住院之個案，其主要處置項目大部分在急診已完成，如未包括急診費用，</w:t>
            </w:r>
            <w:r w:rsidRPr="004E7561">
              <w:rPr>
                <w:rStyle w:val="a4"/>
                <w:rFonts w:ascii="Times New Roman" w:eastAsia="標楷體" w:hAnsi="Times New Roman"/>
                <w:kern w:val="0"/>
                <w:sz w:val="28"/>
                <w:szCs w:val="28"/>
              </w:rPr>
              <w:t>恐低估</w:t>
            </w:r>
            <w:r w:rsidRPr="004E7561">
              <w:rPr>
                <w:rStyle w:val="a4"/>
                <w:rFonts w:ascii="Times New Roman" w:eastAsia="標楷體" w:hAnsi="Times New Roman"/>
                <w:kern w:val="0"/>
                <w:sz w:val="28"/>
                <w:szCs w:val="28"/>
              </w:rPr>
              <w:t>DRG</w:t>
            </w:r>
            <w:r w:rsidRPr="004E7561">
              <w:rPr>
                <w:rStyle w:val="a4"/>
                <w:rFonts w:ascii="Times New Roman" w:eastAsia="標楷體" w:hAnsi="Times New Roman"/>
                <w:kern w:val="0"/>
                <w:sz w:val="28"/>
                <w:szCs w:val="28"/>
              </w:rPr>
              <w:t>之醫</w:t>
            </w:r>
            <w:r w:rsidRPr="004E7561">
              <w:rPr>
                <w:rStyle w:val="a4"/>
                <w:rFonts w:ascii="標楷體" w:eastAsia="標楷體" w:hAnsi="標楷體"/>
                <w:kern w:val="0"/>
                <w:sz w:val="28"/>
                <w:szCs w:val="28"/>
              </w:rPr>
              <w:t>療費用，</w:t>
            </w:r>
            <w:r w:rsidRPr="004E7561">
              <w:rPr>
                <w:rStyle w:val="a4"/>
                <w:rFonts w:ascii="Times New Roman" w:eastAsia="標楷體" w:hAnsi="Times New Roman"/>
                <w:kern w:val="0"/>
                <w:sz w:val="28"/>
                <w:szCs w:val="28"/>
              </w:rPr>
              <w:t>本署經與專科醫學會溝通</w:t>
            </w:r>
            <w:r w:rsidRPr="004E7561">
              <w:rPr>
                <w:rStyle w:val="a4"/>
                <w:rFonts w:ascii="標楷體" w:eastAsia="標楷體" w:hAnsi="標楷體"/>
                <w:kern w:val="0"/>
                <w:sz w:val="28"/>
                <w:szCs w:val="28"/>
              </w:rPr>
              <w:t>並經與醫界協商，</w:t>
            </w:r>
            <w:r>
              <w:rPr>
                <w:rStyle w:val="a4"/>
                <w:rFonts w:ascii="Times New Roman" w:eastAsia="標楷體" w:hAnsi="Times New Roman"/>
                <w:kern w:val="0"/>
                <w:sz w:val="28"/>
                <w:szCs w:val="28"/>
              </w:rPr>
              <w:t>本署計算</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參數</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如相對權重、標準給付額</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時</w:t>
            </w:r>
            <w:r>
              <w:rPr>
                <w:rStyle w:val="a4"/>
                <w:rFonts w:ascii="標楷體" w:eastAsia="標楷體" w:hAnsi="標楷體"/>
                <w:kern w:val="0"/>
                <w:sz w:val="28"/>
                <w:szCs w:val="28"/>
              </w:rPr>
              <w:t>，</w:t>
            </w:r>
            <w:r>
              <w:rPr>
                <w:rStyle w:val="a4"/>
                <w:rFonts w:ascii="Times New Roman" w:eastAsia="標楷體" w:hAnsi="Times New Roman"/>
                <w:kern w:val="0"/>
                <w:sz w:val="28"/>
                <w:szCs w:val="28"/>
              </w:rPr>
              <w:t>按當次住院申報資料進行統計，</w:t>
            </w:r>
            <w:r w:rsidRPr="004E7561">
              <w:rPr>
                <w:rStyle w:val="a4"/>
                <w:rFonts w:ascii="Times New Roman" w:eastAsia="標楷體" w:hAnsi="Times New Roman"/>
                <w:kern w:val="0"/>
                <w:sz w:val="28"/>
                <w:szCs w:val="28"/>
              </w:rPr>
              <w:t>並包含</w:t>
            </w:r>
            <w:r w:rsidRPr="004E7561">
              <w:rPr>
                <w:rStyle w:val="a4"/>
                <w:rFonts w:ascii="Times New Roman" w:eastAsia="標楷體" w:hAnsi="Times New Roman"/>
                <w:sz w:val="28"/>
                <w:szCs w:val="28"/>
              </w:rPr>
              <w:t>當次由急診轉住院之急診費用</w:t>
            </w:r>
            <w:r w:rsidRPr="004E7561">
              <w:rPr>
                <w:rStyle w:val="a4"/>
                <w:rFonts w:ascii="Times New Roman" w:eastAsia="標楷體" w:hAnsi="Times New Roman"/>
                <w:kern w:val="0"/>
                <w:sz w:val="28"/>
                <w:szCs w:val="28"/>
              </w:rPr>
              <w:t>。</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3" w:hanging="255"/>
              <w:rPr>
                <w:rFonts w:ascii="Times New Roman" w:hAnsi="Times New Roman"/>
                <w:szCs w:val="28"/>
              </w:rPr>
            </w:pPr>
            <w:bookmarkStart w:id="2" w:name="_Toc392256910"/>
            <w:r>
              <w:rPr>
                <w:rStyle w:val="a4"/>
                <w:rFonts w:ascii="Times New Roman" w:hAnsi="Times New Roman"/>
                <w:szCs w:val="28"/>
              </w:rPr>
              <w:t>3.</w:t>
            </w:r>
            <w:r>
              <w:rPr>
                <w:rStyle w:val="a4"/>
                <w:rFonts w:ascii="Times New Roman" w:hAnsi="Times New Roman"/>
                <w:szCs w:val="28"/>
              </w:rPr>
              <w:t>個案實際醫療點數費用大於上限臨界點之邊際成本如何計算？</w:t>
            </w:r>
            <w:r>
              <w:rPr>
                <w:rStyle w:val="a4"/>
                <w:rFonts w:ascii="Times New Roman" w:hAnsi="Times New Roman"/>
                <w:szCs w:val="28"/>
              </w:rPr>
              <w:br/>
            </w:r>
            <w:bookmarkEnd w:id="2"/>
          </w:p>
          <w:p w:rsidR="00230528" w:rsidRDefault="00230528">
            <w:pPr>
              <w:pStyle w:val="a0"/>
              <w:spacing w:line="560" w:lineRule="exact"/>
              <w:ind w:left="240"/>
              <w:rPr>
                <w:rFonts w:ascii="Times New Roman" w:eastAsia="標楷體" w:hAnsi="Times New Roman"/>
                <w:sz w:val="28"/>
                <w:szCs w:val="28"/>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「實際醫療服務點數」大於「上限臨界點」者，依規定加計邊際成本。在實際醫療服務點數大於上限臨界點的前題下，與「</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支付定額」有下列三種情況，其邊際成本計算方式一併說明如下：</w:t>
            </w:r>
          </w:p>
          <w:p w:rsidR="00230528" w:rsidRDefault="00230528" w:rsidP="00DD7659">
            <w:pPr>
              <w:pStyle w:val="a0"/>
              <w:widowControl/>
              <w:numPr>
                <w:ilvl w:val="0"/>
                <w:numId w:val="2"/>
              </w:numPr>
              <w:tabs>
                <w:tab w:val="clear" w:pos="480"/>
                <w:tab w:val="num" w:pos="369"/>
                <w:tab w:val="left" w:pos="511"/>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w:t>
            </w:r>
            <w:r>
              <w:rPr>
                <w:rStyle w:val="a4"/>
                <w:rFonts w:ascii="Times New Roman" w:eastAsia="標楷體" w:hAnsi="Times New Roman"/>
                <w:kern w:val="0"/>
                <w:sz w:val="28"/>
                <w:szCs w:val="28"/>
              </w:rPr>
              <w:t>&lt;</w:t>
            </w:r>
            <w:r>
              <w:rPr>
                <w:rStyle w:val="a4"/>
                <w:rFonts w:ascii="Times New Roman" w:eastAsia="標楷體" w:hAnsi="Times New Roman"/>
                <w:kern w:val="0"/>
                <w:sz w:val="28"/>
                <w:szCs w:val="28"/>
              </w:rPr>
              <w:t>上限臨界點</w:t>
            </w:r>
            <w:r>
              <w:rPr>
                <w:rStyle w:val="a4"/>
                <w:rFonts w:ascii="Times New Roman" w:eastAsia="標楷體" w:hAnsi="Times New Roman"/>
                <w:kern w:val="0"/>
                <w:sz w:val="28"/>
                <w:szCs w:val="28"/>
              </w:rPr>
              <w:t>&lt;</w:t>
            </w:r>
            <w:r>
              <w:rPr>
                <w:rStyle w:val="a4"/>
                <w:rFonts w:ascii="Times New Roman" w:eastAsia="標楷體" w:hAnsi="Times New Roman"/>
                <w:kern w:val="0"/>
                <w:sz w:val="28"/>
                <w:szCs w:val="28"/>
              </w:rPr>
              <w:t>實際醫療服務點數：邊際成本</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實際醫療服務點數</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上限臨界點</w:t>
            </w:r>
            <w:r>
              <w:rPr>
                <w:rStyle w:val="a4"/>
                <w:rFonts w:ascii="Times New Roman" w:eastAsia="標楷體" w:hAnsi="Times New Roman"/>
                <w:kern w:val="0"/>
                <w:sz w:val="28"/>
                <w:szCs w:val="28"/>
              </w:rPr>
              <w:t>)×80%</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(18</w:t>
            </w:r>
            <w:r>
              <w:rPr>
                <w:rStyle w:val="a4"/>
                <w:rFonts w:ascii="Times New Roman" w:eastAsia="標楷體" w:hAnsi="Times New Roman"/>
                <w:kern w:val="0"/>
                <w:sz w:val="28"/>
                <w:szCs w:val="28"/>
              </w:rPr>
              <w:t>歲以下先天性疾病</w:t>
            </w:r>
            <w:r w:rsidR="00DD7659" w:rsidRPr="00C404CB">
              <w:rPr>
                <w:rFonts w:ascii="Times New Roman" w:eastAsia="標楷體" w:hAnsi="標楷體" w:hint="eastAsia"/>
                <w:sz w:val="28"/>
                <w:szCs w:val="28"/>
              </w:rPr>
              <w:t>或領有重大傷病之腦性麻痺個案</w:t>
            </w:r>
            <w:r>
              <w:rPr>
                <w:rStyle w:val="a4"/>
                <w:rFonts w:ascii="Times New Roman" w:eastAsia="標楷體" w:hAnsi="Times New Roman"/>
                <w:kern w:val="0"/>
                <w:sz w:val="28"/>
                <w:szCs w:val="28"/>
              </w:rPr>
              <w:t>則全額支付不折付</w:t>
            </w:r>
            <w:r>
              <w:rPr>
                <w:rStyle w:val="a4"/>
                <w:rFonts w:ascii="Times New Roman" w:eastAsia="標楷體" w:hAnsi="Times New Roman"/>
                <w:kern w:val="0"/>
                <w:sz w:val="28"/>
                <w:szCs w:val="28"/>
              </w:rPr>
              <w:t>)</w:t>
            </w:r>
          </w:p>
          <w:p w:rsidR="00230528" w:rsidRDefault="00230528" w:rsidP="00DD7659">
            <w:pPr>
              <w:pStyle w:val="a0"/>
              <w:widowControl/>
              <w:numPr>
                <w:ilvl w:val="0"/>
                <w:numId w:val="2"/>
              </w:numPr>
              <w:tabs>
                <w:tab w:val="clear" w:pos="480"/>
                <w:tab w:val="left" w:pos="369"/>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上限臨界點</w:t>
            </w:r>
            <w:r>
              <w:rPr>
                <w:rStyle w:val="a4"/>
                <w:rFonts w:ascii="Times New Roman" w:eastAsia="標楷體" w:hAnsi="Times New Roman"/>
                <w:kern w:val="0"/>
                <w:sz w:val="28"/>
                <w:szCs w:val="28"/>
              </w:rPr>
              <w:t>&lt;DRG</w:t>
            </w:r>
            <w:r>
              <w:rPr>
                <w:rStyle w:val="a4"/>
                <w:rFonts w:ascii="Times New Roman" w:eastAsia="標楷體" w:hAnsi="Times New Roman"/>
                <w:kern w:val="0"/>
                <w:sz w:val="28"/>
                <w:szCs w:val="28"/>
              </w:rPr>
              <w:t>支付定額</w:t>
            </w:r>
            <w:r>
              <w:rPr>
                <w:rStyle w:val="a4"/>
                <w:rFonts w:ascii="Times New Roman" w:eastAsia="標楷體" w:hAnsi="Times New Roman"/>
                <w:kern w:val="0"/>
                <w:sz w:val="28"/>
                <w:szCs w:val="28"/>
              </w:rPr>
              <w:t>&lt;</w:t>
            </w:r>
            <w:r>
              <w:rPr>
                <w:rStyle w:val="a4"/>
                <w:rFonts w:ascii="Times New Roman" w:eastAsia="標楷體" w:hAnsi="Times New Roman"/>
                <w:kern w:val="0"/>
                <w:sz w:val="28"/>
                <w:szCs w:val="28"/>
              </w:rPr>
              <w:t>實際醫療點數：邊際成本</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實際醫療服務點數</w:t>
            </w:r>
            <w:r>
              <w:rPr>
                <w:rStyle w:val="a4"/>
                <w:rFonts w:ascii="Times New Roman" w:eastAsia="標楷體" w:hAnsi="Times New Roman"/>
                <w:kern w:val="0"/>
                <w:sz w:val="28"/>
                <w:szCs w:val="28"/>
              </w:rPr>
              <w:t>-Tw-DRG</w:t>
            </w:r>
            <w:r>
              <w:rPr>
                <w:rStyle w:val="a4"/>
                <w:rFonts w:ascii="Times New Roman" w:eastAsia="標楷體" w:hAnsi="Times New Roman"/>
                <w:kern w:val="0"/>
                <w:sz w:val="28"/>
                <w:szCs w:val="28"/>
              </w:rPr>
              <w:t>支付定額</w:t>
            </w:r>
            <w:r>
              <w:rPr>
                <w:rStyle w:val="a4"/>
                <w:rFonts w:ascii="Times New Roman" w:eastAsia="標楷體" w:hAnsi="Times New Roman"/>
                <w:kern w:val="0"/>
                <w:sz w:val="28"/>
                <w:szCs w:val="28"/>
              </w:rPr>
              <w:t>)×80%</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(18</w:t>
            </w:r>
            <w:r>
              <w:rPr>
                <w:rStyle w:val="a4"/>
                <w:rFonts w:ascii="Times New Roman" w:eastAsia="標楷體" w:hAnsi="Times New Roman"/>
                <w:kern w:val="0"/>
                <w:sz w:val="28"/>
                <w:szCs w:val="28"/>
              </w:rPr>
              <w:t>歲以下先天性疾病</w:t>
            </w:r>
            <w:r w:rsidR="00DD7659" w:rsidRPr="00C404CB">
              <w:rPr>
                <w:rFonts w:ascii="Times New Roman" w:eastAsia="標楷體" w:hAnsi="標楷體" w:hint="eastAsia"/>
                <w:sz w:val="28"/>
                <w:szCs w:val="28"/>
              </w:rPr>
              <w:t>或領有重大傷病之腦性麻痺個案</w:t>
            </w:r>
            <w:r>
              <w:rPr>
                <w:rStyle w:val="a4"/>
                <w:rFonts w:ascii="Times New Roman" w:eastAsia="標楷體" w:hAnsi="Times New Roman"/>
                <w:kern w:val="0"/>
                <w:sz w:val="28"/>
                <w:szCs w:val="28"/>
              </w:rPr>
              <w:t>則全額支付不折付</w:t>
            </w:r>
            <w:r>
              <w:rPr>
                <w:rStyle w:val="a4"/>
                <w:rFonts w:ascii="Times New Roman" w:eastAsia="標楷體" w:hAnsi="Times New Roman"/>
                <w:kern w:val="0"/>
                <w:sz w:val="28"/>
                <w:szCs w:val="28"/>
              </w:rPr>
              <w:t>)</w:t>
            </w:r>
          </w:p>
          <w:p w:rsidR="00230528" w:rsidRDefault="00230528" w:rsidP="00DD7659">
            <w:pPr>
              <w:pStyle w:val="a0"/>
              <w:widowControl/>
              <w:numPr>
                <w:ilvl w:val="0"/>
                <w:numId w:val="2"/>
              </w:numPr>
              <w:tabs>
                <w:tab w:val="clear" w:pos="480"/>
                <w:tab w:val="left" w:pos="369"/>
              </w:tabs>
              <w:spacing w:line="560" w:lineRule="exact"/>
              <w:ind w:left="369" w:hanging="369"/>
            </w:pPr>
            <w:r>
              <w:rPr>
                <w:rStyle w:val="a4"/>
                <w:rFonts w:ascii="Times New Roman" w:eastAsia="標楷體" w:hAnsi="Times New Roman"/>
                <w:kern w:val="0"/>
                <w:sz w:val="28"/>
                <w:szCs w:val="28"/>
              </w:rPr>
              <w:t>上限臨界點</w:t>
            </w:r>
            <w:r>
              <w:rPr>
                <w:rStyle w:val="a4"/>
                <w:rFonts w:ascii="Times New Roman" w:eastAsia="標楷體" w:hAnsi="Times New Roman"/>
                <w:kern w:val="0"/>
                <w:sz w:val="28"/>
                <w:szCs w:val="28"/>
              </w:rPr>
              <w:t>&lt;</w:t>
            </w:r>
            <w:r>
              <w:rPr>
                <w:rStyle w:val="a4"/>
                <w:rFonts w:ascii="Times New Roman" w:eastAsia="標楷體" w:hAnsi="Times New Roman"/>
                <w:kern w:val="0"/>
                <w:sz w:val="28"/>
                <w:szCs w:val="28"/>
              </w:rPr>
              <w:t>實際醫療點數</w:t>
            </w:r>
            <w:r>
              <w:rPr>
                <w:rStyle w:val="a4"/>
                <w:rFonts w:ascii="Times New Roman" w:eastAsia="標楷體" w:hAnsi="Times New Roman"/>
                <w:kern w:val="0"/>
                <w:sz w:val="28"/>
                <w:szCs w:val="28"/>
              </w:rPr>
              <w:t>&lt;DRG</w:t>
            </w:r>
            <w:r>
              <w:rPr>
                <w:rStyle w:val="a4"/>
                <w:rFonts w:ascii="Times New Roman" w:eastAsia="標楷體" w:hAnsi="Times New Roman"/>
                <w:kern w:val="0"/>
                <w:sz w:val="28"/>
                <w:szCs w:val="28"/>
              </w:rPr>
              <w:t>支付定額：由於</w:t>
            </w:r>
            <w:r>
              <w:rPr>
                <w:rStyle w:val="a4"/>
                <w:rFonts w:ascii="Times New Roman" w:eastAsia="標楷體" w:hAnsi="Times New Roman"/>
                <w:kern w:val="0"/>
                <w:sz w:val="28"/>
                <w:szCs w:val="28"/>
              </w:rPr>
              <w:t>Tw-DRG</w:t>
            </w:r>
            <w:r>
              <w:rPr>
                <w:rStyle w:val="a4"/>
                <w:rFonts w:ascii="Times New Roman" w:eastAsia="標楷體" w:hAnsi="Times New Roman"/>
                <w:kern w:val="0"/>
                <w:sz w:val="28"/>
                <w:szCs w:val="28"/>
              </w:rPr>
              <w:t>支付定額大於實際醫療服務點數，邊際成本為</w:t>
            </w:r>
            <w:r>
              <w:rPr>
                <w:rStyle w:val="a4"/>
                <w:rFonts w:ascii="Times New Roman" w:eastAsia="標楷體" w:hAnsi="Times New Roman"/>
                <w:kern w:val="0"/>
                <w:sz w:val="28"/>
                <w:szCs w:val="28"/>
              </w:rPr>
              <w:t>0</w:t>
            </w:r>
            <w:r>
              <w:rPr>
                <w:rStyle w:val="a4"/>
                <w:rFonts w:ascii="Times New Roman" w:eastAsia="標楷體" w:hAnsi="Times New Roman"/>
                <w:kern w:val="0"/>
                <w:sz w:val="28"/>
                <w:szCs w:val="28"/>
              </w:rPr>
              <w:t>。</w:t>
            </w:r>
          </w:p>
        </w:tc>
      </w:tr>
      <w:tr w:rsidR="00230528" w:rsidTr="004E7561">
        <w:trPr>
          <w:trHeight w:val="2253"/>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24" w:hanging="224"/>
            </w:pPr>
            <w:bookmarkStart w:id="3" w:name="_Toc392256911"/>
            <w:r>
              <w:rPr>
                <w:rStyle w:val="a4"/>
                <w:rFonts w:ascii="Times New Roman" w:hAnsi="Times New Roman"/>
                <w:szCs w:val="28"/>
              </w:rPr>
              <w:t>4.</w:t>
            </w:r>
            <w:r>
              <w:rPr>
                <w:rStyle w:val="a4"/>
                <w:rFonts w:ascii="Times New Roman" w:hAnsi="Times New Roman"/>
                <w:szCs w:val="28"/>
              </w:rPr>
              <w:t>上限臨界點以</w:t>
            </w:r>
            <w:r>
              <w:rPr>
                <w:rStyle w:val="a4"/>
                <w:rFonts w:ascii="Times New Roman" w:hAnsi="Times New Roman"/>
                <w:szCs w:val="28"/>
              </w:rPr>
              <w:t>Tw-DRGs</w:t>
            </w:r>
            <w:r>
              <w:rPr>
                <w:rStyle w:val="a4"/>
                <w:rFonts w:ascii="Times New Roman" w:hAnsi="Times New Roman"/>
                <w:szCs w:val="28"/>
              </w:rPr>
              <w:t>支付定額計算之規定，可能導致相關加成率高之案件</w:t>
            </w:r>
            <w:r>
              <w:rPr>
                <w:rStyle w:val="a4"/>
                <w:rFonts w:ascii="Times New Roman" w:hAnsi="Times New Roman"/>
                <w:szCs w:val="28"/>
              </w:rPr>
              <w:t>(</w:t>
            </w:r>
            <w:r>
              <w:rPr>
                <w:rStyle w:val="a4"/>
                <w:rFonts w:ascii="Times New Roman" w:hAnsi="Times New Roman"/>
                <w:szCs w:val="28"/>
              </w:rPr>
              <w:t>例如兒童加成</w:t>
            </w:r>
            <w:r>
              <w:rPr>
                <w:rStyle w:val="a4"/>
                <w:rFonts w:ascii="Times New Roman" w:hAnsi="Times New Roman"/>
                <w:szCs w:val="28"/>
              </w:rPr>
              <w:t>)</w:t>
            </w:r>
            <w:r>
              <w:rPr>
                <w:rStyle w:val="a4"/>
                <w:rFonts w:ascii="Times New Roman" w:hAnsi="Times New Roman"/>
                <w:szCs w:val="28"/>
              </w:rPr>
              <w:t>，因此反而給付變少，設計原則有失公平。</w:t>
            </w:r>
            <w:bookmarkEnd w:id="3"/>
          </w:p>
        </w:tc>
        <w:tc>
          <w:tcPr>
            <w:tcW w:w="6662" w:type="dxa"/>
            <w:tcBorders>
              <w:bottom w:val="single" w:sz="4" w:space="0" w:color="000000"/>
              <w:right w:val="single" w:sz="4" w:space="0" w:color="000000"/>
            </w:tcBorders>
            <w:shd w:val="clear" w:color="auto" w:fill="auto"/>
          </w:tcPr>
          <w:p w:rsidR="00230528" w:rsidRDefault="00230528" w:rsidP="00DD7659">
            <w:pPr>
              <w:pStyle w:val="a0"/>
              <w:widowControl/>
              <w:numPr>
                <w:ilvl w:val="0"/>
                <w:numId w:val="3"/>
              </w:numPr>
              <w:tabs>
                <w:tab w:val="clear" w:pos="360"/>
                <w:tab w:val="left" w:pos="369"/>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依</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支付通則六之</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三</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規定，「當實際醫療點數高於點數上限臨界點，且</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支付定額高於上限臨界點，上限臨界點應以</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支付定額計算」。</w:t>
            </w:r>
          </w:p>
          <w:p w:rsidR="00230528" w:rsidRDefault="00230528" w:rsidP="00DD7659">
            <w:pPr>
              <w:pStyle w:val="a0"/>
              <w:widowControl/>
              <w:numPr>
                <w:ilvl w:val="0"/>
                <w:numId w:val="3"/>
              </w:numPr>
              <w:tabs>
                <w:tab w:val="clear" w:pos="360"/>
                <w:tab w:val="left" w:pos="369"/>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部分個案發生</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支付定額高於上限臨界點，主要是因為該</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的醫療費用分布非常集中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中位數、眾數及</w:t>
            </w:r>
            <w:r>
              <w:rPr>
                <w:rStyle w:val="a4"/>
                <w:rFonts w:ascii="Times New Roman" w:eastAsia="標楷體" w:hAnsi="Times New Roman"/>
                <w:kern w:val="0"/>
                <w:sz w:val="28"/>
                <w:szCs w:val="28"/>
              </w:rPr>
              <w:t>91</w:t>
            </w:r>
            <w:r>
              <w:rPr>
                <w:rStyle w:val="a4"/>
                <w:rFonts w:ascii="Times New Roman" w:eastAsia="標楷體" w:hAnsi="Times New Roman"/>
                <w:kern w:val="0"/>
                <w:sz w:val="28"/>
                <w:szCs w:val="28"/>
              </w:rPr>
              <w:t>百分位相當接近，所以適用加成條件的個案，在計算各加成項目後的</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支付定額極可能大於上限臨界點。</w:t>
            </w:r>
          </w:p>
          <w:p w:rsidR="00230528" w:rsidRDefault="00230528" w:rsidP="00DD7659">
            <w:pPr>
              <w:pStyle w:val="a0"/>
              <w:widowControl/>
              <w:numPr>
                <w:ilvl w:val="0"/>
                <w:numId w:val="3"/>
              </w:numPr>
              <w:tabs>
                <w:tab w:val="clear" w:pos="360"/>
                <w:tab w:val="left" w:pos="369"/>
              </w:tabs>
              <w:spacing w:line="560" w:lineRule="exact"/>
              <w:ind w:left="369" w:hanging="369"/>
            </w:pPr>
            <w:r>
              <w:rPr>
                <w:rStyle w:val="a4"/>
                <w:rFonts w:ascii="Times New Roman" w:eastAsia="標楷體" w:hAnsi="Times New Roman"/>
                <w:kern w:val="0"/>
                <w:sz w:val="28"/>
                <w:szCs w:val="28"/>
              </w:rPr>
              <w:t>上限臨界點之例外計算規定係為避免</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支付定額及上限臨界點間的點數重複計算，並無給付變少的情形。</w:t>
            </w:r>
          </w:p>
        </w:tc>
      </w:tr>
      <w:tr w:rsidR="00230528" w:rsidTr="004E7561">
        <w:trPr>
          <w:trHeight w:val="390"/>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55" w:hanging="255"/>
              <w:rPr>
                <w:rFonts w:ascii="Times New Roman" w:hAnsi="Times New Roman"/>
                <w:szCs w:val="28"/>
              </w:rPr>
            </w:pPr>
            <w:bookmarkStart w:id="4" w:name="_Toc392256912"/>
            <w:r>
              <w:rPr>
                <w:rStyle w:val="a4"/>
                <w:rFonts w:ascii="Times New Roman" w:hAnsi="Times New Roman"/>
                <w:szCs w:val="28"/>
              </w:rPr>
              <w:t>5.</w:t>
            </w:r>
            <w:r>
              <w:rPr>
                <w:rStyle w:val="a4"/>
                <w:rFonts w:ascii="Times New Roman" w:hAnsi="Times New Roman"/>
                <w:szCs w:val="28"/>
              </w:rPr>
              <w:t>同次住院期間，安胎後生產個案之</w:t>
            </w:r>
            <w:r>
              <w:rPr>
                <w:rStyle w:val="a4"/>
                <w:rFonts w:ascii="Times New Roman" w:hAnsi="Times New Roman"/>
                <w:szCs w:val="28"/>
              </w:rPr>
              <w:t>DRG</w:t>
            </w:r>
            <w:r>
              <w:rPr>
                <w:rStyle w:val="a4"/>
                <w:rFonts w:ascii="Times New Roman" w:hAnsi="Times New Roman"/>
                <w:szCs w:val="28"/>
              </w:rPr>
              <w:t>支付點數如何計算？</w:t>
            </w:r>
            <w:bookmarkEnd w:id="4"/>
          </w:p>
          <w:p w:rsidR="00230528" w:rsidRDefault="00230528">
            <w:pPr>
              <w:pStyle w:val="a0"/>
              <w:spacing w:line="560" w:lineRule="exact"/>
              <w:ind w:left="520" w:hanging="280"/>
              <w:rPr>
                <w:rFonts w:ascii="Times New Roman" w:eastAsia="標楷體" w:hAnsi="Times New Roman"/>
                <w:sz w:val="28"/>
                <w:szCs w:val="28"/>
              </w:rPr>
            </w:pPr>
          </w:p>
        </w:tc>
        <w:tc>
          <w:tcPr>
            <w:tcW w:w="6662" w:type="dxa"/>
            <w:tcBorders>
              <w:bottom w:val="single" w:sz="4" w:space="0" w:color="000000"/>
              <w:right w:val="single" w:sz="4" w:space="0" w:color="000000"/>
            </w:tcBorders>
            <w:shd w:val="clear" w:color="auto" w:fill="auto"/>
          </w:tcPr>
          <w:p w:rsidR="00230528" w:rsidRDefault="00230528">
            <w:pPr>
              <w:pStyle w:val="a0"/>
              <w:widowControl/>
              <w:numPr>
                <w:ilvl w:val="0"/>
                <w:numId w:val="4"/>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支付方式之精神，其支付範圍是包括該</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個案同一住院期間，醫院提供醫療服務之實際點數。因考量同次住院期間安胎及生產個案，其安胎期間可能很長，為免影響孕婦住院安胎之權益，本署於</w:t>
            </w:r>
            <w:r>
              <w:rPr>
                <w:rStyle w:val="a4"/>
                <w:rFonts w:ascii="Times New Roman" w:eastAsia="標楷體" w:hAnsi="Times New Roman"/>
                <w:kern w:val="0"/>
                <w:sz w:val="28"/>
                <w:szCs w:val="28"/>
              </w:rPr>
              <w:t xml:space="preserve"> Tw-DRGs</w:t>
            </w:r>
            <w:r>
              <w:rPr>
                <w:rStyle w:val="a4"/>
                <w:rFonts w:ascii="Times New Roman" w:eastAsia="標楷體" w:hAnsi="Times New Roman"/>
                <w:kern w:val="0"/>
                <w:sz w:val="28"/>
                <w:szCs w:val="28"/>
              </w:rPr>
              <w:t>第一章支付通則六之</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四</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增列，「同次住院期間之安胎費用不併入生產相關</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，俟所屬</w:t>
            </w:r>
            <w:r>
              <w:rPr>
                <w:rStyle w:val="a4"/>
                <w:rFonts w:ascii="Times New Roman" w:eastAsia="標楷體" w:hAnsi="Times New Roman"/>
                <w:kern w:val="0"/>
                <w:sz w:val="28"/>
                <w:szCs w:val="28"/>
              </w:rPr>
              <w:t>MDC</w:t>
            </w:r>
            <w:r>
              <w:rPr>
                <w:rStyle w:val="a4"/>
                <w:rFonts w:ascii="Times New Roman" w:eastAsia="標楷體" w:hAnsi="Times New Roman"/>
                <w:kern w:val="0"/>
                <w:sz w:val="28"/>
                <w:szCs w:val="28"/>
              </w:rPr>
              <w:t>導入時按其適當</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申報及支付」。</w:t>
            </w:r>
          </w:p>
          <w:p w:rsidR="00230528" w:rsidRDefault="00230528" w:rsidP="00AE30C5">
            <w:pPr>
              <w:pStyle w:val="a0"/>
              <w:widowControl/>
              <w:numPr>
                <w:ilvl w:val="0"/>
                <w:numId w:val="4"/>
              </w:numPr>
              <w:tabs>
                <w:tab w:val="clear" w:pos="360"/>
                <w:tab w:val="left" w:pos="369"/>
              </w:tabs>
              <w:spacing w:line="560" w:lineRule="exact"/>
              <w:ind w:left="369" w:hanging="369"/>
            </w:pPr>
            <w:r>
              <w:rPr>
                <w:rStyle w:val="a4"/>
                <w:rFonts w:ascii="Times New Roman" w:eastAsia="標楷體" w:hAnsi="Times New Roman"/>
                <w:kern w:val="0"/>
                <w:sz w:val="28"/>
                <w:szCs w:val="28"/>
              </w:rPr>
              <w:t>因上述修訂，本署已將生產相關</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中將同次住院安胎個案回歸適當</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，並重新計算相關</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之權重、</w:t>
            </w:r>
            <w:r>
              <w:rPr>
                <w:rStyle w:val="a4"/>
                <w:rFonts w:ascii="Times New Roman" w:eastAsia="標楷體" w:hAnsi="Times New Roman"/>
                <w:kern w:val="0"/>
                <w:sz w:val="28"/>
                <w:szCs w:val="28"/>
              </w:rPr>
              <w:t>SPR</w:t>
            </w:r>
            <w:r>
              <w:rPr>
                <w:rStyle w:val="a4"/>
                <w:rFonts w:ascii="Times New Roman" w:eastAsia="標楷體" w:hAnsi="Times New Roman"/>
                <w:kern w:val="0"/>
                <w:sz w:val="28"/>
                <w:szCs w:val="28"/>
              </w:rPr>
              <w:t>、上下限臨界點、幾何平均住院日數，安胎費用得核實申報。</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24" w:hanging="224"/>
            </w:pPr>
            <w:bookmarkStart w:id="5" w:name="_Toc392256913"/>
            <w:r>
              <w:rPr>
                <w:rStyle w:val="a4"/>
                <w:rFonts w:ascii="Times New Roman" w:hAnsi="Times New Roman"/>
                <w:szCs w:val="28"/>
              </w:rPr>
              <w:t>6.</w:t>
            </w:r>
            <w:r>
              <w:rPr>
                <w:rStyle w:val="a4"/>
                <w:rFonts w:ascii="Times New Roman" w:hAnsi="Times New Roman"/>
                <w:szCs w:val="28"/>
              </w:rPr>
              <w:t>多胞胎生產是否可比照論病例計酬</w:t>
            </w:r>
            <w:r>
              <w:rPr>
                <w:rStyle w:val="a4"/>
                <w:rFonts w:ascii="Times New Roman" w:hAnsi="Times New Roman"/>
                <w:szCs w:val="28"/>
              </w:rPr>
              <w:t>—</w:t>
            </w:r>
            <w:r>
              <w:rPr>
                <w:rStyle w:val="a4"/>
                <w:rFonts w:ascii="Times New Roman" w:hAnsi="Times New Roman"/>
                <w:szCs w:val="28"/>
              </w:rPr>
              <w:t>雙胞胎以定額再加計一人之新生兒費用為界限，多胞胎類推之規定，外加多胞胎費用。</w:t>
            </w:r>
            <w:bookmarkEnd w:id="5"/>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考量現行論病例計酬多胞胎第</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胎以上</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含</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之新生兒照護費採核實申報，</w:t>
            </w:r>
            <w:r>
              <w:rPr>
                <w:rStyle w:val="a4"/>
                <w:rFonts w:ascii="Times New Roman" w:eastAsia="標楷體" w:hAnsi="Times New Roman"/>
                <w:kern w:val="0"/>
                <w:sz w:val="28"/>
                <w:szCs w:val="28"/>
              </w:rPr>
              <w:t>DRG(3.4</w:t>
            </w:r>
            <w:r>
              <w:rPr>
                <w:rStyle w:val="a4"/>
                <w:rFonts w:ascii="Times New Roman" w:eastAsia="標楷體" w:hAnsi="Times New Roman"/>
                <w:kern w:val="0"/>
                <w:sz w:val="28"/>
                <w:szCs w:val="28"/>
              </w:rPr>
              <w:t>版</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已於</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第一章支付通則六之</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四</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增列「生產</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之權重僅計算當次產婦及一人次新生兒費用，新生兒如為雙胞胎以上得另計一人次新生兒費</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多胞胎類推</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。」之規定。</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為使申報資料正確，對於上述核實申報之多胞胎新生兒照護費，於住院醫療服務點數清單將增加檢核邏輯</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必須是</w:t>
            </w:r>
            <w:r>
              <w:rPr>
                <w:rStyle w:val="a4"/>
                <w:rFonts w:ascii="Times New Roman" w:eastAsia="標楷體" w:hAnsi="Times New Roman"/>
                <w:kern w:val="0"/>
                <w:sz w:val="28"/>
                <w:szCs w:val="28"/>
              </w:rPr>
              <w:t>MDC14(</w:t>
            </w:r>
            <w:r>
              <w:rPr>
                <w:rStyle w:val="a4"/>
                <w:rFonts w:ascii="Times New Roman" w:eastAsia="標楷體" w:hAnsi="Times New Roman"/>
                <w:kern w:val="0"/>
                <w:sz w:val="28"/>
                <w:szCs w:val="28"/>
              </w:rPr>
              <w:t>妊娠、生產與產褥期</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且同時申報醫令碼</w:t>
            </w:r>
            <w:r>
              <w:rPr>
                <w:rStyle w:val="a4"/>
                <w:rFonts w:ascii="Times New Roman" w:eastAsia="標楷體" w:hAnsi="Times New Roman"/>
                <w:kern w:val="0"/>
                <w:sz w:val="28"/>
                <w:szCs w:val="28"/>
              </w:rPr>
              <w:t>57114C(</w:t>
            </w:r>
            <w:r>
              <w:rPr>
                <w:rStyle w:val="a4"/>
                <w:rFonts w:ascii="Times New Roman" w:eastAsia="標楷體" w:hAnsi="Times New Roman"/>
                <w:kern w:val="0"/>
                <w:sz w:val="28"/>
                <w:szCs w:val="28"/>
              </w:rPr>
              <w:t>自然生產新生兒照護</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每人次</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57115C(</w:t>
            </w:r>
            <w:r>
              <w:rPr>
                <w:rStyle w:val="a4"/>
                <w:rFonts w:ascii="Times New Roman" w:eastAsia="標楷體" w:hAnsi="Times New Roman"/>
                <w:kern w:val="0"/>
                <w:sz w:val="28"/>
                <w:szCs w:val="28"/>
              </w:rPr>
              <w:t>剖腹產新生兒照護</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每人次</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57116B(</w:t>
            </w:r>
            <w:r>
              <w:rPr>
                <w:rStyle w:val="a4"/>
                <w:rFonts w:ascii="Times New Roman" w:eastAsia="標楷體" w:hAnsi="Times New Roman"/>
                <w:kern w:val="0"/>
                <w:sz w:val="28"/>
                <w:szCs w:val="28"/>
              </w:rPr>
              <w:t>嬰兒室繼續治療照護費</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天</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p>
        </w:tc>
      </w:tr>
      <w:tr w:rsidR="00230528" w:rsidTr="004E7561">
        <w:trPr>
          <w:trHeight w:val="390"/>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24" w:hanging="224"/>
            </w:pPr>
            <w:bookmarkStart w:id="6" w:name="_Toc392256915"/>
            <w:r>
              <w:rPr>
                <w:rStyle w:val="a4"/>
                <w:rFonts w:ascii="Times New Roman" w:hAnsi="Times New Roman"/>
                <w:szCs w:val="28"/>
              </w:rPr>
              <w:t>7.</w:t>
            </w:r>
            <w:r>
              <w:rPr>
                <w:rStyle w:val="a4"/>
                <w:rFonts w:ascii="Times New Roman" w:hAnsi="Times New Roman"/>
                <w:szCs w:val="28"/>
              </w:rPr>
              <w:t>核實申報點數在認定是否有超過上限臨界點時，是不是可以併入實際醫療點數計算？</w:t>
            </w:r>
            <w:bookmarkEnd w:id="6"/>
            <w:r>
              <w:rPr>
                <w:rStyle w:val="a4"/>
                <w:rFonts w:ascii="Times New Roman" w:hAnsi="Times New Roman"/>
                <w:szCs w:val="28"/>
              </w:rPr>
              <w:t xml:space="preserve"> </w:t>
            </w:r>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第一章支付通則六規範，核實申報項目包括多胞胎</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第</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胎以上</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之新生兒費、第</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年導入期間同次住院期間之安胎費用、個案使用化</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放</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療之診療及藥費、呼吸器、洗腎費用、特定範圍生物製劑等項，其核實申報點數不含於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支付點數，其點數亦不得計入本通則六所稱實際醫療服務點數計算。</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案例（</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）有合併症</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併發生之剖腹生產</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雙胞胎</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DRG370</w:t>
            </w:r>
            <w:r>
              <w:rPr>
                <w:rStyle w:val="a4"/>
                <w:rFonts w:ascii="Times New Roman" w:eastAsia="標楷體" w:hAnsi="Times New Roman"/>
                <w:kern w:val="0"/>
                <w:sz w:val="28"/>
                <w:szCs w:val="28"/>
              </w:rPr>
              <w:t>，上限臨界點為</w:t>
            </w:r>
            <w:r>
              <w:rPr>
                <w:rStyle w:val="a4"/>
                <w:rFonts w:ascii="Times New Roman" w:eastAsia="標楷體" w:hAnsi="Times New Roman"/>
                <w:kern w:val="0"/>
                <w:sz w:val="28"/>
                <w:szCs w:val="28"/>
              </w:rPr>
              <w:t>40,896</w:t>
            </w:r>
            <w:r>
              <w:rPr>
                <w:rStyle w:val="a4"/>
                <w:rFonts w:ascii="Times New Roman" w:eastAsia="標楷體" w:hAnsi="Times New Roman"/>
                <w:kern w:val="0"/>
                <w:sz w:val="28"/>
                <w:szCs w:val="28"/>
              </w:rPr>
              <w:t>，該產婦</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申報點數為</w:t>
            </w:r>
            <w:r>
              <w:rPr>
                <w:rStyle w:val="a4"/>
                <w:rFonts w:ascii="Times New Roman" w:eastAsia="標楷體" w:hAnsi="Times New Roman"/>
                <w:kern w:val="0"/>
                <w:sz w:val="28"/>
                <w:szCs w:val="28"/>
              </w:rPr>
              <w:t>36,500</w:t>
            </w:r>
            <w:r>
              <w:rPr>
                <w:rStyle w:val="a4"/>
                <w:rFonts w:ascii="Times New Roman" w:eastAsia="標楷體" w:hAnsi="Times New Roman"/>
                <w:kern w:val="0"/>
                <w:sz w:val="28"/>
                <w:szCs w:val="28"/>
              </w:rPr>
              <w:t>點，雙胞胎另計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人新生兒照護費為</w:t>
            </w:r>
            <w:r>
              <w:rPr>
                <w:rStyle w:val="a4"/>
                <w:rFonts w:ascii="Times New Roman" w:eastAsia="標楷體" w:hAnsi="Times New Roman"/>
                <w:kern w:val="0"/>
                <w:sz w:val="28"/>
                <w:szCs w:val="28"/>
              </w:rPr>
              <w:t>4,000</w:t>
            </w:r>
            <w:r>
              <w:rPr>
                <w:rStyle w:val="a4"/>
                <w:rFonts w:ascii="Times New Roman" w:eastAsia="標楷體" w:hAnsi="Times New Roman"/>
                <w:kern w:val="0"/>
                <w:sz w:val="28"/>
                <w:szCs w:val="28"/>
              </w:rPr>
              <w:t>點，此個案判斷上限臨界點之實際醫療點數為</w:t>
            </w:r>
            <w:r>
              <w:rPr>
                <w:rStyle w:val="a4"/>
                <w:rFonts w:ascii="Times New Roman" w:eastAsia="標楷體" w:hAnsi="Times New Roman"/>
                <w:kern w:val="0"/>
                <w:sz w:val="28"/>
                <w:szCs w:val="28"/>
              </w:rPr>
              <w:t>36,500</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非</w:t>
            </w:r>
            <w:r>
              <w:rPr>
                <w:rStyle w:val="a4"/>
                <w:rFonts w:ascii="Times New Roman" w:eastAsia="標楷體" w:hAnsi="Times New Roman"/>
                <w:kern w:val="0"/>
                <w:sz w:val="28"/>
                <w:szCs w:val="28"/>
              </w:rPr>
              <w:t>36,500</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+4,000</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 xml:space="preserve">) </w:t>
            </w:r>
            <w:r>
              <w:rPr>
                <w:rStyle w:val="a4"/>
                <w:rFonts w:ascii="Times New Roman" w:eastAsia="標楷體" w:hAnsi="Times New Roman"/>
                <w:kern w:val="0"/>
                <w:sz w:val="28"/>
                <w:szCs w:val="28"/>
              </w:rPr>
              <w:t>未超過上限臨界</w:t>
            </w:r>
            <w:r>
              <w:rPr>
                <w:rStyle w:val="a4"/>
                <w:rFonts w:ascii="Times New Roman" w:eastAsia="標楷體" w:hAnsi="Times New Roman"/>
                <w:kern w:val="0"/>
                <w:sz w:val="28"/>
                <w:szCs w:val="28"/>
              </w:rPr>
              <w:lastRenderedPageBreak/>
              <w:t>點，不支付超過上限臨界點之邊際成本；案例（</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）顱骨切開術，創傷除外，年齡大於等於</w:t>
            </w:r>
            <w:r>
              <w:rPr>
                <w:rStyle w:val="a4"/>
                <w:rFonts w:ascii="Times New Roman" w:eastAsia="標楷體" w:hAnsi="Times New Roman"/>
                <w:kern w:val="0"/>
                <w:sz w:val="28"/>
                <w:szCs w:val="28"/>
              </w:rPr>
              <w:t>18</w:t>
            </w:r>
            <w:r>
              <w:rPr>
                <w:rStyle w:val="a4"/>
                <w:rFonts w:ascii="Times New Roman" w:eastAsia="標楷體" w:hAnsi="Times New Roman"/>
                <w:kern w:val="0"/>
                <w:sz w:val="28"/>
                <w:szCs w:val="28"/>
              </w:rPr>
              <w:t>歲，有合併症或併發症，</w:t>
            </w:r>
            <w:r>
              <w:rPr>
                <w:rStyle w:val="a4"/>
                <w:rFonts w:ascii="Times New Roman" w:eastAsia="標楷體" w:hAnsi="Times New Roman"/>
                <w:kern w:val="0"/>
                <w:sz w:val="28"/>
                <w:szCs w:val="28"/>
              </w:rPr>
              <w:t>DRG00101</w:t>
            </w:r>
            <w:r>
              <w:rPr>
                <w:rStyle w:val="a4"/>
                <w:rFonts w:ascii="Times New Roman" w:eastAsia="標楷體" w:hAnsi="Times New Roman"/>
                <w:kern w:val="0"/>
                <w:sz w:val="28"/>
                <w:szCs w:val="28"/>
              </w:rPr>
              <w:t>，上限臨界點為</w:t>
            </w:r>
            <w:r>
              <w:rPr>
                <w:rStyle w:val="a4"/>
                <w:rFonts w:ascii="Times New Roman" w:eastAsia="標楷體" w:hAnsi="Times New Roman"/>
                <w:kern w:val="0"/>
                <w:sz w:val="28"/>
                <w:szCs w:val="28"/>
              </w:rPr>
              <w:t>352,959</w:t>
            </w:r>
            <w:r>
              <w:rPr>
                <w:rStyle w:val="a4"/>
                <w:rFonts w:ascii="Times New Roman" w:eastAsia="標楷體" w:hAnsi="Times New Roman"/>
                <w:kern w:val="0"/>
                <w:sz w:val="28"/>
                <w:szCs w:val="28"/>
              </w:rPr>
              <w:t>，該病患</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之實際醫療點數為</w:t>
            </w:r>
            <w:r>
              <w:rPr>
                <w:rStyle w:val="a4"/>
                <w:rFonts w:ascii="Times New Roman" w:eastAsia="標楷體" w:hAnsi="Times New Roman"/>
                <w:kern w:val="0"/>
                <w:sz w:val="28"/>
                <w:szCs w:val="28"/>
              </w:rPr>
              <w:t>327,342</w:t>
            </w:r>
            <w:r>
              <w:rPr>
                <w:rStyle w:val="a4"/>
                <w:rFonts w:ascii="Times New Roman" w:eastAsia="標楷體" w:hAnsi="Times New Roman"/>
                <w:kern w:val="0"/>
                <w:sz w:val="28"/>
                <w:szCs w:val="28"/>
              </w:rPr>
              <w:t>點，另有得核實申報之洗腎費用為</w:t>
            </w:r>
            <w:r>
              <w:rPr>
                <w:rStyle w:val="a4"/>
                <w:rFonts w:ascii="Times New Roman" w:eastAsia="標楷體" w:hAnsi="Times New Roman"/>
                <w:kern w:val="0"/>
                <w:sz w:val="28"/>
                <w:szCs w:val="28"/>
              </w:rPr>
              <w:t>41,800</w:t>
            </w:r>
            <w:r>
              <w:rPr>
                <w:rStyle w:val="a4"/>
                <w:rFonts w:ascii="Times New Roman" w:eastAsia="標楷體" w:hAnsi="Times New Roman"/>
                <w:kern w:val="0"/>
                <w:sz w:val="28"/>
                <w:szCs w:val="28"/>
              </w:rPr>
              <w:t>點，此個案判斷上限臨界點之實際醫療點數為</w:t>
            </w:r>
            <w:r>
              <w:rPr>
                <w:rStyle w:val="a4"/>
                <w:rFonts w:ascii="Times New Roman" w:eastAsia="標楷體" w:hAnsi="Times New Roman"/>
                <w:kern w:val="0"/>
                <w:sz w:val="28"/>
                <w:szCs w:val="28"/>
              </w:rPr>
              <w:t>327,342</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非</w:t>
            </w:r>
            <w:r>
              <w:rPr>
                <w:rStyle w:val="a4"/>
                <w:rFonts w:ascii="Times New Roman" w:eastAsia="標楷體" w:hAnsi="Times New Roman"/>
                <w:kern w:val="0"/>
                <w:sz w:val="28"/>
                <w:szCs w:val="28"/>
              </w:rPr>
              <w:t>327,342</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+41,800</w:t>
            </w:r>
            <w:r>
              <w:rPr>
                <w:rStyle w:val="a4"/>
                <w:rFonts w:ascii="Times New Roman" w:eastAsia="標楷體" w:hAnsi="Times New Roman"/>
                <w:kern w:val="0"/>
                <w:sz w:val="28"/>
                <w:szCs w:val="28"/>
              </w:rPr>
              <w:t>點</w:t>
            </w:r>
            <w:r>
              <w:rPr>
                <w:rStyle w:val="a4"/>
                <w:rFonts w:ascii="Times New Roman" w:eastAsia="標楷體" w:hAnsi="Times New Roman"/>
                <w:kern w:val="0"/>
                <w:sz w:val="28"/>
                <w:szCs w:val="28"/>
              </w:rPr>
              <w:t xml:space="preserve">) </w:t>
            </w:r>
            <w:r>
              <w:rPr>
                <w:rStyle w:val="a4"/>
                <w:rFonts w:ascii="Times New Roman" w:eastAsia="標楷體" w:hAnsi="Times New Roman"/>
                <w:kern w:val="0"/>
                <w:sz w:val="28"/>
                <w:szCs w:val="28"/>
              </w:rPr>
              <w:t>未超過上限臨界點，不支付超過上限臨界點之邊際成本。</w:t>
            </w:r>
          </w:p>
        </w:tc>
      </w:tr>
      <w:tr w:rsidR="00230528" w:rsidTr="004E7561">
        <w:trPr>
          <w:trHeight w:val="390"/>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224" w:hanging="224"/>
            </w:pPr>
            <w:bookmarkStart w:id="7" w:name="_Toc392256916"/>
            <w:r>
              <w:rPr>
                <w:rStyle w:val="a4"/>
                <w:rFonts w:ascii="Times New Roman" w:hAnsi="Times New Roman"/>
                <w:szCs w:val="28"/>
              </w:rPr>
              <w:t>8.</w:t>
            </w:r>
            <w:r>
              <w:rPr>
                <w:rStyle w:val="a4"/>
                <w:rFonts w:ascii="Times New Roman" w:hAnsi="Times New Roman"/>
                <w:szCs w:val="28"/>
              </w:rPr>
              <w:t>基本診療加成之認定方式及期間？</w:t>
            </w:r>
            <w:bookmarkEnd w:id="7"/>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1.Tw-DRGs</w:t>
            </w:r>
            <w:r>
              <w:rPr>
                <w:rStyle w:val="a4"/>
                <w:rFonts w:ascii="Times New Roman" w:eastAsia="標楷體" w:hAnsi="Times New Roman"/>
                <w:kern w:val="0"/>
                <w:sz w:val="28"/>
                <w:szCs w:val="28"/>
              </w:rPr>
              <w:t>第一章支付通則六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二</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，各層級之認定方式如下：</w:t>
            </w:r>
          </w:p>
          <w:p w:rsidR="00230528" w:rsidRDefault="00230528" w:rsidP="00AE30C5">
            <w:pPr>
              <w:pStyle w:val="a0"/>
              <w:widowControl/>
              <w:numPr>
                <w:ilvl w:val="0"/>
                <w:numId w:val="5"/>
              </w:numPr>
              <w:tabs>
                <w:tab w:val="left" w:pos="1259"/>
              </w:tabs>
              <w:spacing w:line="560" w:lineRule="exact"/>
              <w:ind w:left="1259" w:hanging="1032"/>
              <w:rPr>
                <w:rStyle w:val="a4"/>
                <w:rFonts w:ascii="Times New Roman" w:eastAsia="標楷體" w:hAnsi="Times New Roman"/>
                <w:kern w:val="0"/>
                <w:sz w:val="28"/>
                <w:szCs w:val="28"/>
              </w:rPr>
            </w:pPr>
            <w:r>
              <w:rPr>
                <w:rStyle w:val="a4"/>
                <w:rFonts w:ascii="Times New Roman" w:eastAsia="標楷體" w:hAnsi="Times New Roman"/>
                <w:kern w:val="0"/>
                <w:sz w:val="28"/>
                <w:szCs w:val="28"/>
              </w:rPr>
              <w:t>醫學中心為特約類別「</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p>
          <w:p w:rsidR="00230528" w:rsidRDefault="00230528" w:rsidP="00AE30C5">
            <w:pPr>
              <w:pStyle w:val="a0"/>
              <w:widowControl/>
              <w:numPr>
                <w:ilvl w:val="0"/>
                <w:numId w:val="5"/>
              </w:numPr>
              <w:tabs>
                <w:tab w:val="left" w:pos="1259"/>
              </w:tabs>
              <w:spacing w:line="560" w:lineRule="exact"/>
              <w:ind w:left="1259" w:hanging="1032"/>
              <w:rPr>
                <w:rStyle w:val="a4"/>
                <w:rFonts w:ascii="Times New Roman" w:eastAsia="標楷體" w:hAnsi="Times New Roman"/>
                <w:kern w:val="0"/>
                <w:sz w:val="28"/>
                <w:szCs w:val="28"/>
              </w:rPr>
            </w:pPr>
            <w:r>
              <w:rPr>
                <w:rStyle w:val="a4"/>
                <w:rFonts w:ascii="Times New Roman" w:eastAsia="標楷體" w:hAnsi="Times New Roman"/>
                <w:kern w:val="0"/>
                <w:sz w:val="28"/>
                <w:szCs w:val="28"/>
              </w:rPr>
              <w:t>區域醫院為特約類別「</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w:t>
            </w:r>
          </w:p>
          <w:p w:rsidR="00230528" w:rsidRDefault="00230528" w:rsidP="00AE30C5">
            <w:pPr>
              <w:pStyle w:val="a0"/>
              <w:widowControl/>
              <w:numPr>
                <w:ilvl w:val="0"/>
                <w:numId w:val="5"/>
              </w:numPr>
              <w:tabs>
                <w:tab w:val="left" w:pos="794"/>
              </w:tabs>
              <w:spacing w:line="560" w:lineRule="exact"/>
              <w:ind w:left="794" w:hanging="567"/>
              <w:rPr>
                <w:rStyle w:val="a4"/>
                <w:rFonts w:ascii="Times New Roman" w:eastAsia="標楷體" w:hAnsi="Times New Roman"/>
                <w:kern w:val="0"/>
                <w:sz w:val="28"/>
                <w:szCs w:val="28"/>
              </w:rPr>
            </w:pPr>
            <w:r>
              <w:rPr>
                <w:rStyle w:val="a4"/>
                <w:rFonts w:ascii="Times New Roman" w:eastAsia="標楷體" w:hAnsi="Times New Roman"/>
                <w:kern w:val="0"/>
                <w:sz w:val="28"/>
                <w:szCs w:val="28"/>
              </w:rPr>
              <w:t>地區醫院為特約類別「</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」且評鑑別為下列任一項者「</w:t>
            </w:r>
            <w:r>
              <w:rPr>
                <w:rStyle w:val="a4"/>
                <w:rFonts w:ascii="Times New Roman" w:eastAsia="標楷體" w:hAnsi="Times New Roman"/>
                <w:kern w:val="0"/>
                <w:sz w:val="28"/>
                <w:szCs w:val="28"/>
              </w:rPr>
              <w:t>06</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08</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31~38</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40~42</w:t>
            </w:r>
            <w:r>
              <w:rPr>
                <w:rStyle w:val="a4"/>
                <w:rFonts w:ascii="Times New Roman" w:eastAsia="標楷體" w:hAnsi="Times New Roman"/>
                <w:kern w:val="0"/>
                <w:sz w:val="28"/>
                <w:szCs w:val="28"/>
              </w:rPr>
              <w:t>」。</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適用期間：以評鑑生效月計算，例如某醫院新制評鑑之評鑑生效為</w:t>
            </w:r>
            <w:r>
              <w:rPr>
                <w:rStyle w:val="a4"/>
                <w:rFonts w:ascii="Times New Roman" w:eastAsia="標楷體" w:hAnsi="Times New Roman"/>
                <w:kern w:val="0"/>
                <w:sz w:val="28"/>
                <w:szCs w:val="28"/>
              </w:rPr>
              <w:t>99</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日，則</w:t>
            </w:r>
            <w:r>
              <w:rPr>
                <w:rStyle w:val="a4"/>
                <w:rFonts w:ascii="Times New Roman" w:eastAsia="標楷體" w:hAnsi="Times New Roman"/>
                <w:kern w:val="0"/>
                <w:sz w:val="28"/>
                <w:szCs w:val="28"/>
              </w:rPr>
              <w:t>99</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月起醫療費用適用新制醫院評鑑之加成率，至下次評鑑生效月前一個月。</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8" w:hanging="258"/>
            </w:pPr>
            <w:bookmarkStart w:id="8" w:name="_Toc392256918"/>
            <w:r>
              <w:rPr>
                <w:rStyle w:val="a4"/>
                <w:rFonts w:ascii="Times New Roman" w:hAnsi="Times New Roman"/>
                <w:szCs w:val="28"/>
              </w:rPr>
              <w:t>9.Tw-DRGs</w:t>
            </w:r>
            <w:r>
              <w:rPr>
                <w:rStyle w:val="a4"/>
                <w:rFonts w:ascii="Times New Roman" w:hAnsi="Times New Roman"/>
                <w:szCs w:val="28"/>
              </w:rPr>
              <w:t>中有關年齡</w:t>
            </w:r>
            <w:r>
              <w:rPr>
                <w:rStyle w:val="a4"/>
                <w:rFonts w:ascii="Times New Roman" w:hAnsi="Times New Roman"/>
                <w:szCs w:val="28"/>
              </w:rPr>
              <w:t>-</w:t>
            </w:r>
            <w:r>
              <w:rPr>
                <w:rStyle w:val="a4"/>
                <w:rFonts w:ascii="Times New Roman" w:hAnsi="Times New Roman"/>
                <w:szCs w:val="28"/>
              </w:rPr>
              <w:t>年及月齡</w:t>
            </w:r>
            <w:r>
              <w:rPr>
                <w:rStyle w:val="a4"/>
                <w:rFonts w:ascii="Times New Roman" w:hAnsi="Times New Roman"/>
                <w:szCs w:val="28"/>
              </w:rPr>
              <w:t>(</w:t>
            </w:r>
            <w:r>
              <w:rPr>
                <w:rStyle w:val="a4"/>
                <w:rFonts w:ascii="Times New Roman" w:hAnsi="Times New Roman"/>
                <w:szCs w:val="28"/>
              </w:rPr>
              <w:t>如兒童加成率</w:t>
            </w:r>
            <w:r>
              <w:rPr>
                <w:rStyle w:val="a4"/>
                <w:rFonts w:ascii="Times New Roman" w:hAnsi="Times New Roman"/>
                <w:szCs w:val="28"/>
              </w:rPr>
              <w:t>-6</w:t>
            </w:r>
            <w:r>
              <w:rPr>
                <w:rStyle w:val="a4"/>
                <w:rFonts w:ascii="Times New Roman" w:hAnsi="Times New Roman"/>
                <w:szCs w:val="28"/>
              </w:rPr>
              <w:t>個月</w:t>
            </w:r>
            <w:r>
              <w:rPr>
                <w:rStyle w:val="a4"/>
                <w:rFonts w:ascii="Times New Roman" w:hAnsi="Times New Roman"/>
                <w:szCs w:val="28"/>
              </w:rPr>
              <w:t>)</w:t>
            </w:r>
            <w:r>
              <w:rPr>
                <w:rStyle w:val="a4"/>
                <w:rFonts w:ascii="Times New Roman" w:hAnsi="Times New Roman"/>
                <w:szCs w:val="28"/>
              </w:rPr>
              <w:t>的計算規則？</w:t>
            </w:r>
            <w:bookmarkEnd w:id="8"/>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第二章</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分類架構及原則，通則六規定：</w:t>
            </w:r>
          </w:p>
          <w:p w:rsidR="00230528" w:rsidRDefault="00230528">
            <w:pPr>
              <w:pStyle w:val="a0"/>
              <w:widowControl/>
              <w:numPr>
                <w:ilvl w:val="0"/>
                <w:numId w:val="6"/>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月齡的計算方式：採「入院年月」減「出生年月」計算。</w:t>
            </w:r>
          </w:p>
          <w:p w:rsidR="00230528" w:rsidRDefault="00230528">
            <w:pPr>
              <w:pStyle w:val="a0"/>
              <w:widowControl/>
              <w:numPr>
                <w:ilvl w:val="0"/>
                <w:numId w:val="6"/>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年齡的計算方式：採「入院年月」減「出生年月」，計算後取其「年」，若「月」為負值，則</w:t>
            </w:r>
            <w:r>
              <w:rPr>
                <w:rStyle w:val="a4"/>
                <w:rFonts w:ascii="Times New Roman" w:eastAsia="標楷體" w:hAnsi="Times New Roman"/>
                <w:kern w:val="0"/>
                <w:sz w:val="28"/>
                <w:szCs w:val="28"/>
              </w:rPr>
              <w:lastRenderedPageBreak/>
              <w:t>「年」減</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p>
          <w:p w:rsidR="00230528" w:rsidRDefault="00230528">
            <w:pPr>
              <w:pStyle w:val="a0"/>
              <w:widowControl/>
              <w:numPr>
                <w:ilvl w:val="0"/>
                <w:numId w:val="6"/>
              </w:numPr>
              <w:tabs>
                <w:tab w:val="left" w:pos="360"/>
              </w:tabs>
              <w:spacing w:line="560" w:lineRule="exact"/>
            </w:pPr>
            <w:r>
              <w:rPr>
                <w:rStyle w:val="a4"/>
                <w:rFonts w:ascii="Times New Roman" w:eastAsia="標楷體" w:hAnsi="Times New Roman"/>
                <w:kern w:val="0"/>
                <w:sz w:val="28"/>
                <w:szCs w:val="28"/>
              </w:rPr>
              <w:t>出生天數：</w:t>
            </w:r>
            <w:r>
              <w:rPr>
                <w:rStyle w:val="a4"/>
                <w:rFonts w:ascii="Times New Roman" w:eastAsia="標楷體" w:hAnsi="Times New Roman"/>
                <w:kern w:val="0"/>
                <w:sz w:val="28"/>
                <w:szCs w:val="28"/>
              </w:rPr>
              <w:t>MDC15</w:t>
            </w:r>
            <w:r>
              <w:rPr>
                <w:rStyle w:val="a4"/>
                <w:rFonts w:ascii="Times New Roman" w:eastAsia="標楷體" w:hAnsi="Times New Roman"/>
                <w:kern w:val="0"/>
                <w:sz w:val="28"/>
                <w:szCs w:val="28"/>
              </w:rPr>
              <w:t>之出生天數以「入院日」減「出生日」計算。</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9" w:name="_Toc392256919"/>
            <w:r>
              <w:rPr>
                <w:rStyle w:val="a4"/>
                <w:rFonts w:ascii="Times New Roman" w:hAnsi="Times New Roman"/>
                <w:szCs w:val="28"/>
              </w:rPr>
              <w:t>10.</w:t>
            </w:r>
            <w:r>
              <w:rPr>
                <w:rStyle w:val="a4"/>
                <w:rFonts w:ascii="Times New Roman" w:hAnsi="Times New Roman"/>
                <w:szCs w:val="28"/>
              </w:rPr>
              <w:t>基本診療加成率如何計算得之，地區醫院是否也可以加成？</w:t>
            </w:r>
            <w:r>
              <w:rPr>
                <w:rStyle w:val="a4"/>
                <w:rFonts w:ascii="Times New Roman" w:hAnsi="Times New Roman"/>
                <w:szCs w:val="28"/>
              </w:rPr>
              <w:br/>
            </w:r>
            <w:bookmarkEnd w:id="9"/>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numPr>
                <w:ilvl w:val="0"/>
                <w:numId w:val="7"/>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由申報資料統計基本診療加成率：</w:t>
            </w:r>
          </w:p>
          <w:p w:rsidR="00230528" w:rsidRDefault="00230528" w:rsidP="00AE30C5">
            <w:pPr>
              <w:pStyle w:val="a0"/>
              <w:widowControl/>
              <w:numPr>
                <w:ilvl w:val="0"/>
                <w:numId w:val="8"/>
              </w:numPr>
              <w:tabs>
                <w:tab w:val="clear" w:pos="720"/>
                <w:tab w:val="num" w:pos="653"/>
                <w:tab w:val="left" w:pos="794"/>
              </w:tabs>
              <w:spacing w:line="560" w:lineRule="exact"/>
              <w:ind w:left="794" w:hanging="425"/>
              <w:rPr>
                <w:rStyle w:val="a4"/>
                <w:rFonts w:ascii="Times New Roman" w:eastAsia="標楷體" w:hAnsi="Times New Roman"/>
                <w:kern w:val="0"/>
                <w:sz w:val="28"/>
                <w:szCs w:val="28"/>
              </w:rPr>
            </w:pPr>
            <w:r>
              <w:rPr>
                <w:rStyle w:val="a4"/>
                <w:rFonts w:ascii="Times New Roman" w:eastAsia="標楷體" w:hAnsi="Times New Roman"/>
                <w:kern w:val="0"/>
                <w:sz w:val="28"/>
                <w:szCs w:val="28"/>
              </w:rPr>
              <w:t>計算各</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權重之資料，有關基本診療項目支付點數係以地區醫院支付標準校正後計算得之，即醫學中心、區域醫院、地區教學醫院及新制醫院評鑑優等地區醫院之基本診療醫令，以地區醫院點數校正。</w:t>
            </w:r>
          </w:p>
          <w:p w:rsidR="00230528" w:rsidRDefault="00230528" w:rsidP="00AE30C5">
            <w:pPr>
              <w:pStyle w:val="a0"/>
              <w:widowControl/>
              <w:numPr>
                <w:ilvl w:val="0"/>
                <w:numId w:val="8"/>
              </w:numPr>
              <w:tabs>
                <w:tab w:val="left" w:pos="794"/>
              </w:tabs>
              <w:spacing w:line="560" w:lineRule="exact"/>
              <w:ind w:left="794" w:hanging="425"/>
              <w:rPr>
                <w:rStyle w:val="a4"/>
                <w:rFonts w:ascii="Times New Roman" w:eastAsia="標楷體" w:hAnsi="Times New Roman"/>
                <w:kern w:val="0"/>
                <w:sz w:val="28"/>
                <w:szCs w:val="28"/>
              </w:rPr>
            </w:pPr>
            <w:r>
              <w:rPr>
                <w:rStyle w:val="a4"/>
                <w:rFonts w:ascii="Times New Roman" w:eastAsia="標楷體" w:hAnsi="Times New Roman"/>
                <w:kern w:val="0"/>
                <w:sz w:val="28"/>
                <w:szCs w:val="28"/>
              </w:rPr>
              <w:t>現行支付標準中基本診療項目之病房費、護理費、藥事服務費等支付項目，因醫院設置基準、評鑑標準對各層級人力及設備的要求不同，層級間的支付點數有所區別。</w:t>
            </w:r>
          </w:p>
          <w:p w:rsidR="00230528" w:rsidRDefault="00230528" w:rsidP="00AE30C5">
            <w:pPr>
              <w:pStyle w:val="a0"/>
              <w:widowControl/>
              <w:numPr>
                <w:ilvl w:val="0"/>
                <w:numId w:val="8"/>
              </w:numPr>
              <w:tabs>
                <w:tab w:val="left" w:pos="794"/>
              </w:tabs>
              <w:spacing w:line="560" w:lineRule="exact"/>
              <w:ind w:left="794" w:hanging="425"/>
              <w:rPr>
                <w:rStyle w:val="a4"/>
                <w:rFonts w:ascii="Times New Roman" w:eastAsia="標楷體" w:hAnsi="Times New Roman"/>
                <w:kern w:val="0"/>
                <w:sz w:val="28"/>
                <w:szCs w:val="28"/>
              </w:rPr>
            </w:pPr>
            <w:r>
              <w:rPr>
                <w:rStyle w:val="a4"/>
                <w:rFonts w:ascii="Times New Roman" w:eastAsia="標楷體" w:hAnsi="Times New Roman"/>
                <w:kern w:val="0"/>
                <w:sz w:val="28"/>
                <w:szCs w:val="28"/>
              </w:rPr>
              <w:t>上述計算權重時已按地區醫院支付標準計算，因此在計算</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支付點數時必須以基本診療加成反映現有支付標準層級間的差異。</w:t>
            </w:r>
          </w:p>
          <w:p w:rsidR="00230528" w:rsidRDefault="00230528" w:rsidP="00AE30C5">
            <w:pPr>
              <w:pStyle w:val="a0"/>
              <w:widowControl/>
              <w:numPr>
                <w:ilvl w:val="0"/>
                <w:numId w:val="8"/>
              </w:numPr>
              <w:tabs>
                <w:tab w:val="clear" w:pos="720"/>
                <w:tab w:val="num" w:pos="794"/>
              </w:tabs>
              <w:spacing w:line="560" w:lineRule="exact"/>
              <w:ind w:left="794" w:hanging="425"/>
              <w:rPr>
                <w:rStyle w:val="a4"/>
                <w:rFonts w:ascii="Times New Roman" w:eastAsia="標楷體" w:hAnsi="Times New Roman"/>
                <w:kern w:val="0"/>
                <w:sz w:val="28"/>
                <w:szCs w:val="28"/>
              </w:rPr>
            </w:pPr>
            <w:r>
              <w:rPr>
                <w:rStyle w:val="a4"/>
                <w:rFonts w:ascii="Times New Roman" w:eastAsia="標楷體" w:hAnsi="Times New Roman"/>
                <w:kern w:val="0"/>
                <w:sz w:val="28"/>
                <w:szCs w:val="28"/>
              </w:rPr>
              <w:t>基本診療加成率計算公式：依資料期間年底的特約類別調整之醫療服務點數</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依地區醫院支付標準校正後的醫療點數</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p>
          <w:p w:rsidR="00230528" w:rsidRDefault="00230528">
            <w:pPr>
              <w:pStyle w:val="a0"/>
              <w:widowControl/>
              <w:numPr>
                <w:ilvl w:val="0"/>
                <w:numId w:val="7"/>
              </w:numPr>
              <w:tabs>
                <w:tab w:val="left" w:pos="360"/>
              </w:tabs>
              <w:spacing w:line="560" w:lineRule="exact"/>
            </w:pPr>
            <w:r>
              <w:rPr>
                <w:rStyle w:val="a4"/>
                <w:rFonts w:ascii="Times New Roman" w:eastAsia="標楷體" w:hAnsi="Times New Roman"/>
                <w:kern w:val="0"/>
                <w:sz w:val="28"/>
                <w:szCs w:val="28"/>
              </w:rPr>
              <w:t>為逐步落實同病同酬，朝向縮小層級間基本診療支付點數的方向努力，同意擴大基本診療加成對象及加成率，將地區教學醫院的基本診療加成率由</w:t>
            </w:r>
            <w:r>
              <w:rPr>
                <w:rStyle w:val="a4"/>
                <w:rFonts w:ascii="Times New Roman" w:eastAsia="標楷體" w:hAnsi="Times New Roman"/>
                <w:kern w:val="0"/>
                <w:sz w:val="28"/>
                <w:szCs w:val="28"/>
              </w:rPr>
              <w:t>3.2%</w:t>
            </w:r>
            <w:r>
              <w:rPr>
                <w:rStyle w:val="a4"/>
                <w:rFonts w:ascii="Times New Roman" w:eastAsia="標楷體" w:hAnsi="Times New Roman"/>
                <w:kern w:val="0"/>
                <w:sz w:val="28"/>
                <w:szCs w:val="28"/>
              </w:rPr>
              <w:t>調整為</w:t>
            </w:r>
            <w:r>
              <w:rPr>
                <w:rStyle w:val="a4"/>
                <w:rFonts w:ascii="Times New Roman" w:eastAsia="標楷體" w:hAnsi="Times New Roman"/>
                <w:kern w:val="0"/>
                <w:sz w:val="28"/>
                <w:szCs w:val="28"/>
              </w:rPr>
              <w:t>5%</w:t>
            </w:r>
            <w:r>
              <w:rPr>
                <w:rStyle w:val="a4"/>
                <w:rFonts w:ascii="Times New Roman" w:eastAsia="標楷體" w:hAnsi="Times New Roman"/>
                <w:kern w:val="0"/>
                <w:sz w:val="28"/>
                <w:szCs w:val="28"/>
              </w:rPr>
              <w:t>，地區醫院由</w:t>
            </w:r>
            <w:r>
              <w:rPr>
                <w:rStyle w:val="a4"/>
                <w:rFonts w:ascii="Times New Roman" w:eastAsia="標楷體" w:hAnsi="Times New Roman"/>
                <w:kern w:val="0"/>
                <w:sz w:val="28"/>
                <w:szCs w:val="28"/>
              </w:rPr>
              <w:t>0%</w:t>
            </w:r>
            <w:r>
              <w:rPr>
                <w:rStyle w:val="a4"/>
                <w:rFonts w:ascii="Times New Roman" w:eastAsia="標楷體" w:hAnsi="Times New Roman"/>
                <w:kern w:val="0"/>
                <w:sz w:val="28"/>
                <w:szCs w:val="28"/>
              </w:rPr>
              <w:t>調調整為</w:t>
            </w:r>
            <w:r>
              <w:rPr>
                <w:rStyle w:val="a4"/>
                <w:rFonts w:ascii="Times New Roman" w:eastAsia="標楷體" w:hAnsi="Times New Roman"/>
                <w:kern w:val="0"/>
                <w:sz w:val="28"/>
                <w:szCs w:val="28"/>
              </w:rPr>
              <w:t>5%</w:t>
            </w:r>
            <w:r>
              <w:rPr>
                <w:rStyle w:val="a4"/>
                <w:rFonts w:ascii="Times New Roman" w:eastAsia="標楷體" w:hAnsi="Times New Roman"/>
                <w:kern w:val="0"/>
                <w:sz w:val="28"/>
                <w:szCs w:val="28"/>
              </w:rPr>
              <w:t>。因調整基本診療加成率所增加點數由各年度醫院總額</w:t>
            </w:r>
            <w:r>
              <w:rPr>
                <w:rStyle w:val="a4"/>
                <w:rFonts w:ascii="Times New Roman" w:eastAsia="標楷體" w:hAnsi="Times New Roman"/>
                <w:kern w:val="0"/>
                <w:sz w:val="28"/>
                <w:szCs w:val="28"/>
              </w:rPr>
              <w:lastRenderedPageBreak/>
              <w:t>-</w:t>
            </w:r>
            <w:r>
              <w:rPr>
                <w:rStyle w:val="a4"/>
                <w:rFonts w:ascii="Times New Roman" w:eastAsia="標楷體" w:hAnsi="Times New Roman"/>
                <w:kern w:val="0"/>
                <w:sz w:val="28"/>
                <w:szCs w:val="28"/>
              </w:rPr>
              <w:t>「推動及鼓勵</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」之專款及醫院總額一般部門之點值反映。</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bookmarkStart w:id="10" w:name="_Toc392256920"/>
            <w:r>
              <w:rPr>
                <w:rStyle w:val="a4"/>
                <w:rFonts w:ascii="Times New Roman" w:hAnsi="Times New Roman"/>
                <w:szCs w:val="28"/>
              </w:rPr>
              <w:t>11.</w:t>
            </w:r>
            <w:r>
              <w:rPr>
                <w:rStyle w:val="a4"/>
                <w:rFonts w:ascii="Times New Roman" w:hAnsi="Times New Roman"/>
                <w:szCs w:val="28"/>
              </w:rPr>
              <w:t>兒童加成率的目的為何？如何計算得之？</w:t>
            </w:r>
            <w:bookmarkEnd w:id="10"/>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numPr>
                <w:ilvl w:val="0"/>
                <w:numId w:val="9"/>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兒童加成係反映支付標準兒童加成規定及為提昇對兒童之照顧、保障兒童於</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實施後各段年齡總體成長</w:t>
            </w:r>
            <w:r>
              <w:rPr>
                <w:rStyle w:val="a4"/>
                <w:rFonts w:ascii="Times New Roman" w:eastAsia="標楷體" w:hAnsi="Times New Roman"/>
                <w:kern w:val="0"/>
                <w:sz w:val="28"/>
                <w:szCs w:val="28"/>
              </w:rPr>
              <w:t>15%</w:t>
            </w:r>
            <w:r>
              <w:rPr>
                <w:rStyle w:val="a4"/>
                <w:rFonts w:ascii="Times New Roman" w:eastAsia="標楷體" w:hAnsi="Times New Roman"/>
                <w:kern w:val="0"/>
                <w:sz w:val="28"/>
                <w:szCs w:val="28"/>
              </w:rPr>
              <w:t>：現行支付標準考量臨床上兒童診療的困難度，在急診、檢驗、處置、手術、麻醉等章節，按小於</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個月、</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個月至</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歲，</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歲至</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歲兒童設計不同的加成率，所以由</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支付定額加計加成率，係反映支付標準兒童加成的規定。</w:t>
            </w:r>
          </w:p>
          <w:p w:rsidR="00230528" w:rsidRDefault="00230528">
            <w:pPr>
              <w:pStyle w:val="a0"/>
              <w:widowControl/>
              <w:numPr>
                <w:ilvl w:val="0"/>
                <w:numId w:val="9"/>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為提昇對兒童之照顧，每年於醫院總額協商時協定調整與鼓勵推動</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的預算，以支應保障兒童總體成長所需預算，加成適用各層級醫院收治之兒童加成。</w:t>
            </w:r>
          </w:p>
          <w:p w:rsidR="00230528" w:rsidRDefault="00230528">
            <w:pPr>
              <w:pStyle w:val="a0"/>
              <w:widowControl/>
              <w:numPr>
                <w:ilvl w:val="0"/>
                <w:numId w:val="9"/>
              </w:numPr>
              <w:tabs>
                <w:tab w:val="left" w:pos="360"/>
              </w:tabs>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計算公式：</w:t>
            </w:r>
          </w:p>
          <w:p w:rsidR="00230528" w:rsidRDefault="00230528" w:rsidP="00AE30C5">
            <w:pPr>
              <w:pStyle w:val="a0"/>
              <w:widowControl/>
              <w:numPr>
                <w:ilvl w:val="0"/>
                <w:numId w:val="10"/>
              </w:numPr>
              <w:tabs>
                <w:tab w:val="left" w:pos="936"/>
              </w:tabs>
              <w:spacing w:line="560" w:lineRule="exact"/>
              <w:ind w:left="936" w:hanging="520"/>
              <w:rPr>
                <w:rStyle w:val="a4"/>
                <w:rFonts w:ascii="Times New Roman" w:eastAsia="標楷體" w:hAnsi="Times New Roman"/>
                <w:kern w:val="0"/>
                <w:sz w:val="28"/>
                <w:szCs w:val="28"/>
              </w:rPr>
            </w:pPr>
            <w:r>
              <w:rPr>
                <w:rStyle w:val="a4"/>
                <w:rFonts w:ascii="Times New Roman" w:eastAsia="標楷體" w:hAnsi="Times New Roman"/>
                <w:kern w:val="0"/>
                <w:sz w:val="28"/>
                <w:szCs w:val="28"/>
              </w:rPr>
              <w:t>反映支付標準兒童加成規定部分</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不含</w:t>
            </w:r>
            <w:r>
              <w:rPr>
                <w:rStyle w:val="a4"/>
                <w:rFonts w:ascii="Times New Roman" w:eastAsia="標楷體" w:hAnsi="Times New Roman"/>
                <w:kern w:val="0"/>
                <w:sz w:val="28"/>
                <w:szCs w:val="28"/>
              </w:rPr>
              <w:t>MDC15)</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各段年齡層的醫療點數總合</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各段年齡層</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平均費用的總合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p>
          <w:p w:rsidR="00230528" w:rsidRDefault="00230528" w:rsidP="00AE30C5">
            <w:pPr>
              <w:pStyle w:val="a0"/>
              <w:widowControl/>
              <w:numPr>
                <w:ilvl w:val="0"/>
                <w:numId w:val="10"/>
              </w:numPr>
              <w:tabs>
                <w:tab w:val="left" w:pos="936"/>
              </w:tabs>
              <w:spacing w:line="560" w:lineRule="exact"/>
              <w:ind w:left="936" w:hanging="520"/>
              <w:rPr>
                <w:rStyle w:val="a4"/>
                <w:rFonts w:ascii="Times New Roman" w:eastAsia="標楷體" w:hAnsi="Times New Roman"/>
                <w:kern w:val="0"/>
                <w:sz w:val="28"/>
                <w:szCs w:val="28"/>
              </w:rPr>
            </w:pPr>
            <w:r>
              <w:rPr>
                <w:rStyle w:val="a4"/>
                <w:rFonts w:ascii="Times New Roman" w:eastAsia="標楷體" w:hAnsi="Times New Roman"/>
                <w:kern w:val="0"/>
                <w:sz w:val="28"/>
                <w:szCs w:val="28"/>
              </w:rPr>
              <w:t>保障兒童於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實施後各段年齡總體成長至</w:t>
            </w:r>
            <w:r>
              <w:rPr>
                <w:rStyle w:val="a4"/>
                <w:rFonts w:ascii="Times New Roman" w:eastAsia="標楷體" w:hAnsi="Times New Roman"/>
                <w:kern w:val="0"/>
                <w:sz w:val="28"/>
                <w:szCs w:val="28"/>
              </w:rPr>
              <w:t>15%</w:t>
            </w:r>
            <w:r>
              <w:rPr>
                <w:rStyle w:val="a4"/>
                <w:rFonts w:ascii="Times New Roman" w:eastAsia="標楷體" w:hAnsi="Times New Roman"/>
                <w:kern w:val="0"/>
                <w:sz w:val="28"/>
                <w:szCs w:val="28"/>
              </w:rPr>
              <w:t>部分</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含</w:t>
            </w:r>
            <w:r>
              <w:rPr>
                <w:rStyle w:val="a4"/>
                <w:rFonts w:ascii="Times New Roman" w:eastAsia="標楷體" w:hAnsi="Times New Roman"/>
                <w:kern w:val="0"/>
                <w:sz w:val="28"/>
                <w:szCs w:val="28"/>
              </w:rPr>
              <w:t>MDC15)</w:t>
            </w:r>
            <w:r>
              <w:rPr>
                <w:rStyle w:val="a4"/>
                <w:rFonts w:ascii="Times New Roman" w:eastAsia="標楷體" w:hAnsi="Times New Roman"/>
                <w:kern w:val="0"/>
                <w:sz w:val="28"/>
                <w:szCs w:val="28"/>
              </w:rPr>
              <w:t>：各段兒童年齡層的醫療點數</w:t>
            </w:r>
            <w:r>
              <w:rPr>
                <w:rStyle w:val="a4"/>
                <w:rFonts w:ascii="Times New Roman" w:eastAsia="標楷體" w:hAnsi="Times New Roman"/>
                <w:kern w:val="0"/>
                <w:sz w:val="28"/>
                <w:szCs w:val="28"/>
              </w:rPr>
              <w:t>*1.15=</w:t>
            </w:r>
            <w:r>
              <w:rPr>
                <w:rStyle w:val="a4"/>
                <w:rFonts w:ascii="Times New Roman" w:eastAsia="標楷體" w:hAnsi="Times New Roman"/>
                <w:kern w:val="0"/>
                <w:sz w:val="28"/>
                <w:szCs w:val="28"/>
              </w:rPr>
              <w:t>各段兒童年齡層導入後</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w:t>
            </w:r>
          </w:p>
          <w:p w:rsidR="00230528" w:rsidRDefault="00230528" w:rsidP="00AE30C5">
            <w:pPr>
              <w:pStyle w:val="a0"/>
              <w:widowControl/>
              <w:numPr>
                <w:ilvl w:val="0"/>
                <w:numId w:val="10"/>
              </w:numPr>
              <w:tabs>
                <w:tab w:val="clear" w:pos="720"/>
                <w:tab w:val="num" w:pos="936"/>
              </w:tabs>
              <w:spacing w:line="560" w:lineRule="exact"/>
              <w:ind w:left="936" w:hanging="567"/>
            </w:pPr>
            <w:r>
              <w:rPr>
                <w:rStyle w:val="a4"/>
                <w:rFonts w:ascii="Times New Roman" w:eastAsia="標楷體" w:hAnsi="Times New Roman"/>
                <w:kern w:val="0"/>
                <w:sz w:val="28"/>
                <w:szCs w:val="28"/>
              </w:rPr>
              <w:t>MDC15</w:t>
            </w:r>
            <w:r>
              <w:rPr>
                <w:rStyle w:val="a4"/>
                <w:rFonts w:ascii="Times New Roman" w:eastAsia="標楷體" w:hAnsi="Times New Roman"/>
                <w:kern w:val="0"/>
                <w:sz w:val="28"/>
                <w:szCs w:val="28"/>
              </w:rPr>
              <w:t>各段兒童年齡層加成率</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上述</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之成長率</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之成長率。</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bookmarkStart w:id="11" w:name="_Toc392256924"/>
            <w:r>
              <w:rPr>
                <w:rStyle w:val="a4"/>
                <w:rFonts w:ascii="Times New Roman" w:hAnsi="Times New Roman"/>
                <w:szCs w:val="28"/>
              </w:rPr>
              <w:t>12.</w:t>
            </w:r>
            <w:r>
              <w:rPr>
                <w:rStyle w:val="a4"/>
                <w:rFonts w:ascii="Times New Roman" w:hAnsi="Times New Roman"/>
                <w:szCs w:val="28"/>
              </w:rPr>
              <w:t>支付通則規定的住院日</w:t>
            </w:r>
            <w:r>
              <w:rPr>
                <w:rStyle w:val="a4"/>
                <w:rFonts w:ascii="Times New Roman" w:hAnsi="Times New Roman"/>
                <w:szCs w:val="28"/>
              </w:rPr>
              <w:t>30</w:t>
            </w:r>
            <w:r>
              <w:rPr>
                <w:rStyle w:val="a4"/>
                <w:rFonts w:ascii="Times New Roman" w:hAnsi="Times New Roman"/>
                <w:szCs w:val="28"/>
              </w:rPr>
              <w:t>日如</w:t>
            </w:r>
            <w:r>
              <w:rPr>
                <w:rStyle w:val="a4"/>
                <w:rFonts w:ascii="Times New Roman" w:hAnsi="Times New Roman"/>
                <w:szCs w:val="28"/>
              </w:rPr>
              <w:lastRenderedPageBreak/>
              <w:t>何計算</w:t>
            </w:r>
            <w:r>
              <w:rPr>
                <w:rStyle w:val="a4"/>
                <w:rFonts w:ascii="Times New Roman" w:hAnsi="Times New Roman"/>
                <w:szCs w:val="28"/>
              </w:rPr>
              <w:t>?</w:t>
            </w:r>
            <w:bookmarkEnd w:id="11"/>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lastRenderedPageBreak/>
              <w:t>Tw-DRGs</w:t>
            </w:r>
            <w:r>
              <w:rPr>
                <w:rStyle w:val="a4"/>
                <w:rFonts w:ascii="Times New Roman" w:eastAsia="標楷體" w:hAnsi="Times New Roman"/>
                <w:kern w:val="0"/>
                <w:sz w:val="28"/>
                <w:szCs w:val="28"/>
              </w:rPr>
              <w:t>第一章支付通則三規定「住院日超過</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日</w:t>
            </w:r>
            <w:r>
              <w:rPr>
                <w:rStyle w:val="a4"/>
                <w:rFonts w:ascii="Times New Roman" w:eastAsia="標楷體" w:hAnsi="Times New Roman"/>
                <w:kern w:val="0"/>
                <w:sz w:val="28"/>
                <w:szCs w:val="28"/>
              </w:rPr>
              <w:lastRenderedPageBreak/>
              <w:t>之案件」不適用</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之個案，其認定方式為歸戶後同一住院人次之急性病床天數</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慢性病床天數</w:t>
            </w:r>
            <w:r>
              <w:rPr>
                <w:rStyle w:val="a4"/>
                <w:rFonts w:ascii="Times New Roman" w:eastAsia="標楷體" w:hAnsi="Times New Roman"/>
                <w:kern w:val="0"/>
                <w:sz w:val="28"/>
                <w:szCs w:val="28"/>
              </w:rPr>
              <w:t>&gt;30</w:t>
            </w:r>
            <w:r>
              <w:rPr>
                <w:rStyle w:val="a4"/>
                <w:rFonts w:ascii="Times New Roman" w:eastAsia="標楷體" w:hAnsi="Times New Roman"/>
                <w:kern w:val="0"/>
                <w:sz w:val="28"/>
                <w:szCs w:val="28"/>
              </w:rPr>
              <w:t>天者。</w:t>
            </w:r>
          </w:p>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例如：</w:t>
            </w:r>
          </w:p>
          <w:p w:rsidR="00230528" w:rsidRDefault="00230528" w:rsidP="00AE30C5">
            <w:pPr>
              <w:pStyle w:val="a0"/>
              <w:widowControl/>
              <w:numPr>
                <w:ilvl w:val="0"/>
                <w:numId w:val="11"/>
              </w:numPr>
              <w:tabs>
                <w:tab w:val="clear" w:pos="360"/>
                <w:tab w:val="left" w:pos="369"/>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住院日</w:t>
            </w:r>
            <w:r>
              <w:rPr>
                <w:rStyle w:val="a4"/>
                <w:rFonts w:ascii="Times New Roman" w:eastAsia="標楷體" w:hAnsi="Times New Roman"/>
                <w:kern w:val="0"/>
                <w:sz w:val="28"/>
                <w:szCs w:val="28"/>
              </w:rPr>
              <w:t>9</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w:t>
            </w:r>
            <w:r>
              <w:rPr>
                <w:rStyle w:val="a4"/>
                <w:rFonts w:ascii="Times New Roman" w:eastAsia="標楷體" w:hAnsi="Times New Roman"/>
                <w:kern w:val="0"/>
                <w:sz w:val="28"/>
                <w:szCs w:val="28"/>
              </w:rPr>
              <w:t>(9</w:t>
            </w:r>
            <w:r>
              <w:rPr>
                <w:rStyle w:val="a4"/>
                <w:rFonts w:ascii="Times New Roman" w:eastAsia="標楷體" w:hAnsi="Times New Roman"/>
                <w:kern w:val="0"/>
                <w:sz w:val="28"/>
                <w:szCs w:val="28"/>
              </w:rPr>
              <w:t>月有</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天</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，出院日</w:t>
            </w:r>
            <w:r>
              <w:rPr>
                <w:rStyle w:val="a4"/>
                <w:rFonts w:ascii="Times New Roman" w:eastAsia="標楷體" w:hAnsi="Times New Roman"/>
                <w:kern w:val="0"/>
                <w:sz w:val="28"/>
                <w:szCs w:val="28"/>
              </w:rPr>
              <w:t>10</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日，急性病床天數</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天，屬</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適用範圍。</w:t>
            </w:r>
          </w:p>
          <w:p w:rsidR="00230528" w:rsidRDefault="00230528" w:rsidP="00AE30C5">
            <w:pPr>
              <w:pStyle w:val="a0"/>
              <w:numPr>
                <w:ilvl w:val="0"/>
                <w:numId w:val="11"/>
              </w:numPr>
              <w:tabs>
                <w:tab w:val="clear" w:pos="360"/>
                <w:tab w:val="left" w:pos="369"/>
              </w:tabs>
              <w:spacing w:line="560" w:lineRule="exact"/>
              <w:ind w:left="369" w:hanging="369"/>
              <w:rPr>
                <w:rStyle w:val="a4"/>
                <w:rFonts w:ascii="Times New Roman" w:eastAsia="標楷體" w:hAnsi="Times New Roman"/>
                <w:kern w:val="0"/>
                <w:sz w:val="28"/>
                <w:szCs w:val="28"/>
              </w:rPr>
            </w:pPr>
            <w:r>
              <w:rPr>
                <w:rStyle w:val="a4"/>
                <w:rFonts w:ascii="Times New Roman" w:eastAsia="標楷體" w:hAnsi="Times New Roman"/>
                <w:kern w:val="0"/>
                <w:sz w:val="28"/>
                <w:szCs w:val="28"/>
              </w:rPr>
              <w:t>住院日</w:t>
            </w:r>
            <w:r>
              <w:rPr>
                <w:rStyle w:val="a4"/>
                <w:rFonts w:ascii="Times New Roman" w:eastAsia="標楷體" w:hAnsi="Times New Roman"/>
                <w:kern w:val="0"/>
                <w:sz w:val="28"/>
                <w:szCs w:val="28"/>
              </w:rPr>
              <w:t>10</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w:t>
            </w:r>
            <w:r>
              <w:rPr>
                <w:rStyle w:val="a4"/>
                <w:rFonts w:ascii="Times New Roman" w:eastAsia="標楷體" w:hAnsi="Times New Roman"/>
                <w:kern w:val="0"/>
                <w:sz w:val="28"/>
                <w:szCs w:val="28"/>
              </w:rPr>
              <w:t>(10</w:t>
            </w:r>
            <w:r>
              <w:rPr>
                <w:rStyle w:val="a4"/>
                <w:rFonts w:ascii="Times New Roman" w:eastAsia="標楷體" w:hAnsi="Times New Roman"/>
                <w:kern w:val="0"/>
                <w:sz w:val="28"/>
                <w:szCs w:val="28"/>
              </w:rPr>
              <w:t>月有</w:t>
            </w:r>
            <w:r>
              <w:rPr>
                <w:rStyle w:val="a4"/>
                <w:rFonts w:ascii="Times New Roman" w:eastAsia="標楷體" w:hAnsi="Times New Roman"/>
                <w:kern w:val="0"/>
                <w:sz w:val="28"/>
                <w:szCs w:val="28"/>
              </w:rPr>
              <w:t>31</w:t>
            </w:r>
            <w:r>
              <w:rPr>
                <w:rStyle w:val="a4"/>
                <w:rFonts w:ascii="Times New Roman" w:eastAsia="標楷體" w:hAnsi="Times New Roman"/>
                <w:kern w:val="0"/>
                <w:sz w:val="28"/>
                <w:szCs w:val="28"/>
              </w:rPr>
              <w:t>日</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，出院日</w:t>
            </w:r>
            <w:r>
              <w:rPr>
                <w:rStyle w:val="a4"/>
                <w:rFonts w:ascii="Times New Roman" w:eastAsia="標楷體" w:hAnsi="Times New Roman"/>
                <w:kern w:val="0"/>
                <w:sz w:val="28"/>
                <w:szCs w:val="28"/>
              </w:rPr>
              <w:t>11</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日，急性病床天數</w:t>
            </w:r>
            <w:r>
              <w:rPr>
                <w:rStyle w:val="a4"/>
                <w:rFonts w:ascii="Times New Roman" w:eastAsia="標楷體" w:hAnsi="Times New Roman"/>
                <w:kern w:val="0"/>
                <w:sz w:val="28"/>
                <w:szCs w:val="28"/>
              </w:rPr>
              <w:t>31</w:t>
            </w:r>
            <w:r>
              <w:rPr>
                <w:rStyle w:val="a4"/>
                <w:rFonts w:ascii="Times New Roman" w:eastAsia="標楷體" w:hAnsi="Times New Roman"/>
                <w:kern w:val="0"/>
                <w:sz w:val="28"/>
                <w:szCs w:val="28"/>
              </w:rPr>
              <w:t>天，此個案住院日超過</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日，不屬</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適用範圍。</w:t>
            </w:r>
          </w:p>
          <w:p w:rsidR="00230528" w:rsidRDefault="00230528" w:rsidP="00AE30C5">
            <w:pPr>
              <w:pStyle w:val="a0"/>
              <w:numPr>
                <w:ilvl w:val="0"/>
                <w:numId w:val="11"/>
              </w:numPr>
              <w:tabs>
                <w:tab w:val="clear" w:pos="360"/>
                <w:tab w:val="left" w:pos="369"/>
              </w:tabs>
              <w:spacing w:line="560" w:lineRule="exact"/>
              <w:ind w:left="369" w:hanging="369"/>
            </w:pPr>
            <w:r>
              <w:rPr>
                <w:rStyle w:val="a4"/>
                <w:rFonts w:ascii="Times New Roman" w:eastAsia="標楷體" w:hAnsi="Times New Roman"/>
                <w:kern w:val="0"/>
                <w:sz w:val="28"/>
                <w:szCs w:val="28"/>
              </w:rPr>
              <w:t>住院日</w:t>
            </w:r>
            <w:r>
              <w:rPr>
                <w:rStyle w:val="a4"/>
                <w:rFonts w:ascii="Times New Roman" w:eastAsia="標楷體" w:hAnsi="Times New Roman"/>
                <w:kern w:val="0"/>
                <w:sz w:val="28"/>
                <w:szCs w:val="28"/>
              </w:rPr>
              <w:t>9</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日，出院日</w:t>
            </w:r>
            <w:r>
              <w:rPr>
                <w:rStyle w:val="a4"/>
                <w:rFonts w:ascii="Times New Roman" w:eastAsia="標楷體" w:hAnsi="Times New Roman"/>
                <w:kern w:val="0"/>
                <w:sz w:val="28"/>
                <w:szCs w:val="28"/>
              </w:rPr>
              <w:t>10</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5</w:t>
            </w:r>
            <w:r>
              <w:rPr>
                <w:rStyle w:val="a4"/>
                <w:rFonts w:ascii="Times New Roman" w:eastAsia="標楷體" w:hAnsi="Times New Roman"/>
                <w:kern w:val="0"/>
                <w:sz w:val="28"/>
                <w:szCs w:val="28"/>
              </w:rPr>
              <w:t>日，急性病床天數</w:t>
            </w:r>
            <w:r>
              <w:rPr>
                <w:rStyle w:val="a4"/>
                <w:rFonts w:ascii="Times New Roman" w:eastAsia="標楷體" w:hAnsi="Times New Roman"/>
                <w:kern w:val="0"/>
                <w:sz w:val="28"/>
                <w:szCs w:val="28"/>
              </w:rPr>
              <w:t>21</w:t>
            </w:r>
            <w:r>
              <w:rPr>
                <w:rStyle w:val="a4"/>
                <w:rFonts w:ascii="Times New Roman" w:eastAsia="標楷體" w:hAnsi="Times New Roman"/>
                <w:kern w:val="0"/>
                <w:sz w:val="28"/>
                <w:szCs w:val="28"/>
              </w:rPr>
              <w:t>天，慢性病床天數</w:t>
            </w:r>
            <w:r>
              <w:rPr>
                <w:rStyle w:val="a4"/>
                <w:rFonts w:ascii="Times New Roman" w:eastAsia="標楷體" w:hAnsi="Times New Roman"/>
                <w:kern w:val="0"/>
                <w:sz w:val="28"/>
                <w:szCs w:val="28"/>
              </w:rPr>
              <w:t>13</w:t>
            </w:r>
            <w:r>
              <w:rPr>
                <w:rStyle w:val="a4"/>
                <w:rFonts w:ascii="Times New Roman" w:eastAsia="標楷體" w:hAnsi="Times New Roman"/>
                <w:kern w:val="0"/>
                <w:sz w:val="28"/>
                <w:szCs w:val="28"/>
              </w:rPr>
              <w:t>天，總住院天數</w:t>
            </w:r>
            <w:r>
              <w:rPr>
                <w:rStyle w:val="a4"/>
                <w:rFonts w:ascii="Times New Roman" w:eastAsia="標楷體" w:hAnsi="Times New Roman"/>
                <w:kern w:val="0"/>
                <w:sz w:val="28"/>
                <w:szCs w:val="28"/>
              </w:rPr>
              <w:t>34</w:t>
            </w:r>
            <w:r>
              <w:rPr>
                <w:rStyle w:val="a4"/>
                <w:rFonts w:ascii="Times New Roman" w:eastAsia="標楷體" w:hAnsi="Times New Roman"/>
                <w:kern w:val="0"/>
                <w:sz w:val="28"/>
                <w:szCs w:val="28"/>
              </w:rPr>
              <w:t>日，此個案住院日超過</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日，不屬</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適用範圍。</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r>
              <w:rPr>
                <w:rStyle w:val="a4"/>
                <w:rFonts w:ascii="Times New Roman" w:hAnsi="Times New Roman"/>
                <w:szCs w:val="28"/>
              </w:rPr>
              <w:t>13.</w:t>
            </w:r>
            <w:r>
              <w:rPr>
                <w:rStyle w:val="a4"/>
                <w:rFonts w:ascii="Times New Roman" w:hAnsi="Times New Roman"/>
              </w:rPr>
              <w:t>不適用</w:t>
            </w:r>
            <w:r>
              <w:rPr>
                <w:rStyle w:val="a4"/>
                <w:rFonts w:ascii="Times New Roman" w:hAnsi="Times New Roman"/>
              </w:rPr>
              <w:t>Tw-DRGs</w:t>
            </w:r>
            <w:r>
              <w:rPr>
                <w:rStyle w:val="a4"/>
                <w:rFonts w:ascii="Times New Roman" w:hAnsi="Times New Roman"/>
              </w:rPr>
              <w:t>案件範圍有哪些</w:t>
            </w:r>
            <w:r>
              <w:rPr>
                <w:rStyle w:val="a4"/>
                <w:rFonts w:ascii="Times New Roman" w:hAnsi="Times New Roman"/>
              </w:rPr>
              <w:t>?</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標楷體" w:eastAsia="標楷體" w:hAnsi="標楷體"/>
                <w:sz w:val="28"/>
                <w:szCs w:val="28"/>
              </w:rPr>
              <w:t>考量</w:t>
            </w:r>
            <w:r>
              <w:rPr>
                <w:rStyle w:val="a4"/>
                <w:rFonts w:ascii="Times New Roman" w:eastAsia="標楷體" w:hAnsi="Times New Roman"/>
                <w:kern w:val="0"/>
                <w:sz w:val="28"/>
                <w:szCs w:val="28"/>
              </w:rPr>
              <w:t>重症疾病病情較複雜與不穩定</w:t>
            </w:r>
            <w:r>
              <w:rPr>
                <w:rStyle w:val="a4"/>
                <w:rFonts w:ascii="標楷體" w:eastAsia="標楷體" w:hAnsi="標楷體"/>
                <w:kern w:val="0"/>
                <w:sz w:val="28"/>
                <w:szCs w:val="28"/>
              </w:rPr>
              <w:t>，</w:t>
            </w:r>
            <w:r>
              <w:rPr>
                <w:rStyle w:val="a4"/>
                <w:rFonts w:ascii="標楷體" w:eastAsia="標楷體" w:hAnsi="標楷體"/>
                <w:sz w:val="28"/>
                <w:szCs w:val="28"/>
              </w:rPr>
              <w:t>醫療資源耗用大、支付較高點數</w:t>
            </w:r>
            <w:r>
              <w:rPr>
                <w:rStyle w:val="a4"/>
                <w:rFonts w:ascii="Times New Roman" w:eastAsia="標楷體" w:hAnsi="Times New Roman"/>
                <w:sz w:val="28"/>
                <w:szCs w:val="28"/>
              </w:rPr>
              <w:t>，</w:t>
            </w:r>
            <w:r>
              <w:rPr>
                <w:rStyle w:val="a4"/>
                <w:rFonts w:ascii="Times New Roman" w:eastAsia="標楷體" w:hAnsi="Times New Roman"/>
                <w:kern w:val="0"/>
                <w:sz w:val="28"/>
                <w:szCs w:val="28"/>
              </w:rPr>
              <w:t>不納入</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範圍內，如癌症</w:t>
            </w:r>
            <w:r>
              <w:rPr>
                <w:rStyle w:val="a4"/>
                <w:rFonts w:ascii="標楷體" w:eastAsia="標楷體" w:hAnsi="標楷體"/>
                <w:sz w:val="28"/>
                <w:szCs w:val="28"/>
              </w:rPr>
              <w:t>、</w:t>
            </w:r>
            <w:r>
              <w:rPr>
                <w:rStyle w:val="a4"/>
                <w:rFonts w:ascii="Times New Roman" w:eastAsia="標楷體" w:hAnsi="Times New Roman"/>
                <w:kern w:val="0"/>
                <w:sz w:val="28"/>
                <w:szCs w:val="28"/>
              </w:rPr>
              <w:t>精神病患</w:t>
            </w:r>
            <w:r>
              <w:rPr>
                <w:rStyle w:val="a4"/>
                <w:rFonts w:ascii="標楷體" w:eastAsia="標楷體" w:hAnsi="標楷體"/>
                <w:sz w:val="28"/>
                <w:szCs w:val="28"/>
              </w:rPr>
              <w:t>、</w:t>
            </w:r>
            <w:r>
              <w:rPr>
                <w:rStyle w:val="a4"/>
                <w:rFonts w:ascii="Times New Roman" w:eastAsia="標楷體" w:hAnsi="Times New Roman"/>
                <w:kern w:val="0"/>
                <w:sz w:val="28"/>
                <w:szCs w:val="28"/>
              </w:rPr>
              <w:t>血友病、愛滋病、罕見疾病</w:t>
            </w:r>
            <w:r>
              <w:rPr>
                <w:rStyle w:val="a4"/>
                <w:rFonts w:ascii="標楷體" w:eastAsia="標楷體" w:hAnsi="標楷體"/>
                <w:sz w:val="28"/>
                <w:szCs w:val="28"/>
              </w:rPr>
              <w:t>、</w:t>
            </w:r>
            <w:r>
              <w:rPr>
                <w:rStyle w:val="a4"/>
                <w:rFonts w:ascii="Times New Roman" w:eastAsia="標楷體" w:hAnsi="Times New Roman"/>
                <w:kern w:val="0"/>
                <w:sz w:val="28"/>
                <w:szCs w:val="28"/>
              </w:rPr>
              <w:t>住院天數超過</w:t>
            </w:r>
            <w:r>
              <w:rPr>
                <w:rStyle w:val="a4"/>
                <w:rFonts w:ascii="Times New Roman" w:eastAsia="標楷體" w:hAnsi="Times New Roman"/>
                <w:kern w:val="0"/>
                <w:sz w:val="28"/>
                <w:szCs w:val="28"/>
              </w:rPr>
              <w:t>30</w:t>
            </w:r>
            <w:r>
              <w:rPr>
                <w:rStyle w:val="a4"/>
                <w:rFonts w:ascii="Times New Roman" w:eastAsia="標楷體" w:hAnsi="Times New Roman"/>
                <w:kern w:val="0"/>
                <w:sz w:val="28"/>
                <w:szCs w:val="28"/>
              </w:rPr>
              <w:t>天者</w:t>
            </w:r>
            <w:r>
              <w:rPr>
                <w:rStyle w:val="a4"/>
                <w:rFonts w:ascii="標楷體" w:eastAsia="標楷體" w:hAnsi="標楷體"/>
                <w:sz w:val="28"/>
                <w:szCs w:val="28"/>
              </w:rPr>
              <w:t>、</w:t>
            </w:r>
            <w:r>
              <w:rPr>
                <w:rStyle w:val="a4"/>
                <w:rFonts w:ascii="Times New Roman" w:eastAsia="標楷體" w:hAnsi="Times New Roman"/>
                <w:kern w:val="0"/>
                <w:sz w:val="28"/>
                <w:szCs w:val="28"/>
              </w:rPr>
              <w:t>使用</w:t>
            </w:r>
            <w:r>
              <w:rPr>
                <w:rStyle w:val="a4"/>
                <w:rFonts w:ascii="Times New Roman" w:eastAsia="標楷體" w:hAnsi="Times New Roman"/>
                <w:kern w:val="0"/>
                <w:sz w:val="28"/>
                <w:szCs w:val="28"/>
              </w:rPr>
              <w:t>ECMO</w:t>
            </w:r>
            <w:r>
              <w:rPr>
                <w:rStyle w:val="a4"/>
                <w:rFonts w:ascii="Times New Roman" w:eastAsia="標楷體" w:hAnsi="Times New Roman"/>
                <w:kern w:val="0"/>
                <w:sz w:val="28"/>
                <w:szCs w:val="28"/>
              </w:rPr>
              <w:t>個案、臟器移植併發症及後續住院、安寧療護、使用主動脈氣球幫浦個案、高危險生產個案、</w:t>
            </w:r>
            <w:r>
              <w:rPr>
                <w:rStyle w:val="a4"/>
                <w:rFonts w:ascii="Times New Roman" w:eastAsia="標楷體" w:hAnsi="Times New Roman"/>
                <w:sz w:val="28"/>
                <w:szCs w:val="28"/>
              </w:rPr>
              <w:t>同時施行骨盆腔多器官重建手術個案</w:t>
            </w:r>
            <w:r>
              <w:rPr>
                <w:rStyle w:val="a4"/>
                <w:rFonts w:ascii="新細明體" w:hAnsi="新細明體"/>
                <w:sz w:val="28"/>
                <w:szCs w:val="28"/>
              </w:rPr>
              <w:t>，</w:t>
            </w:r>
            <w:r w:rsidRPr="00AE30C5">
              <w:rPr>
                <w:rStyle w:val="a4"/>
                <w:rFonts w:ascii="標楷體" w:eastAsia="標楷體" w:hAnsi="標楷體"/>
                <w:sz w:val="28"/>
                <w:szCs w:val="28"/>
              </w:rPr>
              <w:t>死亡及病危自動出院之個案</w:t>
            </w:r>
            <w:r w:rsidRPr="00AE30C5">
              <w:rPr>
                <w:rStyle w:val="a4"/>
                <w:rFonts w:ascii="Times New Roman" w:eastAsia="標楷體" w:hAnsi="Times New Roman"/>
                <w:kern w:val="0"/>
                <w:sz w:val="28"/>
                <w:szCs w:val="28"/>
              </w:rPr>
              <w:t>。</w:t>
            </w:r>
          </w:p>
        </w:tc>
      </w:tr>
      <w:tr w:rsidR="00230528" w:rsidTr="004E7561">
        <w:trPr>
          <w:trHeight w:val="562"/>
        </w:trPr>
        <w:tc>
          <w:tcPr>
            <w:tcW w:w="142" w:type="dxa"/>
            <w:tcBorders>
              <w:right w:val="single" w:sz="4" w:space="0" w:color="000000"/>
            </w:tcBorders>
            <w:shd w:val="clear" w:color="auto" w:fill="auto"/>
          </w:tcPr>
          <w:p w:rsidR="00230528" w:rsidRDefault="00230528">
            <w:pPr>
              <w:pStyle w:val="a0"/>
              <w:rPr>
                <w:rFonts w:ascii="Times New Roman" w:hAnsi="Times New Roman"/>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bookmarkStart w:id="12" w:name="_Toc392256925"/>
            <w:r>
              <w:rPr>
                <w:rStyle w:val="a4"/>
                <w:rFonts w:ascii="Times New Roman" w:hAnsi="Times New Roman"/>
                <w:szCs w:val="28"/>
              </w:rPr>
              <w:t>14.</w:t>
            </w:r>
            <w:r>
              <w:rPr>
                <w:rStyle w:val="a4"/>
                <w:rFonts w:ascii="Times New Roman" w:hAnsi="Times New Roman"/>
                <w:szCs w:val="28"/>
              </w:rPr>
              <w:t>不適用</w:t>
            </w:r>
            <w:r>
              <w:rPr>
                <w:rStyle w:val="a4"/>
                <w:rFonts w:ascii="Times New Roman" w:hAnsi="Times New Roman"/>
                <w:szCs w:val="28"/>
              </w:rPr>
              <w:t>Tw-DRGs</w:t>
            </w:r>
            <w:r>
              <w:rPr>
                <w:rStyle w:val="a4"/>
                <w:rFonts w:ascii="Times New Roman" w:hAnsi="Times New Roman"/>
                <w:szCs w:val="28"/>
              </w:rPr>
              <w:t>案件中，試辦計畫之操作型定義為何？</w:t>
            </w:r>
            <w:bookmarkEnd w:id="12"/>
            <w:r>
              <w:rPr>
                <w:rStyle w:val="a4"/>
                <w:rFonts w:ascii="Times New Roman" w:hAnsi="Times New Roman"/>
                <w:szCs w:val="28"/>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特約醫事機構住院醫療費用點數申報格式</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點數清單段項次</w:t>
            </w:r>
            <w:r>
              <w:rPr>
                <w:rStyle w:val="a4"/>
                <w:rFonts w:ascii="Times New Roman" w:eastAsia="標楷體" w:hAnsi="Times New Roman"/>
                <w:kern w:val="0"/>
                <w:sz w:val="28"/>
                <w:szCs w:val="28"/>
              </w:rPr>
              <w:t>ID-d102</w:t>
            </w:r>
            <w:r>
              <w:rPr>
                <w:rStyle w:val="a4"/>
                <w:rFonts w:ascii="Times New Roman" w:eastAsia="標楷體" w:hAnsi="Times New Roman"/>
                <w:kern w:val="0"/>
                <w:sz w:val="28"/>
                <w:szCs w:val="28"/>
              </w:rPr>
              <w:t>「不適用</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案件特殊註記」</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，已說明試辦計畫為給付類別</w:t>
            </w:r>
            <w:r>
              <w:rPr>
                <w:rStyle w:val="a4"/>
                <w:rFonts w:ascii="Times New Roman" w:eastAsia="標楷體" w:hAnsi="Times New Roman"/>
                <w:kern w:val="0"/>
                <w:sz w:val="28"/>
                <w:szCs w:val="28"/>
              </w:rPr>
              <w:t>9(</w:t>
            </w:r>
            <w:r>
              <w:rPr>
                <w:rStyle w:val="a4"/>
                <w:rFonts w:ascii="Times New Roman" w:eastAsia="標楷體" w:hAnsi="Times New Roman"/>
                <w:kern w:val="0"/>
                <w:sz w:val="28"/>
                <w:szCs w:val="28"/>
              </w:rPr>
              <w:t>呼吸照護</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A</w:t>
            </w:r>
            <w:r>
              <w:rPr>
                <w:rStyle w:val="a4"/>
                <w:rFonts w:ascii="Times New Roman" w:eastAsia="標楷體" w:hAnsi="Times New Roman"/>
                <w:kern w:val="0"/>
                <w:sz w:val="28"/>
                <w:szCs w:val="28"/>
              </w:rPr>
              <w:t>（安寧療護）、</w:t>
            </w:r>
            <w:r>
              <w:rPr>
                <w:rStyle w:val="a4"/>
                <w:rFonts w:ascii="Times New Roman" w:eastAsia="標楷體" w:hAnsi="Times New Roman"/>
                <w:kern w:val="0"/>
                <w:sz w:val="28"/>
                <w:szCs w:val="28"/>
              </w:rPr>
              <w:t>M(B</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C</w:t>
            </w:r>
            <w:r>
              <w:rPr>
                <w:rStyle w:val="a4"/>
                <w:rFonts w:ascii="Times New Roman" w:eastAsia="標楷體" w:hAnsi="Times New Roman"/>
                <w:kern w:val="0"/>
                <w:sz w:val="28"/>
                <w:szCs w:val="28"/>
              </w:rPr>
              <w:t>型肝炎治療試辦計畫</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D(</w:t>
            </w:r>
            <w:r>
              <w:rPr>
                <w:rStyle w:val="a4"/>
                <w:rFonts w:ascii="Times New Roman" w:eastAsia="標楷體" w:hAnsi="Times New Roman"/>
                <w:kern w:val="0"/>
                <w:sz w:val="28"/>
                <w:szCs w:val="28"/>
              </w:rPr>
              <w:t>週產期論人</w:t>
            </w:r>
            <w:r>
              <w:rPr>
                <w:rStyle w:val="a4"/>
                <w:rFonts w:ascii="Times New Roman" w:eastAsia="標楷體" w:hAnsi="Times New Roman"/>
                <w:kern w:val="0"/>
                <w:sz w:val="28"/>
                <w:szCs w:val="28"/>
              </w:rPr>
              <w:lastRenderedPageBreak/>
              <w:t>支付制度試辦計畫</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bCs/>
                <w:kern w:val="0"/>
                <w:sz w:val="28"/>
                <w:szCs w:val="28"/>
              </w:rPr>
              <w:t>d111</w:t>
            </w:r>
            <w:r>
              <w:rPr>
                <w:rStyle w:val="a4"/>
                <w:rFonts w:ascii="Times New Roman" w:eastAsia="標楷體" w:hAnsi="Times New Roman"/>
                <w:sz w:val="28"/>
                <w:szCs w:val="28"/>
              </w:rPr>
              <w:t>試辦計畫：</w:t>
            </w:r>
            <w:r>
              <w:rPr>
                <w:rStyle w:val="a4"/>
                <w:rFonts w:ascii="Times New Roman" w:eastAsia="標楷體" w:hAnsi="Times New Roman"/>
                <w:sz w:val="28"/>
                <w:szCs w:val="28"/>
              </w:rPr>
              <w:t>1</w:t>
            </w:r>
            <w:r>
              <w:rPr>
                <w:rStyle w:val="a4"/>
                <w:rFonts w:ascii="Times New Roman" w:eastAsia="標楷體" w:hAnsi="Times New Roman"/>
                <w:sz w:val="28"/>
                <w:szCs w:val="28"/>
              </w:rPr>
              <w:t>（提升急性後期照護品質試辦計畫）</w:t>
            </w:r>
            <w:r>
              <w:rPr>
                <w:rStyle w:val="a4"/>
                <w:rFonts w:ascii="Times New Roman" w:eastAsia="標楷體" w:hAnsi="Times New Roman"/>
                <w:kern w:val="0"/>
                <w:sz w:val="28"/>
                <w:szCs w:val="28"/>
              </w:rPr>
              <w:t>或病患來源</w:t>
            </w:r>
            <w:r>
              <w:rPr>
                <w:rStyle w:val="a4"/>
                <w:rFonts w:ascii="Times New Roman" w:eastAsia="標楷體" w:hAnsi="Times New Roman"/>
                <w:kern w:val="0"/>
                <w:sz w:val="28"/>
                <w:szCs w:val="28"/>
              </w:rPr>
              <w:t>N</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C</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R(</w:t>
            </w:r>
            <w:r>
              <w:rPr>
                <w:rStyle w:val="a4"/>
                <w:rFonts w:ascii="Times New Roman" w:eastAsia="標楷體" w:hAnsi="Times New Roman"/>
                <w:kern w:val="0"/>
                <w:sz w:val="28"/>
                <w:szCs w:val="28"/>
              </w:rPr>
              <w:t>乳癌試辦計畫</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者。</w:t>
            </w:r>
          </w:p>
        </w:tc>
      </w:tr>
      <w:tr w:rsidR="00230528" w:rsidTr="004E7561">
        <w:trPr>
          <w:trHeight w:val="2923"/>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r>
              <w:rPr>
                <w:rFonts w:ascii="Times New Roman" w:eastAsia="標楷體" w:hAnsi="Times New Roman"/>
                <w:kern w:val="0"/>
                <w:sz w:val="20"/>
                <w:szCs w:val="20"/>
              </w:rPr>
              <w:lastRenderedPageBreak/>
              <w:t xml:space="preserve"> </w:t>
            </w:r>
          </w:p>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395" w:hanging="395"/>
              <w:rPr>
                <w:rFonts w:ascii="Times New Roman" w:hAnsi="Times New Roman"/>
                <w:szCs w:val="28"/>
              </w:rPr>
            </w:pPr>
            <w:bookmarkStart w:id="13" w:name="_Toc392256926"/>
            <w:r>
              <w:rPr>
                <w:rStyle w:val="a4"/>
                <w:rFonts w:ascii="Times New Roman" w:hAnsi="Times New Roman"/>
                <w:szCs w:val="28"/>
              </w:rPr>
              <w:t>15.</w:t>
            </w:r>
            <w:r>
              <w:rPr>
                <w:rStyle w:val="a4"/>
                <w:rFonts w:ascii="Times New Roman" w:hAnsi="Times New Roman"/>
              </w:rPr>
              <w:t>住院安寧療護案件之操作型定義為何？</w:t>
            </w:r>
            <w:r>
              <w:rPr>
                <w:rStyle w:val="a4"/>
                <w:rFonts w:ascii="Times New Roman" w:hAnsi="Times New Roman"/>
              </w:rPr>
              <w:br/>
            </w:r>
            <w:bookmarkEnd w:id="13"/>
          </w:p>
          <w:p w:rsidR="00230528" w:rsidRDefault="00230528">
            <w:pPr>
              <w:pStyle w:val="a0"/>
              <w:widowControl/>
              <w:spacing w:line="400" w:lineRule="exact"/>
              <w:jc w:val="both"/>
              <w:rPr>
                <w:rFonts w:ascii="Times New Roman" w:eastAsia="標楷體" w:hAnsi="Times New Roman"/>
                <w:kern w:val="0"/>
                <w:sz w:val="28"/>
                <w:szCs w:val="28"/>
              </w:rPr>
            </w:pPr>
          </w:p>
        </w:tc>
        <w:tc>
          <w:tcPr>
            <w:tcW w:w="6662" w:type="dxa"/>
            <w:tcBorders>
              <w:bottom w:val="single" w:sz="4" w:space="0" w:color="000000"/>
              <w:right w:val="single" w:sz="4" w:space="0" w:color="000000"/>
            </w:tcBorders>
            <w:shd w:val="clear" w:color="auto" w:fill="auto"/>
          </w:tcPr>
          <w:p w:rsidR="00230528" w:rsidRDefault="00230528">
            <w:pPr>
              <w:pStyle w:val="a0"/>
              <w:numPr>
                <w:ilvl w:val="0"/>
                <w:numId w:val="12"/>
              </w:numPr>
              <w:tabs>
                <w:tab w:val="left" w:pos="634"/>
              </w:tabs>
              <w:spacing w:line="560" w:lineRule="exact"/>
              <w:ind w:left="634"/>
              <w:rPr>
                <w:rStyle w:val="a4"/>
                <w:rFonts w:ascii="Times New Roman" w:eastAsia="標楷體" w:hAnsi="Times New Roman"/>
                <w:kern w:val="0"/>
                <w:sz w:val="28"/>
                <w:szCs w:val="28"/>
              </w:rPr>
            </w:pPr>
            <w:r>
              <w:rPr>
                <w:rStyle w:val="a4"/>
                <w:rFonts w:ascii="Times New Roman" w:eastAsia="標楷體" w:hAnsi="Times New Roman"/>
                <w:kern w:val="0"/>
                <w:sz w:val="28"/>
                <w:szCs w:val="28"/>
              </w:rPr>
              <w:t>住院安寧療護個案，即申報支付標準第二部第一章第八節之個案，原為試辦計畫，</w:t>
            </w:r>
            <w:r>
              <w:rPr>
                <w:rStyle w:val="a4"/>
                <w:rFonts w:ascii="Times New Roman" w:eastAsia="標楷體" w:hAnsi="Times New Roman"/>
                <w:kern w:val="0"/>
                <w:sz w:val="28"/>
                <w:szCs w:val="28"/>
              </w:rPr>
              <w:t>98</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9</w:t>
            </w:r>
            <w:r>
              <w:rPr>
                <w:rStyle w:val="a4"/>
                <w:rFonts w:ascii="Times New Roman" w:eastAsia="標楷體" w:hAnsi="Times New Roman"/>
                <w:kern w:val="0"/>
                <w:sz w:val="28"/>
                <w:szCs w:val="28"/>
              </w:rPr>
              <w:t>月納入支付標準並按日定額支付，仍排除於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範圍。</w:t>
            </w:r>
          </w:p>
          <w:p w:rsidR="00230528" w:rsidRDefault="00230528">
            <w:pPr>
              <w:pStyle w:val="a0"/>
              <w:numPr>
                <w:ilvl w:val="0"/>
                <w:numId w:val="12"/>
              </w:numPr>
              <w:tabs>
                <w:tab w:val="left" w:pos="634"/>
              </w:tabs>
              <w:spacing w:line="560" w:lineRule="exact"/>
              <w:ind w:left="634"/>
            </w:pPr>
            <w:r>
              <w:rPr>
                <w:rStyle w:val="a4"/>
                <w:rFonts w:ascii="Times New Roman" w:eastAsia="標楷體" w:hAnsi="Times New Roman"/>
                <w:kern w:val="0"/>
                <w:sz w:val="28"/>
                <w:szCs w:val="28"/>
              </w:rPr>
              <w:t>此類個案為「特約醫事機構住院醫療費用點數申報格式」項次</w:t>
            </w:r>
            <w:r>
              <w:rPr>
                <w:rStyle w:val="a4"/>
                <w:rFonts w:ascii="Times New Roman" w:eastAsia="標楷體" w:hAnsi="Times New Roman"/>
                <w:kern w:val="0"/>
                <w:sz w:val="28"/>
                <w:szCs w:val="28"/>
              </w:rPr>
              <w:t>11</w:t>
            </w:r>
            <w:r>
              <w:rPr>
                <w:rStyle w:val="a4"/>
                <w:rFonts w:ascii="Times New Roman" w:eastAsia="標楷體" w:hAnsi="Times New Roman"/>
                <w:kern w:val="0"/>
                <w:sz w:val="28"/>
                <w:szCs w:val="28"/>
              </w:rPr>
              <w:t>給付類別「</w:t>
            </w:r>
            <w:r>
              <w:rPr>
                <w:rStyle w:val="a4"/>
                <w:rFonts w:ascii="Times New Roman" w:eastAsia="標楷體" w:hAnsi="Times New Roman"/>
                <w:kern w:val="0"/>
                <w:sz w:val="28"/>
                <w:szCs w:val="28"/>
              </w:rPr>
              <w:t>A</w:t>
            </w:r>
            <w:r>
              <w:rPr>
                <w:rStyle w:val="a4"/>
                <w:rFonts w:ascii="Times New Roman" w:eastAsia="標楷體" w:hAnsi="Times New Roman"/>
                <w:kern w:val="0"/>
                <w:sz w:val="28"/>
                <w:szCs w:val="28"/>
              </w:rPr>
              <w:t>」及</w:t>
            </w:r>
            <w:r>
              <w:rPr>
                <w:rStyle w:val="a4"/>
                <w:rFonts w:ascii="Times New Roman" w:eastAsia="標楷體" w:hAnsi="Times New Roman"/>
                <w:kern w:val="0"/>
                <w:sz w:val="28"/>
                <w:szCs w:val="28"/>
              </w:rPr>
              <w:t>13</w:t>
            </w:r>
            <w:r>
              <w:rPr>
                <w:rStyle w:val="a4"/>
                <w:rFonts w:ascii="Times New Roman" w:eastAsia="標楷體" w:hAnsi="Times New Roman"/>
                <w:kern w:val="0"/>
                <w:sz w:val="28"/>
                <w:szCs w:val="28"/>
              </w:rPr>
              <w:t>案件分類「</w:t>
            </w:r>
            <w:r>
              <w:rPr>
                <w:rStyle w:val="a4"/>
                <w:rFonts w:ascii="Times New Roman" w:eastAsia="標楷體" w:hAnsi="Times New Roman"/>
                <w:kern w:val="0"/>
                <w:sz w:val="28"/>
                <w:szCs w:val="28"/>
              </w:rPr>
              <w:t>6</w:t>
            </w:r>
            <w:r>
              <w:rPr>
                <w:rStyle w:val="a4"/>
                <w:rFonts w:ascii="Times New Roman" w:eastAsia="標楷體" w:hAnsi="Times New Roman"/>
                <w:kern w:val="0"/>
                <w:sz w:val="28"/>
                <w:szCs w:val="28"/>
              </w:rPr>
              <w:t>」安寧療護案件。</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420" w:hanging="420"/>
            </w:pPr>
            <w:bookmarkStart w:id="14" w:name="_Toc392256927"/>
            <w:r>
              <w:rPr>
                <w:rStyle w:val="a4"/>
                <w:rFonts w:ascii="Times New Roman" w:hAnsi="Times New Roman"/>
                <w:szCs w:val="28"/>
              </w:rPr>
              <w:t>16.</w:t>
            </w:r>
            <w:r>
              <w:rPr>
                <w:rStyle w:val="a4"/>
                <w:rFonts w:ascii="Times New Roman" w:hAnsi="Times New Roman"/>
                <w:szCs w:val="28"/>
              </w:rPr>
              <w:t>住院過程中加入試辦計畫，後又離開該試辦計畫者，是否屬</w:t>
            </w:r>
            <w:r>
              <w:rPr>
                <w:rStyle w:val="a4"/>
                <w:rFonts w:ascii="Times New Roman" w:hAnsi="Times New Roman"/>
                <w:szCs w:val="28"/>
              </w:rPr>
              <w:t>Tw-DRGs</w:t>
            </w:r>
            <w:r>
              <w:rPr>
                <w:rStyle w:val="a4"/>
                <w:rFonts w:ascii="Times New Roman" w:hAnsi="Times New Roman"/>
                <w:szCs w:val="28"/>
              </w:rPr>
              <w:t>適用個案？</w:t>
            </w:r>
            <w:bookmarkEnd w:id="14"/>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第一章支付通則三所列不適用條件係包含同次住院之範圍，又本通則三</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五</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已排除試辦計畫個案，若住院後轉安寧病房係為同次住院，即使後來離開試辦計畫，亦不列入</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範圍。</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2.DRG</w:t>
            </w:r>
            <w:r>
              <w:rPr>
                <w:rStyle w:val="a4"/>
                <w:rFonts w:ascii="Times New Roman" w:eastAsia="標楷體" w:hAnsi="Times New Roman"/>
                <w:kern w:val="0"/>
                <w:sz w:val="28"/>
                <w:szCs w:val="28"/>
              </w:rPr>
              <w:t>係涵蓋一住院人次，同一住院人次中涉試辦計畫案件者即為</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排除案件。</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420" w:hanging="420"/>
            </w:pPr>
            <w:bookmarkStart w:id="15" w:name="_Toc392256928"/>
            <w:r>
              <w:rPr>
                <w:rStyle w:val="a4"/>
                <w:rFonts w:ascii="Times New Roman" w:hAnsi="Times New Roman"/>
                <w:szCs w:val="28"/>
              </w:rPr>
              <w:t>17.</w:t>
            </w:r>
            <w:r>
              <w:rPr>
                <w:rStyle w:val="a4"/>
                <w:rFonts w:ascii="Times New Roman" w:hAnsi="Times New Roman"/>
                <w:szCs w:val="28"/>
              </w:rPr>
              <w:t>住院時為一般案件，後發現有肺結核需強制隔離治療，於隔離病房期間費用由疾病管制局支付，後再度由隔離病房轉至一般病房，此類案件是否屬</w:t>
            </w:r>
            <w:r>
              <w:rPr>
                <w:rStyle w:val="a4"/>
                <w:rFonts w:ascii="Times New Roman" w:hAnsi="Times New Roman"/>
                <w:szCs w:val="28"/>
              </w:rPr>
              <w:t>Tw-DRGs</w:t>
            </w:r>
            <w:r>
              <w:rPr>
                <w:rStyle w:val="a4"/>
                <w:rFonts w:ascii="Times New Roman" w:hAnsi="Times New Roman"/>
                <w:szCs w:val="28"/>
              </w:rPr>
              <w:t>適用個案？</w:t>
            </w:r>
            <w:bookmarkEnd w:id="15"/>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rPr>
                <w:rFonts w:ascii="Times New Roman" w:eastAsia="標楷體" w:hAnsi="Times New Roman"/>
                <w:kern w:val="0"/>
                <w:sz w:val="28"/>
                <w:szCs w:val="28"/>
              </w:rPr>
            </w:pPr>
            <w:r>
              <w:rPr>
                <w:rStyle w:val="a4"/>
                <w:rFonts w:ascii="Times New Roman" w:eastAsia="標楷體" w:hAnsi="Times New Roman"/>
                <w:kern w:val="0"/>
                <w:sz w:val="28"/>
                <w:szCs w:val="28"/>
              </w:rPr>
              <w:t>當次住院過程中若涉強制住院，整筆費用中有部分費用由政府編列預算補助者，因拆分後即不是完整住院費用，不列入</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適用範圍。</w:t>
            </w:r>
          </w:p>
          <w:p w:rsidR="00230528" w:rsidRDefault="00230528">
            <w:pPr>
              <w:pStyle w:val="a0"/>
              <w:widowControl/>
              <w:spacing w:line="560" w:lineRule="exact"/>
              <w:ind w:left="280" w:hanging="280"/>
              <w:rPr>
                <w:rFonts w:ascii="Times New Roman" w:eastAsia="標楷體" w:hAnsi="Times New Roman"/>
                <w:kern w:val="0"/>
                <w:sz w:val="28"/>
                <w:szCs w:val="28"/>
              </w:rPr>
            </w:pPr>
          </w:p>
        </w:tc>
      </w:tr>
      <w:tr w:rsidR="00230528" w:rsidTr="004E7561">
        <w:trPr>
          <w:trHeight w:val="692"/>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420" w:hanging="420"/>
            </w:pPr>
            <w:bookmarkStart w:id="16" w:name="_Toc392256929"/>
            <w:r>
              <w:rPr>
                <w:rStyle w:val="a4"/>
                <w:rFonts w:ascii="Times New Roman" w:hAnsi="Times New Roman"/>
                <w:szCs w:val="28"/>
              </w:rPr>
              <w:t>18.</w:t>
            </w:r>
            <w:r>
              <w:rPr>
                <w:rStyle w:val="a4"/>
                <w:rFonts w:ascii="Times New Roman" w:hAnsi="Times New Roman"/>
                <w:szCs w:val="28"/>
              </w:rPr>
              <w:t>如住院期間中間某幾天接受臨床試驗</w:t>
            </w:r>
            <w:r>
              <w:rPr>
                <w:rStyle w:val="a4"/>
                <w:rFonts w:ascii="Times New Roman" w:hAnsi="Times New Roman"/>
                <w:szCs w:val="28"/>
              </w:rPr>
              <w:t>(</w:t>
            </w:r>
            <w:r>
              <w:rPr>
                <w:rStyle w:val="a4"/>
                <w:rFonts w:ascii="Times New Roman" w:hAnsi="Times New Roman"/>
                <w:szCs w:val="28"/>
              </w:rPr>
              <w:t>其費用亦非健保支</w:t>
            </w:r>
            <w:r>
              <w:rPr>
                <w:rStyle w:val="a4"/>
                <w:rFonts w:ascii="Times New Roman" w:hAnsi="Times New Roman"/>
                <w:szCs w:val="28"/>
              </w:rPr>
              <w:lastRenderedPageBreak/>
              <w:t>付</w:t>
            </w:r>
            <w:r>
              <w:rPr>
                <w:rStyle w:val="a4"/>
                <w:rFonts w:ascii="Times New Roman" w:hAnsi="Times New Roman"/>
                <w:szCs w:val="28"/>
              </w:rPr>
              <w:t>)</w:t>
            </w:r>
            <w:r>
              <w:rPr>
                <w:rStyle w:val="a4"/>
                <w:rFonts w:ascii="Times New Roman" w:hAnsi="Times New Roman"/>
                <w:szCs w:val="28"/>
              </w:rPr>
              <w:t>，其住院天數應如何計算？</w:t>
            </w:r>
            <w:bookmarkEnd w:id="16"/>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sz w:val="28"/>
                <w:szCs w:val="28"/>
              </w:rPr>
              <w:lastRenderedPageBreak/>
              <w:t>臨床試驗項目應為不得另行計費，臨床試驗期間之其他醫療費用是否為保險給付或因為臨床試驗而不給</w:t>
            </w:r>
            <w:r>
              <w:rPr>
                <w:rStyle w:val="a4"/>
                <w:rFonts w:ascii="Times New Roman" w:eastAsia="標楷體" w:hAnsi="Times New Roman"/>
                <w:sz w:val="28"/>
                <w:szCs w:val="28"/>
              </w:rPr>
              <w:lastRenderedPageBreak/>
              <w:t>付，二者不易明確切割，故整件案件仍應依</w:t>
            </w:r>
            <w:r>
              <w:rPr>
                <w:rStyle w:val="a4"/>
                <w:rFonts w:ascii="Times New Roman" w:eastAsia="標楷體" w:hAnsi="Times New Roman"/>
                <w:sz w:val="28"/>
                <w:szCs w:val="28"/>
              </w:rPr>
              <w:t>Tw-DRGs</w:t>
            </w:r>
            <w:r>
              <w:rPr>
                <w:rStyle w:val="a4"/>
                <w:rFonts w:ascii="Times New Roman" w:eastAsia="標楷體" w:hAnsi="Times New Roman"/>
                <w:sz w:val="28"/>
                <w:szCs w:val="28"/>
              </w:rPr>
              <w:t>通則認定，住院日數部分不另排除。</w:t>
            </w:r>
          </w:p>
        </w:tc>
      </w:tr>
      <w:tr w:rsidR="00230528" w:rsidTr="004E7561">
        <w:trPr>
          <w:trHeight w:val="1170"/>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bottom w:val="single" w:sz="4" w:space="0" w:color="000000"/>
              <w:right w:val="single" w:sz="4" w:space="0" w:color="000000"/>
            </w:tcBorders>
            <w:shd w:val="clear" w:color="auto" w:fill="auto"/>
          </w:tcPr>
          <w:p w:rsidR="00230528" w:rsidRDefault="00230528">
            <w:pPr>
              <w:pStyle w:val="af5"/>
              <w:ind w:left="420" w:hanging="420"/>
              <w:rPr>
                <w:rFonts w:ascii="Times New Roman" w:hAnsi="Times New Roman"/>
                <w:szCs w:val="28"/>
              </w:rPr>
            </w:pPr>
            <w:bookmarkStart w:id="17" w:name="_Toc392256931"/>
            <w:r>
              <w:rPr>
                <w:rStyle w:val="a4"/>
                <w:rFonts w:ascii="Times New Roman" w:hAnsi="Times New Roman"/>
                <w:szCs w:val="28"/>
              </w:rPr>
              <w:t>19.</w:t>
            </w:r>
            <w:r>
              <w:rPr>
                <w:rStyle w:val="a4"/>
                <w:rFonts w:ascii="Times New Roman" w:hAnsi="Times New Roman"/>
                <w:szCs w:val="28"/>
              </w:rPr>
              <w:t>請說明主診斷定義？</w:t>
            </w:r>
            <w:bookmarkEnd w:id="17"/>
          </w:p>
          <w:p w:rsidR="00230528" w:rsidRDefault="00230528">
            <w:pPr>
              <w:pStyle w:val="a0"/>
              <w:spacing w:line="560" w:lineRule="exact"/>
              <w:rPr>
                <w:rFonts w:ascii="Times New Roman" w:eastAsia="標楷體" w:hAnsi="Times New Roman"/>
                <w:sz w:val="28"/>
                <w:szCs w:val="28"/>
              </w:rPr>
            </w:pPr>
          </w:p>
        </w:tc>
        <w:tc>
          <w:tcPr>
            <w:tcW w:w="6662" w:type="dxa"/>
            <w:tcBorders>
              <w:bottom w:val="single" w:sz="4" w:space="0" w:color="000000"/>
              <w:right w:val="single" w:sz="4" w:space="0" w:color="000000"/>
            </w:tcBorders>
            <w:shd w:val="clear" w:color="auto" w:fill="auto"/>
          </w:tcPr>
          <w:p w:rsidR="00230528" w:rsidRDefault="00230528">
            <w:pPr>
              <w:pStyle w:val="a0"/>
              <w:widowControl/>
              <w:spacing w:line="560" w:lineRule="exact"/>
              <w:ind w:left="274" w:hanging="274"/>
              <w:rPr>
                <w:rStyle w:val="a4"/>
                <w:rFonts w:ascii="Times New Roman" w:eastAsia="標楷體" w:hAnsi="Times New Roman"/>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第二章</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分類架構及原則之通則三規定，</w:t>
            </w:r>
            <w:r>
              <w:rPr>
                <w:rStyle w:val="a4"/>
                <w:rFonts w:ascii="Times New Roman" w:eastAsia="標楷體" w:hAnsi="Times New Roman"/>
                <w:sz w:val="28"/>
                <w:szCs w:val="28"/>
              </w:rPr>
              <w:t>主診斷之定義為「經研判後，被確定為引起病人此次住院醫療主要原因，引起病人此次住院醫療之多重診斷，得擇取醫療資源耗用高者為主要診斷」，其主診斷之選取是指當有多個診斷均可當主診斷時，得擇取資源耗用較大者為主診斷。</w:t>
            </w:r>
          </w:p>
          <w:p w:rsidR="00230528" w:rsidRDefault="00230528">
            <w:pPr>
              <w:pStyle w:val="a0"/>
              <w:widowControl/>
              <w:spacing w:line="560" w:lineRule="exact"/>
              <w:ind w:left="274" w:hanging="274"/>
            </w:pPr>
            <w:r>
              <w:rPr>
                <w:rStyle w:val="a4"/>
                <w:rFonts w:ascii="Times New Roman" w:eastAsia="標楷體" w:hAnsi="Times New Roman"/>
                <w:sz w:val="28"/>
                <w:szCs w:val="28"/>
              </w:rPr>
              <w:t>2.</w:t>
            </w:r>
            <w:r>
              <w:rPr>
                <w:rStyle w:val="a4"/>
                <w:rFonts w:ascii="Times New Roman" w:eastAsia="標楷體" w:hAnsi="Times New Roman"/>
                <w:sz w:val="28"/>
                <w:szCs w:val="28"/>
              </w:rPr>
              <w:t>例如患者在入院時存在癌症，如此次入院不是進行癌症治療，即不是引起病人此次住院醫療之診斷，不得為主診斷。</w:t>
            </w:r>
          </w:p>
        </w:tc>
      </w:tr>
      <w:tr w:rsidR="00230528" w:rsidTr="004E7561">
        <w:trPr>
          <w:trHeight w:val="550"/>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bookmarkStart w:id="18" w:name="_Toc392256933"/>
            <w:r>
              <w:rPr>
                <w:rStyle w:val="a4"/>
                <w:rFonts w:ascii="Times New Roman" w:hAnsi="Times New Roman"/>
                <w:szCs w:val="28"/>
              </w:rPr>
              <w:t>20.Tw-DRGs</w:t>
            </w:r>
            <w:r>
              <w:rPr>
                <w:rStyle w:val="a4"/>
                <w:rFonts w:ascii="Times New Roman" w:hAnsi="Times New Roman"/>
                <w:szCs w:val="28"/>
              </w:rPr>
              <w:t>支付制度第二章</w:t>
            </w:r>
            <w:r>
              <w:rPr>
                <w:rStyle w:val="a4"/>
                <w:rFonts w:ascii="Times New Roman" w:hAnsi="Times New Roman"/>
                <w:szCs w:val="28"/>
              </w:rPr>
              <w:t>Tw-DRGs</w:t>
            </w:r>
            <w:r>
              <w:rPr>
                <w:rStyle w:val="a4"/>
                <w:rFonts w:ascii="Times New Roman" w:hAnsi="Times New Roman"/>
                <w:szCs w:val="28"/>
              </w:rPr>
              <w:t>分類架構及原則通則五、</w:t>
            </w:r>
            <w:r>
              <w:rPr>
                <w:rStyle w:val="a4"/>
                <w:rFonts w:ascii="Times New Roman" w:hAnsi="Times New Roman"/>
                <w:szCs w:val="28"/>
              </w:rPr>
              <w:t>(</w:t>
            </w:r>
            <w:r>
              <w:rPr>
                <w:rStyle w:val="a4"/>
                <w:rFonts w:ascii="Times New Roman" w:hAnsi="Times New Roman"/>
                <w:szCs w:val="28"/>
              </w:rPr>
              <w:t>三</w:t>
            </w:r>
            <w:r>
              <w:rPr>
                <w:rStyle w:val="a4"/>
                <w:rFonts w:ascii="Times New Roman" w:hAnsi="Times New Roman"/>
                <w:szCs w:val="28"/>
              </w:rPr>
              <w:t>)…</w:t>
            </w:r>
            <w:r>
              <w:rPr>
                <w:rStyle w:val="a4"/>
                <w:rFonts w:ascii="Times New Roman" w:hAnsi="Times New Roman"/>
                <w:szCs w:val="28"/>
              </w:rPr>
              <w:t>若屬二個以上無權重</w:t>
            </w:r>
            <w:r>
              <w:rPr>
                <w:rStyle w:val="a4"/>
                <w:rFonts w:ascii="Times New Roman" w:hAnsi="Times New Roman"/>
                <w:szCs w:val="28"/>
              </w:rPr>
              <w:t>DRG</w:t>
            </w:r>
            <w:r>
              <w:rPr>
                <w:rStyle w:val="a4"/>
                <w:rFonts w:ascii="Times New Roman" w:hAnsi="Times New Roman"/>
                <w:szCs w:val="28"/>
              </w:rPr>
              <w:t>者依附表</w:t>
            </w:r>
            <w:r>
              <w:rPr>
                <w:rStyle w:val="a4"/>
                <w:rFonts w:ascii="Times New Roman" w:hAnsi="Times New Roman"/>
                <w:szCs w:val="28"/>
              </w:rPr>
              <w:t>7.1.11</w:t>
            </w:r>
            <w:r>
              <w:rPr>
                <w:rStyle w:val="a4"/>
                <w:rFonts w:ascii="Times New Roman" w:hAnsi="Times New Roman"/>
                <w:szCs w:val="28"/>
              </w:rPr>
              <w:t>流程圖順序認定，核實申報費用」之用意？</w:t>
            </w:r>
            <w:bookmarkEnd w:id="18"/>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通則五、</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三</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規定「其他若出現符合二個以上</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條件者，</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編審結果得以權重高者申報，若其中任一項無權重者，以該個案點數除以全國平均點數，所得值大於等於其他</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權重者，歸類於無權重之</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，若屬二個以上無權重</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者依附表</w:t>
            </w:r>
            <w:r>
              <w:rPr>
                <w:rStyle w:val="a4"/>
                <w:rFonts w:ascii="Times New Roman" w:eastAsia="標楷體" w:hAnsi="Times New Roman"/>
                <w:kern w:val="0"/>
                <w:sz w:val="28"/>
                <w:szCs w:val="28"/>
              </w:rPr>
              <w:t>7.1.11</w:t>
            </w:r>
            <w:r>
              <w:rPr>
                <w:rStyle w:val="a4"/>
                <w:rFonts w:ascii="Times New Roman" w:eastAsia="標楷體" w:hAnsi="Times New Roman"/>
                <w:kern w:val="0"/>
                <w:sz w:val="28"/>
                <w:szCs w:val="28"/>
              </w:rPr>
              <w:t>流程圖順序認定，核實申報費用；所得值小於其他</w:t>
            </w:r>
            <w:r>
              <w:rPr>
                <w:rStyle w:val="a4"/>
                <w:rFonts w:ascii="Times New Roman" w:eastAsia="標楷體" w:hAnsi="Times New Roman"/>
                <w:kern w:val="0"/>
                <w:sz w:val="28"/>
                <w:szCs w:val="28"/>
              </w:rPr>
              <w:t>Tw-DRG</w:t>
            </w:r>
            <w:r>
              <w:rPr>
                <w:rStyle w:val="a4"/>
                <w:rFonts w:ascii="Times New Roman" w:eastAsia="標楷體" w:hAnsi="Times New Roman"/>
                <w:kern w:val="0"/>
                <w:sz w:val="28"/>
                <w:szCs w:val="28"/>
              </w:rPr>
              <w:t>權重者，歸類於該有權重之</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」，其中若屬二個以上無權重</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者依附表</w:t>
            </w:r>
            <w:r>
              <w:rPr>
                <w:rStyle w:val="a4"/>
                <w:rFonts w:ascii="Times New Roman" w:eastAsia="標楷體" w:hAnsi="Times New Roman"/>
                <w:kern w:val="0"/>
                <w:sz w:val="28"/>
                <w:szCs w:val="28"/>
              </w:rPr>
              <w:t>7.1.11</w:t>
            </w:r>
            <w:r>
              <w:rPr>
                <w:rStyle w:val="a4"/>
                <w:rFonts w:ascii="Times New Roman" w:eastAsia="標楷體" w:hAnsi="Times New Roman"/>
                <w:kern w:val="0"/>
                <w:sz w:val="28"/>
                <w:szCs w:val="28"/>
              </w:rPr>
              <w:t>流程圖順序認定，核實申報費用，係為同時符合有權重及無權重的二個以上</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條件時，</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落點的優先順序：例如</w:t>
            </w:r>
          </w:p>
          <w:p w:rsidR="00230528" w:rsidRDefault="00230528">
            <w:pPr>
              <w:pStyle w:val="a0"/>
              <w:widowControl/>
              <w:spacing w:line="560" w:lineRule="exact"/>
              <w:ind w:left="416" w:hanging="296"/>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情況一：若出現符合有權重及無權重各乙個以上</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含</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條件時，以計算後權重大者為</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lastRenderedPageBreak/>
              <w:t>落點。</w:t>
            </w:r>
          </w:p>
          <w:p w:rsidR="00230528" w:rsidRDefault="00230528">
            <w:pPr>
              <w:pStyle w:val="a0"/>
              <w:widowControl/>
              <w:spacing w:line="560" w:lineRule="exact"/>
              <w:ind w:left="414" w:hanging="282"/>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情況二：若出現二個</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含</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落點均為無權重者，則以附表</w:t>
            </w:r>
            <w:r>
              <w:rPr>
                <w:rStyle w:val="a4"/>
                <w:rFonts w:ascii="Times New Roman" w:eastAsia="標楷體" w:hAnsi="Times New Roman"/>
                <w:kern w:val="0"/>
                <w:sz w:val="28"/>
                <w:szCs w:val="28"/>
              </w:rPr>
              <w:t>7.1.11</w:t>
            </w:r>
            <w:r>
              <w:rPr>
                <w:rStyle w:val="a4"/>
                <w:rFonts w:ascii="Times New Roman" w:eastAsia="標楷體" w:hAnsi="Times New Roman"/>
                <w:kern w:val="0"/>
                <w:sz w:val="28"/>
                <w:szCs w:val="28"/>
              </w:rPr>
              <w:t>流程圖中無權重</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項目之順序認定。</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5" w:hanging="277"/>
              <w:rPr>
                <w:rStyle w:val="a4"/>
                <w:rFonts w:ascii="Times New Roman" w:hAnsi="Times New Roman"/>
                <w:szCs w:val="28"/>
              </w:rPr>
            </w:pPr>
            <w:bookmarkStart w:id="19" w:name="_Toc392256934"/>
            <w:r>
              <w:rPr>
                <w:rStyle w:val="a4"/>
                <w:rFonts w:ascii="Times New Roman" w:hAnsi="Times New Roman"/>
                <w:szCs w:val="28"/>
              </w:rPr>
              <w:t>21.</w:t>
            </w:r>
            <w:r>
              <w:rPr>
                <w:rStyle w:val="a4"/>
                <w:rFonts w:ascii="Times New Roman" w:hAnsi="Times New Roman"/>
                <w:szCs w:val="28"/>
              </w:rPr>
              <w:t>裝置「腹主動脈瘤支架暨輸送引導系統」之個案，原應屬</w:t>
            </w:r>
            <w:r>
              <w:rPr>
                <w:rStyle w:val="a4"/>
                <w:rFonts w:ascii="Times New Roman" w:hAnsi="Times New Roman"/>
                <w:szCs w:val="28"/>
              </w:rPr>
              <w:t>DRG</w:t>
            </w:r>
            <w:r>
              <w:rPr>
                <w:rStyle w:val="a4"/>
                <w:rFonts w:ascii="Times New Roman" w:hAnsi="Times New Roman"/>
                <w:szCs w:val="28"/>
              </w:rPr>
              <w:t>範圍暫以論量計酬方式申報乙項，所稱「腹主動脈瘤支架暨輸送引導系統」是指那些特材？</w:t>
            </w:r>
            <w:bookmarkEnd w:id="19"/>
          </w:p>
          <w:p w:rsidR="00230528" w:rsidRDefault="00230528">
            <w:pPr>
              <w:pStyle w:val="af5"/>
              <w:ind w:left="420" w:hanging="420"/>
              <w:rPr>
                <w:rFonts w:ascii="Times New Roman" w:hAnsi="Times New Roman"/>
                <w:szCs w:val="28"/>
              </w:rPr>
            </w:pPr>
            <w:r>
              <w:rPr>
                <w:rStyle w:val="a4"/>
                <w:rFonts w:ascii="Times New Roman" w:hAnsi="Times New Roman"/>
                <w:szCs w:val="28"/>
              </w:rPr>
              <w:t xml:space="preserve">  </w:t>
            </w:r>
          </w:p>
          <w:p w:rsidR="00230528" w:rsidRDefault="00230528">
            <w:pPr>
              <w:pStyle w:val="af5"/>
              <w:ind w:left="416" w:hanging="162"/>
              <w:rPr>
                <w:rFonts w:ascii="Times New Roman" w:hAnsi="Times New Roman"/>
                <w:szCs w:val="28"/>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114" w:hanging="142"/>
              <w:jc w:val="both"/>
              <w:rPr>
                <w:rStyle w:val="a4"/>
                <w:rFonts w:ascii="Times New Roman" w:eastAsia="標楷體" w:hAnsi="Times New Roman"/>
                <w:bCs/>
                <w:kern w:val="0"/>
                <w:sz w:val="28"/>
                <w:szCs w:val="28"/>
              </w:rPr>
            </w:pPr>
            <w:r>
              <w:rPr>
                <w:rStyle w:val="a4"/>
                <w:rFonts w:ascii="Times New Roman" w:eastAsia="標楷體" w:hAnsi="Times New Roman"/>
                <w:bCs/>
                <w:kern w:val="0"/>
                <w:sz w:val="28"/>
                <w:szCs w:val="28"/>
              </w:rPr>
              <w:t>1.99</w:t>
            </w:r>
            <w:r>
              <w:rPr>
                <w:rStyle w:val="a4"/>
                <w:rFonts w:ascii="Times New Roman" w:eastAsia="標楷體" w:hAnsi="Times New Roman"/>
                <w:bCs/>
                <w:kern w:val="0"/>
                <w:sz w:val="28"/>
                <w:szCs w:val="28"/>
              </w:rPr>
              <w:t>年</w:t>
            </w:r>
            <w:r>
              <w:rPr>
                <w:rStyle w:val="a4"/>
                <w:rFonts w:ascii="Times New Roman" w:eastAsia="標楷體" w:hAnsi="Times New Roman"/>
                <w:bCs/>
                <w:kern w:val="0"/>
                <w:sz w:val="28"/>
                <w:szCs w:val="28"/>
              </w:rPr>
              <w:t>2</w:t>
            </w:r>
            <w:r>
              <w:rPr>
                <w:rStyle w:val="a4"/>
                <w:rFonts w:ascii="Times New Roman" w:eastAsia="標楷體" w:hAnsi="Times New Roman"/>
                <w:bCs/>
                <w:kern w:val="0"/>
                <w:sz w:val="28"/>
                <w:szCs w:val="28"/>
              </w:rPr>
              <w:t>月</w:t>
            </w:r>
            <w:r>
              <w:rPr>
                <w:rStyle w:val="a4"/>
                <w:rFonts w:ascii="Times New Roman" w:eastAsia="標楷體" w:hAnsi="Times New Roman"/>
                <w:bCs/>
                <w:kern w:val="0"/>
                <w:sz w:val="28"/>
                <w:szCs w:val="28"/>
              </w:rPr>
              <w:t>1</w:t>
            </w:r>
            <w:r>
              <w:rPr>
                <w:rStyle w:val="a4"/>
                <w:rFonts w:ascii="Times New Roman" w:eastAsia="標楷體" w:hAnsi="Times New Roman"/>
                <w:bCs/>
                <w:kern w:val="0"/>
                <w:sz w:val="28"/>
                <w:szCs w:val="28"/>
              </w:rPr>
              <w:t>日起納入本保險給付之「腹主動脈瘤支架暨輸送引導系統」之特材代碼範圍</w:t>
            </w:r>
            <w:r>
              <w:rPr>
                <w:rStyle w:val="a4"/>
                <w:rFonts w:ascii="新細明體" w:hAnsi="新細明體"/>
                <w:bCs/>
                <w:kern w:val="0"/>
                <w:sz w:val="28"/>
                <w:szCs w:val="28"/>
              </w:rPr>
              <w:t>，</w:t>
            </w:r>
            <w:r>
              <w:rPr>
                <w:rStyle w:val="a4"/>
                <w:rFonts w:ascii="標楷體" w:eastAsia="標楷體" w:hAnsi="標楷體"/>
                <w:bCs/>
                <w:kern w:val="0"/>
                <w:sz w:val="28"/>
                <w:szCs w:val="28"/>
              </w:rPr>
              <w:t>參閱本署全球資訊網/</w:t>
            </w:r>
            <w:r>
              <w:rPr>
                <w:rStyle w:val="a4"/>
                <w:rFonts w:ascii="Times New Roman" w:eastAsia="標楷體" w:hAnsi="Times New Roman"/>
                <w:bCs/>
                <w:kern w:val="0"/>
                <w:sz w:val="28"/>
                <w:szCs w:val="28"/>
              </w:rPr>
              <w:t>DRG</w:t>
            </w:r>
            <w:r>
              <w:rPr>
                <w:rStyle w:val="a4"/>
                <w:rFonts w:ascii="標楷體" w:eastAsia="標楷體" w:hAnsi="標楷體"/>
                <w:bCs/>
                <w:kern w:val="0"/>
                <w:sz w:val="28"/>
                <w:szCs w:val="28"/>
              </w:rPr>
              <w:t>住院診斷關聯群支付制度專區/</w:t>
            </w:r>
            <w:r>
              <w:rPr>
                <w:rStyle w:val="a4"/>
                <w:rFonts w:ascii="標楷體" w:eastAsia="標楷體" w:hAnsi="標楷體" w:cs="Arial"/>
                <w:sz w:val="28"/>
                <w:szCs w:val="28"/>
              </w:rPr>
              <w:t>「全民健康保險醫療服務給付項目及支付標準」第七部全民健康保險住院診斷關聯群</w:t>
            </w:r>
            <w:r>
              <w:rPr>
                <w:rStyle w:val="a4"/>
                <w:rFonts w:ascii="Times New Roman" w:eastAsia="標楷體" w:hAnsi="Times New Roman"/>
                <w:bCs/>
                <w:kern w:val="0"/>
                <w:sz w:val="28"/>
                <w:szCs w:val="28"/>
              </w:rPr>
              <w:t>/</w:t>
            </w:r>
            <w:r>
              <w:rPr>
                <w:rStyle w:val="a4"/>
                <w:rFonts w:ascii="標楷體" w:eastAsia="標楷體" w:hAnsi="標楷體"/>
                <w:sz w:val="28"/>
                <w:szCs w:val="28"/>
              </w:rPr>
              <w:t>全新功能類別特殊材料項目</w:t>
            </w:r>
            <w:r>
              <w:rPr>
                <w:rStyle w:val="a4"/>
                <w:rFonts w:ascii="Times New Roman" w:eastAsia="標楷體" w:hAnsi="Times New Roman"/>
                <w:bCs/>
                <w:kern w:val="0"/>
                <w:sz w:val="28"/>
                <w:szCs w:val="28"/>
              </w:rPr>
              <w:t>。</w:t>
            </w:r>
          </w:p>
          <w:p w:rsidR="00230528" w:rsidRDefault="00230528">
            <w:pPr>
              <w:pStyle w:val="a0"/>
              <w:widowControl/>
              <w:spacing w:line="560" w:lineRule="exact"/>
              <w:ind w:left="255" w:hanging="255"/>
            </w:pPr>
            <w:r>
              <w:rPr>
                <w:rStyle w:val="a4"/>
                <w:rFonts w:ascii="Times New Roman" w:eastAsia="標楷體" w:hAnsi="Times New Roman"/>
                <w:bCs/>
                <w:kern w:val="0"/>
                <w:sz w:val="28"/>
                <w:szCs w:val="28"/>
              </w:rPr>
              <w:t>2.</w:t>
            </w:r>
            <w:r>
              <w:rPr>
                <w:rStyle w:val="a4"/>
                <w:rFonts w:ascii="Times New Roman" w:eastAsia="標楷體" w:hAnsi="Times New Roman"/>
                <w:bCs/>
                <w:kern w:val="0"/>
                <w:sz w:val="28"/>
                <w:szCs w:val="28"/>
              </w:rPr>
              <w:t>個案當次住院期間使用上述特材時，其</w:t>
            </w:r>
            <w:r>
              <w:rPr>
                <w:rStyle w:val="a4"/>
                <w:rFonts w:ascii="Times New Roman" w:eastAsia="標楷體" w:hAnsi="Times New Roman"/>
                <w:bCs/>
                <w:kern w:val="0"/>
                <w:sz w:val="28"/>
                <w:szCs w:val="28"/>
              </w:rPr>
              <w:t>DRG</w:t>
            </w:r>
            <w:r>
              <w:rPr>
                <w:rStyle w:val="a4"/>
                <w:rFonts w:ascii="Times New Roman" w:eastAsia="標楷體" w:hAnsi="Times New Roman"/>
                <w:bCs/>
                <w:kern w:val="0"/>
                <w:sz w:val="28"/>
                <w:szCs w:val="28"/>
              </w:rPr>
              <w:t>落點雖屬第</w:t>
            </w:r>
            <w:r>
              <w:rPr>
                <w:rStyle w:val="a4"/>
                <w:rFonts w:ascii="Times New Roman" w:eastAsia="標楷體" w:hAnsi="Times New Roman"/>
                <w:bCs/>
                <w:kern w:val="0"/>
                <w:sz w:val="28"/>
                <w:szCs w:val="28"/>
              </w:rPr>
              <w:t>1</w:t>
            </w:r>
            <w:r>
              <w:rPr>
                <w:rStyle w:val="a4"/>
                <w:rFonts w:ascii="Times New Roman" w:eastAsia="標楷體" w:hAnsi="Times New Roman"/>
                <w:bCs/>
                <w:kern w:val="0"/>
                <w:sz w:val="28"/>
                <w:szCs w:val="28"/>
              </w:rPr>
              <w:t>年</w:t>
            </w:r>
            <w:r>
              <w:rPr>
                <w:rStyle w:val="a4"/>
                <w:rFonts w:ascii="Times New Roman" w:eastAsia="標楷體" w:hAnsi="Times New Roman"/>
                <w:bCs/>
                <w:kern w:val="0"/>
                <w:sz w:val="28"/>
                <w:szCs w:val="28"/>
              </w:rPr>
              <w:t>DRG</w:t>
            </w:r>
            <w:r>
              <w:rPr>
                <w:rStyle w:val="a4"/>
                <w:rFonts w:ascii="Times New Roman" w:eastAsia="標楷體" w:hAnsi="Times New Roman"/>
                <w:bCs/>
                <w:kern w:val="0"/>
                <w:sz w:val="28"/>
                <w:szCs w:val="28"/>
              </w:rPr>
              <w:t>項目，惟該特材取代傳統之腹主動脈瘤手術，臨床醫療型態改變，暫以論量計酬方式申報，俟實施一段時間，有完整申報資料後，將恢復以</w:t>
            </w:r>
            <w:r>
              <w:rPr>
                <w:rStyle w:val="a4"/>
                <w:rFonts w:ascii="Times New Roman" w:eastAsia="標楷體" w:hAnsi="Times New Roman"/>
                <w:bCs/>
                <w:kern w:val="0"/>
                <w:sz w:val="28"/>
                <w:szCs w:val="28"/>
              </w:rPr>
              <w:t>DRG</w:t>
            </w:r>
            <w:r>
              <w:rPr>
                <w:rStyle w:val="a4"/>
                <w:rFonts w:ascii="Times New Roman" w:eastAsia="標楷體" w:hAnsi="Times New Roman"/>
                <w:bCs/>
                <w:kern w:val="0"/>
                <w:sz w:val="28"/>
                <w:szCs w:val="28"/>
              </w:rPr>
              <w:t>方式申報。</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pPr>
            <w:bookmarkStart w:id="20" w:name="_Toc392256935"/>
            <w:r>
              <w:rPr>
                <w:rStyle w:val="a4"/>
                <w:rFonts w:ascii="Times New Roman" w:hAnsi="Times New Roman"/>
                <w:bCs w:val="0"/>
              </w:rPr>
              <w:t>22.</w:t>
            </w:r>
            <w:r>
              <w:rPr>
                <w:rStyle w:val="a4"/>
                <w:rFonts w:ascii="Times New Roman" w:hAnsi="Times New Roman"/>
                <w:bCs w:val="0"/>
              </w:rPr>
              <w:t>執行</w:t>
            </w:r>
            <w:r>
              <w:rPr>
                <w:rStyle w:val="a4"/>
                <w:rFonts w:ascii="Times New Roman" w:hAnsi="Times New Roman"/>
                <w:bCs w:val="0"/>
              </w:rPr>
              <w:t>2</w:t>
            </w:r>
            <w:r>
              <w:rPr>
                <w:rStyle w:val="a4"/>
                <w:rFonts w:ascii="Times New Roman" w:hAnsi="Times New Roman"/>
                <w:bCs w:val="0"/>
              </w:rPr>
              <w:t>項</w:t>
            </w:r>
            <w:r>
              <w:rPr>
                <w:rStyle w:val="a4"/>
                <w:rFonts w:ascii="Times New Roman" w:hAnsi="Times New Roman"/>
                <w:bCs w:val="0"/>
              </w:rPr>
              <w:t>DRG</w:t>
            </w:r>
            <w:r>
              <w:rPr>
                <w:rStyle w:val="a4"/>
                <w:rFonts w:ascii="Times New Roman" w:hAnsi="Times New Roman"/>
                <w:bCs w:val="0"/>
              </w:rPr>
              <w:t>，是否可以選擇權重低的</w:t>
            </w:r>
            <w:r>
              <w:rPr>
                <w:rStyle w:val="a4"/>
                <w:rFonts w:ascii="Times New Roman" w:hAnsi="Times New Roman"/>
                <w:bCs w:val="0"/>
              </w:rPr>
              <w:t>DRG</w:t>
            </w:r>
            <w:r>
              <w:rPr>
                <w:rStyle w:val="a4"/>
                <w:rFonts w:ascii="Times New Roman" w:hAnsi="Times New Roman"/>
                <w:bCs w:val="0"/>
              </w:rPr>
              <w:t>申報？</w:t>
            </w:r>
            <w:bookmarkEnd w:id="20"/>
            <w:r>
              <w:rPr>
                <w:rStyle w:val="a4"/>
                <w:rFonts w:ascii="Times New Roman" w:hAnsi="Times New Roman"/>
                <w:szCs w:val="28"/>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57" w:hanging="283"/>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第二章分類架構及原則五之</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三</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規定，其他若出現符合二個以上</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條件者，</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編審結果得以權重高者申報。就其意旨是支付醫院最高的支付點數</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權重高時原則上支付點數高</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，所以</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編審系統的最後、惟一的落點採權重高者。</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個案有</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個以上</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落點，如屬個案情況，已導入且權重低的</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項目，反而可申報較高的</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支付點數，目前已可由「補報」方式進行申報。</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Fonts w:ascii="Times New Roman" w:hAnsi="Times New Roman"/>
              </w:rPr>
            </w:pPr>
            <w:bookmarkStart w:id="21" w:name="_Toc392256936"/>
            <w:r>
              <w:rPr>
                <w:rStyle w:val="a4"/>
                <w:rFonts w:ascii="Times New Roman" w:hAnsi="Times New Roman"/>
              </w:rPr>
              <w:t>23.</w:t>
            </w:r>
            <w:r>
              <w:rPr>
                <w:rStyle w:val="a4"/>
                <w:rFonts w:ascii="Times New Roman" w:hAnsi="Times New Roman"/>
              </w:rPr>
              <w:t>次診斷為癌症及性態未明腫瘤之個案核實申報之化療藥品有那些項目？</w:t>
            </w:r>
            <w:bookmarkEnd w:id="21"/>
            <w:r>
              <w:rPr>
                <w:rStyle w:val="a4"/>
                <w:rFonts w:ascii="Times New Roman" w:hAnsi="Times New Roman"/>
              </w:rPr>
              <w:br/>
            </w:r>
          </w:p>
          <w:p w:rsidR="00230528" w:rsidRDefault="00230528">
            <w:pPr>
              <w:pStyle w:val="af5"/>
              <w:ind w:left="395" w:hanging="395"/>
              <w:rPr>
                <w:rFonts w:ascii="Times New Roman" w:hAnsi="Times New Roman"/>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kern w:val="0"/>
                <w:sz w:val="28"/>
                <w:szCs w:val="28"/>
              </w:rPr>
            </w:pPr>
            <w:r>
              <w:rPr>
                <w:rStyle w:val="a4"/>
                <w:rFonts w:ascii="Times New Roman" w:eastAsia="標楷體" w:hAnsi="Times New Roman"/>
                <w:kern w:val="0"/>
                <w:sz w:val="28"/>
                <w:szCs w:val="28"/>
              </w:rPr>
              <w:t>依據</w:t>
            </w:r>
            <w:r>
              <w:rPr>
                <w:rStyle w:val="a4"/>
                <w:rFonts w:ascii="Times New Roman" w:eastAsia="標楷體" w:hAnsi="Times New Roman"/>
                <w:kern w:val="0"/>
                <w:sz w:val="28"/>
                <w:szCs w:val="28"/>
              </w:rPr>
              <w:t>99.11.11</w:t>
            </w:r>
            <w:r>
              <w:rPr>
                <w:rStyle w:val="a4"/>
                <w:rFonts w:ascii="Times New Roman" w:eastAsia="標楷體" w:hAnsi="Times New Roman"/>
                <w:kern w:val="0"/>
                <w:sz w:val="28"/>
                <w:szCs w:val="28"/>
              </w:rPr>
              <w:t>全民健康保險醫療給付協議會議確認之化療個案核實申報之化療藥品項目，包括：</w:t>
            </w:r>
          </w:p>
          <w:p w:rsidR="00230528" w:rsidRDefault="00230528">
            <w:pPr>
              <w:pStyle w:val="a0"/>
              <w:widowControl/>
              <w:spacing w:line="560" w:lineRule="exact"/>
              <w:ind w:left="256"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1.ATC</w:t>
            </w:r>
            <w:r>
              <w:rPr>
                <w:rStyle w:val="a4"/>
                <w:rFonts w:ascii="Times New Roman" w:eastAsia="標楷體" w:hAnsi="Times New Roman"/>
                <w:kern w:val="0"/>
                <w:sz w:val="28"/>
                <w:szCs w:val="28"/>
              </w:rPr>
              <w:t>碼前</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碼為</w:t>
            </w:r>
            <w:r>
              <w:rPr>
                <w:rStyle w:val="a4"/>
                <w:rFonts w:ascii="Times New Roman" w:eastAsia="標楷體" w:hAnsi="Times New Roman"/>
                <w:kern w:val="0"/>
                <w:sz w:val="28"/>
                <w:szCs w:val="28"/>
              </w:rPr>
              <w:t>L01(ANTINEOPLASTIC AGENTS)</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L02(ENDOCRINE THERAPY)</w:t>
            </w:r>
            <w:r>
              <w:rPr>
                <w:rStyle w:val="a4"/>
                <w:rFonts w:ascii="Times New Roman" w:eastAsia="標楷體" w:hAnsi="Times New Roman"/>
                <w:kern w:val="0"/>
                <w:sz w:val="28"/>
                <w:szCs w:val="28"/>
              </w:rPr>
              <w:t>之健保支付品項。</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上述品項以外項目如附表</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24" w:hanging="224"/>
              <w:rPr>
                <w:rFonts w:ascii="Times New Roman" w:hAnsi="Times New Roman"/>
              </w:rPr>
            </w:pPr>
            <w:bookmarkStart w:id="22" w:name="_Toc392256937"/>
            <w:r>
              <w:rPr>
                <w:rStyle w:val="a4"/>
                <w:rFonts w:ascii="Times New Roman" w:hAnsi="Times New Roman"/>
              </w:rPr>
              <w:t>24.</w:t>
            </w:r>
            <w:r>
              <w:rPr>
                <w:rStyle w:val="a4"/>
                <w:rFonts w:ascii="Times New Roman" w:hAnsi="Times New Roman"/>
              </w:rPr>
              <w:t>得加計額外點數之新增全新功能類別特殊材料項目有那些？</w:t>
            </w:r>
            <w:bookmarkEnd w:id="22"/>
            <w:r>
              <w:rPr>
                <w:rStyle w:val="a4"/>
                <w:rFonts w:ascii="Times New Roman" w:hAnsi="Times New Roman"/>
              </w:rPr>
              <w:br/>
            </w:r>
          </w:p>
          <w:p w:rsidR="00230528" w:rsidRDefault="00230528">
            <w:pPr>
              <w:pStyle w:val="af5"/>
              <w:ind w:left="223" w:firstLine="31"/>
              <w:rPr>
                <w:rFonts w:ascii="Times New Roman" w:hAnsi="Times New Roman"/>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
            </w:pPr>
            <w:r>
              <w:rPr>
                <w:rStyle w:val="a4"/>
                <w:rFonts w:ascii="Times New Roman" w:eastAsia="標楷體" w:hAnsi="Times New Roman"/>
                <w:kern w:val="0"/>
                <w:sz w:val="28"/>
                <w:szCs w:val="28"/>
              </w:rPr>
              <w:t>依據「</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支付制度下新增全新功能類別特殊材料因應方案」規定，得加計額外點數之新增全新功能類別特殊材料項目，請參閱</w:t>
            </w:r>
            <w:r>
              <w:rPr>
                <w:rStyle w:val="a4"/>
                <w:rFonts w:ascii="標楷體" w:eastAsia="標楷體" w:hAnsi="標楷體"/>
                <w:bCs/>
                <w:kern w:val="0"/>
                <w:sz w:val="28"/>
                <w:szCs w:val="28"/>
              </w:rPr>
              <w:t>本署全球資訊網/</w:t>
            </w:r>
            <w:r>
              <w:rPr>
                <w:rStyle w:val="a4"/>
                <w:rFonts w:ascii="Times New Roman" w:eastAsia="標楷體" w:hAnsi="Times New Roman"/>
                <w:bCs/>
                <w:kern w:val="0"/>
                <w:sz w:val="28"/>
                <w:szCs w:val="28"/>
              </w:rPr>
              <w:t>DRG</w:t>
            </w:r>
            <w:r>
              <w:rPr>
                <w:rStyle w:val="a4"/>
                <w:rFonts w:ascii="標楷體" w:eastAsia="標楷體" w:hAnsi="標楷體"/>
                <w:bCs/>
                <w:kern w:val="0"/>
                <w:sz w:val="28"/>
                <w:szCs w:val="28"/>
              </w:rPr>
              <w:t>住院診斷關聯群支付制度專區/</w:t>
            </w:r>
            <w:r>
              <w:rPr>
                <w:rStyle w:val="a4"/>
                <w:rFonts w:ascii="標楷體" w:eastAsia="標楷體" w:hAnsi="標楷體" w:cs="Arial"/>
                <w:sz w:val="28"/>
                <w:szCs w:val="28"/>
              </w:rPr>
              <w:t>「全民健康保險醫療服務給付項目及支付標準」第七部全民健康保險住院診斷關聯群</w:t>
            </w:r>
            <w:r>
              <w:rPr>
                <w:rStyle w:val="a4"/>
                <w:rFonts w:ascii="Times New Roman" w:eastAsia="標楷體" w:hAnsi="Times New Roman"/>
                <w:bCs/>
                <w:kern w:val="0"/>
                <w:sz w:val="28"/>
                <w:szCs w:val="28"/>
              </w:rPr>
              <w:t>/</w:t>
            </w:r>
            <w:r>
              <w:rPr>
                <w:rStyle w:val="a4"/>
                <w:rFonts w:ascii="標楷體" w:eastAsia="標楷體" w:hAnsi="標楷體"/>
                <w:sz w:val="28"/>
                <w:szCs w:val="28"/>
              </w:rPr>
              <w:t>全新功能類別特殊材料項目</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24" w:hanging="224"/>
              <w:rPr>
                <w:rFonts w:ascii="Times New Roman" w:hAnsi="Times New Roman"/>
              </w:rPr>
            </w:pPr>
            <w:bookmarkStart w:id="23" w:name="_Toc392256938"/>
            <w:r>
              <w:rPr>
                <w:rStyle w:val="a4"/>
                <w:rFonts w:ascii="Times New Roman" w:hAnsi="Times New Roman"/>
              </w:rPr>
              <w:t>25.</w:t>
            </w:r>
            <w:r>
              <w:rPr>
                <w:rStyle w:val="a4"/>
                <w:rFonts w:ascii="Times New Roman" w:hAnsi="Times New Roman"/>
              </w:rPr>
              <w:t>次診斷為癌症及性態未明腫瘤之個案核實申報化療費用之</w:t>
            </w:r>
            <w:r>
              <w:rPr>
                <w:rStyle w:val="a4"/>
                <w:rFonts w:ascii="Times New Roman" w:hAnsi="Times New Roman"/>
                <w:szCs w:val="28"/>
              </w:rPr>
              <w:t>處置碼申報方式</w:t>
            </w:r>
            <w:r>
              <w:rPr>
                <w:rStyle w:val="a4"/>
                <w:rFonts w:ascii="Times New Roman" w:hAnsi="Times New Roman"/>
              </w:rPr>
              <w:t>？</w:t>
            </w:r>
            <w:bookmarkEnd w:id="23"/>
            <w:r>
              <w:rPr>
                <w:rStyle w:val="a4"/>
                <w:rFonts w:ascii="Times New Roman" w:hAnsi="Times New Roman"/>
              </w:rPr>
              <w:br/>
            </w:r>
          </w:p>
          <w:p w:rsidR="00230528" w:rsidRDefault="00230528">
            <w:pPr>
              <w:pStyle w:val="af5"/>
              <w:ind w:left="223" w:firstLine="31"/>
              <w:rPr>
                <w:rFonts w:ascii="Times New Roman" w:hAnsi="Times New Roman"/>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71" w:hanging="276"/>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按</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第一章支付通則六、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w:t>
            </w:r>
            <w:r>
              <w:rPr>
                <w:rStyle w:val="a4"/>
                <w:rFonts w:ascii="Times New Roman" w:eastAsia="標楷體" w:hAnsi="Times New Roman"/>
                <w:kern w:val="0"/>
                <w:sz w:val="28"/>
                <w:szCs w:val="28"/>
              </w:rPr>
              <w:t>4</w:t>
            </w:r>
            <w:r>
              <w:rPr>
                <w:rStyle w:val="a4"/>
                <w:rFonts w:ascii="Times New Roman" w:eastAsia="標楷體" w:hAnsi="Times New Roman"/>
                <w:kern w:val="0"/>
                <w:sz w:val="28"/>
                <w:szCs w:val="28"/>
              </w:rPr>
              <w:t>規定，次診斷為癌症及性態未明腫瘤之個案核實申報化療費用，應符合下列三項要件：</w:t>
            </w:r>
          </w:p>
          <w:p w:rsidR="00230528" w:rsidRDefault="00230528">
            <w:pPr>
              <w:pStyle w:val="a0"/>
              <w:widowControl/>
              <w:spacing w:line="560" w:lineRule="exact"/>
              <w:ind w:left="414" w:hanging="414"/>
              <w:rPr>
                <w:rStyle w:val="a4"/>
                <w:rFonts w:ascii="Times New Roman" w:eastAsia="標楷體" w:hAnsi="Times New Roman"/>
                <w:kern w:val="0"/>
                <w:sz w:val="28"/>
                <w:szCs w:val="2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次診斷為癌症或性態未明腫瘤（癌症及性態未明腫瘤之個案之診斷碼詳支付通則</w:t>
            </w:r>
            <w:r>
              <w:rPr>
                <w:rStyle w:val="a4"/>
                <w:rFonts w:ascii="標楷體" w:eastAsia="標楷體" w:hAnsi="標楷體"/>
                <w:kern w:val="0"/>
                <w:sz w:val="28"/>
                <w:szCs w:val="28"/>
              </w:rPr>
              <w:t>)</w:t>
            </w:r>
            <w:r>
              <w:rPr>
                <w:rStyle w:val="a4"/>
                <w:rFonts w:ascii="Times New Roman" w:eastAsia="標楷體" w:hAnsi="Times New Roman"/>
                <w:kern w:val="0"/>
                <w:sz w:val="28"/>
                <w:szCs w:val="28"/>
              </w:rPr>
              <w:t>。</w:t>
            </w:r>
          </w:p>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處置碼為化療、荷爾蒙療法（處置碼詳支付通則</w:t>
            </w:r>
            <w:r>
              <w:rPr>
                <w:rStyle w:val="a4"/>
                <w:rFonts w:ascii="標楷體" w:eastAsia="標楷體" w:hAnsi="標楷體"/>
                <w:kern w:val="0"/>
                <w:sz w:val="28"/>
                <w:szCs w:val="28"/>
              </w:rPr>
              <w:t>)</w:t>
            </w:r>
            <w:r>
              <w:rPr>
                <w:rStyle w:val="a4"/>
                <w:rFonts w:ascii="Times New Roman" w:eastAsia="標楷體" w:hAnsi="Times New Roman"/>
                <w:kern w:val="0"/>
                <w:sz w:val="28"/>
                <w:szCs w:val="28"/>
              </w:rPr>
              <w:t>。</w:t>
            </w:r>
          </w:p>
          <w:p w:rsidR="00230528" w:rsidRDefault="00230528">
            <w:pPr>
              <w:pStyle w:val="a0"/>
              <w:widowControl/>
              <w:spacing w:line="560" w:lineRule="exact"/>
              <w:ind w:left="416" w:hanging="423"/>
              <w:rPr>
                <w:rStyle w:val="a4"/>
                <w:rFonts w:ascii="Times New Roman" w:eastAsia="標楷體" w:hAnsi="Times New Roman"/>
                <w:kern w:val="0"/>
                <w:sz w:val="28"/>
                <w:szCs w:val="28"/>
              </w:rPr>
            </w:pP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核實申報項目：支付標準醫令代碼為</w:t>
            </w:r>
            <w:r>
              <w:rPr>
                <w:rStyle w:val="a4"/>
                <w:rFonts w:ascii="Times New Roman" w:eastAsia="標楷體" w:hAnsi="Times New Roman"/>
                <w:kern w:val="0"/>
                <w:sz w:val="28"/>
                <w:szCs w:val="28"/>
              </w:rPr>
              <w:t>37005B</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37025B</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37031B~37041B</w:t>
            </w:r>
            <w:r>
              <w:rPr>
                <w:rStyle w:val="a4"/>
                <w:rFonts w:ascii="新細明體" w:hAnsi="新細明體"/>
                <w:kern w:val="0"/>
                <w:sz w:val="28"/>
                <w:szCs w:val="28"/>
              </w:rPr>
              <w:t>（</w:t>
            </w:r>
            <w:r>
              <w:rPr>
                <w:rStyle w:val="a4"/>
                <w:rFonts w:ascii="Times New Roman" w:eastAsia="標楷體" w:hAnsi="Times New Roman"/>
                <w:sz w:val="28"/>
                <w:szCs w:val="28"/>
              </w:rPr>
              <w:t>口服化療藥除外</w:t>
            </w:r>
            <w:r>
              <w:rPr>
                <w:rStyle w:val="a4"/>
                <w:rFonts w:ascii="標楷體" w:eastAsia="標楷體" w:hAnsi="標楷體"/>
                <w:sz w:val="28"/>
                <w:szCs w:val="28"/>
              </w:rPr>
              <w:t>)</w:t>
            </w:r>
            <w:r>
              <w:rPr>
                <w:rStyle w:val="a4"/>
                <w:rFonts w:ascii="Times New Roman" w:eastAsia="標楷體" w:hAnsi="Times New Roman"/>
                <w:kern w:val="0"/>
                <w:sz w:val="28"/>
                <w:szCs w:val="28"/>
              </w:rPr>
              <w:t>，或個案使用之化療藥品。</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但礙於疾病編碼原則，病患使用化療注射劑及荷爾蒙注射劑應編處置碼，於費用申報時，化療注射劑</w:t>
            </w:r>
            <w:r>
              <w:rPr>
                <w:rStyle w:val="a4"/>
                <w:rFonts w:ascii="Times New Roman" w:eastAsia="標楷體" w:hAnsi="Times New Roman"/>
                <w:kern w:val="0"/>
                <w:sz w:val="28"/>
                <w:szCs w:val="28"/>
              </w:rPr>
              <w:lastRenderedPageBreak/>
              <w:t>將檢核次診斷、處置碼及醫令代碼</w:t>
            </w:r>
            <w:r>
              <w:rPr>
                <w:rStyle w:val="a4"/>
                <w:rFonts w:ascii="新細明體" w:hAnsi="新細明體"/>
                <w:kern w:val="0"/>
                <w:sz w:val="28"/>
                <w:szCs w:val="28"/>
              </w:rPr>
              <w:t>（</w:t>
            </w:r>
            <w:r>
              <w:rPr>
                <w:rStyle w:val="a4"/>
                <w:rFonts w:ascii="Times New Roman" w:eastAsia="標楷體" w:hAnsi="Times New Roman"/>
                <w:kern w:val="0"/>
                <w:sz w:val="28"/>
                <w:szCs w:val="28"/>
              </w:rPr>
              <w:t>KC00756252</w:t>
            </w:r>
            <w:r>
              <w:rPr>
                <w:rStyle w:val="a4"/>
                <w:rFonts w:ascii="Times New Roman" w:eastAsia="標楷體" w:hAnsi="Times New Roman"/>
                <w:kern w:val="0"/>
                <w:sz w:val="28"/>
                <w:szCs w:val="28"/>
              </w:rPr>
              <w:t>及</w:t>
            </w:r>
            <w:r>
              <w:rPr>
                <w:rStyle w:val="a4"/>
                <w:rFonts w:ascii="Times New Roman" w:eastAsia="標楷體" w:hAnsi="Times New Roman"/>
                <w:kern w:val="0"/>
                <w:sz w:val="28"/>
                <w:szCs w:val="28"/>
              </w:rPr>
              <w:t>KC00757255</w:t>
            </w:r>
            <w:r>
              <w:rPr>
                <w:rStyle w:val="a4"/>
                <w:rFonts w:ascii="Times New Roman" w:eastAsia="標楷體" w:hAnsi="Times New Roman"/>
                <w:kern w:val="0"/>
                <w:sz w:val="28"/>
                <w:szCs w:val="28"/>
              </w:rPr>
              <w:t>只檢核次診斷</w:t>
            </w:r>
            <w:r>
              <w:rPr>
                <w:rStyle w:val="a4"/>
                <w:rFonts w:ascii="標楷體" w:eastAsia="標楷體" w:hAnsi="標楷體"/>
                <w:kern w:val="0"/>
                <w:sz w:val="28"/>
                <w:szCs w:val="28"/>
              </w:rPr>
              <w:t>)</w:t>
            </w:r>
            <w:r>
              <w:rPr>
                <w:rStyle w:val="a4"/>
                <w:rFonts w:ascii="新細明體" w:hAnsi="新細明體"/>
                <w:kern w:val="0"/>
                <w:sz w:val="28"/>
                <w:szCs w:val="28"/>
              </w:rPr>
              <w:t>，</w:t>
            </w:r>
            <w:r>
              <w:rPr>
                <w:rStyle w:val="a4"/>
                <w:rFonts w:ascii="Times New Roman" w:eastAsia="標楷體" w:hAnsi="Times New Roman"/>
                <w:kern w:val="0"/>
                <w:sz w:val="28"/>
                <w:szCs w:val="28"/>
              </w:rPr>
              <w:t>荷爾蒙注射劑檢核次診斷碼及處置碼，如為一般錠劑膠囊劑、內服液劑、外用噴霧劑之化療藥品，則檢核次診斷及醫令代碼。</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Style w:val="a4"/>
                <w:rFonts w:ascii="Times New Roman" w:hAnsi="Times New Roman" w:hint="eastAsia"/>
                <w:szCs w:val="28"/>
              </w:rPr>
            </w:pPr>
            <w:r>
              <w:rPr>
                <w:rStyle w:val="a4"/>
                <w:rFonts w:ascii="Times New Roman" w:hAnsi="Times New Roman"/>
              </w:rPr>
              <w:t>26.</w:t>
            </w:r>
            <w:r>
              <w:rPr>
                <w:rStyle w:val="a4"/>
                <w:rFonts w:ascii="Times New Roman" w:hAnsi="Times New Roman"/>
                <w:szCs w:val="28"/>
              </w:rPr>
              <w:t>單一特材因使用數量不同，造成同一</w:t>
            </w:r>
            <w:r>
              <w:rPr>
                <w:rStyle w:val="a4"/>
                <w:rFonts w:ascii="Times New Roman" w:hAnsi="Times New Roman"/>
                <w:szCs w:val="28"/>
              </w:rPr>
              <w:t>DRG</w:t>
            </w:r>
            <w:r>
              <w:rPr>
                <w:rStyle w:val="a4"/>
                <w:rFonts w:ascii="Times New Roman" w:hAnsi="Times New Roman"/>
                <w:szCs w:val="28"/>
              </w:rPr>
              <w:t>下費用差異大或同功能類別特材單價差異大，占總費用比率高，造成部分使用單價高之病人其支付不足</w:t>
            </w:r>
            <w:r>
              <w:rPr>
                <w:rStyle w:val="a4"/>
                <w:rFonts w:ascii="標楷體" w:hAnsi="標楷體"/>
                <w:szCs w:val="28"/>
              </w:rPr>
              <w:t>，</w:t>
            </w:r>
            <w:r>
              <w:rPr>
                <w:rStyle w:val="a4"/>
                <w:rFonts w:ascii="Times New Roman" w:hAnsi="Times New Roman"/>
                <w:szCs w:val="28"/>
              </w:rPr>
              <w:t>如何處理</w:t>
            </w:r>
            <w:r>
              <w:rPr>
                <w:rStyle w:val="a4"/>
                <w:rFonts w:ascii="Times New Roman" w:hAnsi="Times New Roman"/>
                <w:szCs w:val="28"/>
              </w:rPr>
              <w:t>?</w:t>
            </w:r>
          </w:p>
          <w:p w:rsidR="001938F3" w:rsidRPr="001938F3" w:rsidRDefault="001938F3" w:rsidP="00C404CB">
            <w:pPr>
              <w:pStyle w:val="af5"/>
              <w:ind w:left="395" w:hanging="395"/>
              <w:rPr>
                <w:color w:val="0000FF"/>
                <w:u w:val="single"/>
              </w:rPr>
            </w:pPr>
            <w:r>
              <w:rPr>
                <w:rStyle w:val="a4"/>
                <w:rFonts w:ascii="Times New Roman" w:hAnsi="Times New Roman" w:hint="eastAsia"/>
                <w:szCs w:val="28"/>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Pr="001938F3" w:rsidRDefault="00230528">
            <w:pPr>
              <w:pStyle w:val="a0"/>
              <w:widowControl/>
              <w:spacing w:line="560" w:lineRule="exact"/>
              <w:ind w:left="113" w:firstLine="1"/>
              <w:rPr>
                <w:rStyle w:val="a4"/>
                <w:rFonts w:ascii="Times New Roman" w:eastAsia="標楷體" w:hAnsi="Times New Roman"/>
                <w:sz w:val="28"/>
                <w:szCs w:val="28"/>
              </w:rPr>
            </w:pPr>
            <w:r w:rsidRPr="001938F3">
              <w:rPr>
                <w:rStyle w:val="a4"/>
                <w:rFonts w:ascii="Times New Roman" w:eastAsia="標楷體" w:hAnsi="Times New Roman"/>
                <w:sz w:val="28"/>
                <w:szCs w:val="28"/>
              </w:rPr>
              <w:t>考量部分特材占醫療費用比率高且價差大、使用數量不一，增加得另行核實申報不含於</w:t>
            </w:r>
            <w:r w:rsidRPr="001938F3">
              <w:rPr>
                <w:rStyle w:val="a4"/>
                <w:rFonts w:ascii="Times New Roman" w:eastAsia="標楷體" w:hAnsi="Times New Roman"/>
                <w:sz w:val="28"/>
                <w:szCs w:val="28"/>
              </w:rPr>
              <w:t>DRG</w:t>
            </w:r>
            <w:r w:rsidRPr="001938F3">
              <w:rPr>
                <w:rStyle w:val="a4"/>
                <w:rFonts w:ascii="Times New Roman" w:eastAsia="標楷體" w:hAnsi="Times New Roman"/>
                <w:sz w:val="28"/>
                <w:szCs w:val="28"/>
              </w:rPr>
              <w:t>支付點數之特材項目如下</w:t>
            </w:r>
            <w:r w:rsidR="00965639" w:rsidRPr="00C404CB">
              <w:rPr>
                <w:rStyle w:val="a4"/>
                <w:rFonts w:ascii="Times New Roman" w:eastAsia="標楷體" w:hAnsi="Times New Roman" w:hint="eastAsia"/>
                <w:sz w:val="28"/>
                <w:szCs w:val="28"/>
              </w:rPr>
              <w:t>十</w:t>
            </w:r>
            <w:r w:rsidRPr="001938F3">
              <w:rPr>
                <w:rStyle w:val="a4"/>
                <w:rFonts w:ascii="Times New Roman" w:eastAsia="標楷體" w:hAnsi="Times New Roman"/>
                <w:sz w:val="28"/>
                <w:szCs w:val="28"/>
              </w:rPr>
              <w:t>大類</w:t>
            </w:r>
            <w:r w:rsidRPr="001938F3">
              <w:rPr>
                <w:rStyle w:val="a4"/>
                <w:rFonts w:ascii="標楷體" w:eastAsia="標楷體" w:hAnsi="標楷體"/>
                <w:sz w:val="28"/>
                <w:szCs w:val="28"/>
              </w:rPr>
              <w:t>，核價類別詳支付通則，</w:t>
            </w:r>
            <w:r w:rsidRPr="001938F3">
              <w:rPr>
                <w:rStyle w:val="a4"/>
                <w:rFonts w:ascii="Times New Roman" w:eastAsia="標楷體" w:hAnsi="Times New Roman"/>
                <w:sz w:val="28"/>
                <w:szCs w:val="28"/>
              </w:rPr>
              <w:t>品項代碼公布本署網站</w:t>
            </w:r>
            <w:r w:rsidRPr="001938F3">
              <w:rPr>
                <w:rStyle w:val="a4"/>
                <w:rFonts w:ascii="Times New Roman" w:eastAsia="標楷體" w:hAnsi="Times New Roman"/>
                <w:sz w:val="28"/>
                <w:szCs w:val="28"/>
              </w:rPr>
              <w:t>DRG</w:t>
            </w:r>
            <w:r w:rsidRPr="001938F3">
              <w:rPr>
                <w:rStyle w:val="a4"/>
                <w:rFonts w:ascii="Times New Roman" w:eastAsia="標楷體" w:hAnsi="Times New Roman"/>
                <w:sz w:val="28"/>
                <w:szCs w:val="28"/>
              </w:rPr>
              <w:t>專區</w:t>
            </w:r>
            <w:r w:rsidRPr="001938F3">
              <w:rPr>
                <w:rStyle w:val="a4"/>
                <w:rFonts w:ascii="新細明體" w:hAnsi="新細明體"/>
                <w:sz w:val="28"/>
                <w:szCs w:val="28"/>
              </w:rPr>
              <w:t>。</w:t>
            </w:r>
          </w:p>
          <w:p w:rsidR="00230528" w:rsidRPr="001938F3" w:rsidRDefault="00230528">
            <w:pPr>
              <w:pStyle w:val="a0"/>
              <w:spacing w:line="560" w:lineRule="exact"/>
              <w:ind w:left="113"/>
              <w:rPr>
                <w:rStyle w:val="a4"/>
                <w:rFonts w:ascii="Times New Roman" w:eastAsia="標楷體" w:hAnsi="Times New Roman"/>
                <w:sz w:val="28"/>
                <w:szCs w:val="28"/>
              </w:rPr>
            </w:pPr>
            <w:r w:rsidRPr="001938F3">
              <w:rPr>
                <w:rStyle w:val="a4"/>
                <w:rFonts w:ascii="Times New Roman" w:eastAsia="標楷體" w:hAnsi="Times New Roman"/>
                <w:sz w:val="28"/>
                <w:szCs w:val="28"/>
              </w:rPr>
              <w:t>1.</w:t>
            </w:r>
            <w:r w:rsidRPr="001938F3">
              <w:rPr>
                <w:rStyle w:val="a4"/>
                <w:rFonts w:ascii="Times New Roman" w:eastAsia="標楷體" w:hAnsi="Times New Roman"/>
                <w:sz w:val="28"/>
                <w:szCs w:val="28"/>
              </w:rPr>
              <w:t>脊椎固定系統</w:t>
            </w:r>
            <w:r w:rsidRPr="001938F3">
              <w:rPr>
                <w:rStyle w:val="a4"/>
                <w:rFonts w:ascii="新細明體" w:hAnsi="新細明體"/>
                <w:sz w:val="28"/>
                <w:szCs w:val="28"/>
              </w:rPr>
              <w:t>。</w:t>
            </w:r>
          </w:p>
          <w:p w:rsidR="00230528" w:rsidRPr="001938F3" w:rsidRDefault="00230528">
            <w:pPr>
              <w:pStyle w:val="a0"/>
              <w:spacing w:line="560" w:lineRule="exact"/>
              <w:ind w:left="113"/>
              <w:rPr>
                <w:rStyle w:val="a4"/>
                <w:rFonts w:ascii="Times New Roman" w:eastAsia="標楷體" w:hAnsi="Times New Roman"/>
                <w:sz w:val="28"/>
                <w:szCs w:val="28"/>
              </w:rPr>
            </w:pPr>
            <w:r w:rsidRPr="001938F3">
              <w:rPr>
                <w:rStyle w:val="a4"/>
                <w:rFonts w:ascii="Times New Roman" w:eastAsia="標楷體" w:hAnsi="Times New Roman"/>
                <w:sz w:val="28"/>
                <w:szCs w:val="28"/>
              </w:rPr>
              <w:t>2.</w:t>
            </w:r>
            <w:r w:rsidRPr="001938F3">
              <w:rPr>
                <w:rStyle w:val="a4"/>
                <w:rFonts w:ascii="Times New Roman" w:eastAsia="標楷體" w:hAnsi="Times New Roman"/>
                <w:sz w:val="28"/>
                <w:szCs w:val="28"/>
              </w:rPr>
              <w:t>血管氣球擴張導管、血管支架</w:t>
            </w:r>
            <w:r w:rsidRPr="001938F3">
              <w:rPr>
                <w:rStyle w:val="a4"/>
                <w:rFonts w:ascii="新細明體" w:hAnsi="新細明體"/>
                <w:sz w:val="28"/>
                <w:szCs w:val="28"/>
              </w:rPr>
              <w:t>。</w:t>
            </w:r>
          </w:p>
          <w:p w:rsidR="00230528" w:rsidRPr="001938F3" w:rsidRDefault="00230528">
            <w:pPr>
              <w:pStyle w:val="a0"/>
              <w:spacing w:line="560" w:lineRule="exact"/>
              <w:ind w:left="113"/>
              <w:rPr>
                <w:rStyle w:val="a4"/>
                <w:rFonts w:ascii="Times New Roman" w:eastAsia="標楷體" w:hAnsi="Times New Roman"/>
                <w:sz w:val="28"/>
                <w:szCs w:val="28"/>
              </w:rPr>
            </w:pPr>
            <w:r w:rsidRPr="001938F3">
              <w:rPr>
                <w:rStyle w:val="a4"/>
                <w:rFonts w:ascii="Times New Roman" w:eastAsia="標楷體" w:hAnsi="Times New Roman"/>
                <w:sz w:val="28"/>
                <w:szCs w:val="28"/>
              </w:rPr>
              <w:t>3.</w:t>
            </w:r>
            <w:r w:rsidRPr="001938F3">
              <w:rPr>
                <w:rStyle w:val="a4"/>
                <w:rFonts w:ascii="Times New Roman" w:eastAsia="標楷體" w:hAnsi="Times New Roman"/>
                <w:sz w:val="28"/>
                <w:szCs w:val="28"/>
              </w:rPr>
              <w:t>心律調節器、去顫器等心內裝置</w:t>
            </w:r>
            <w:r w:rsidRPr="001938F3">
              <w:rPr>
                <w:rStyle w:val="a4"/>
                <w:rFonts w:ascii="新細明體" w:hAnsi="新細明體"/>
                <w:sz w:val="28"/>
                <w:szCs w:val="28"/>
              </w:rPr>
              <w:t>。</w:t>
            </w:r>
          </w:p>
          <w:p w:rsidR="00230528" w:rsidRDefault="00230528">
            <w:pPr>
              <w:pStyle w:val="a0"/>
              <w:spacing w:line="560" w:lineRule="exact"/>
              <w:ind w:left="113"/>
              <w:rPr>
                <w:rStyle w:val="a4"/>
                <w:rFonts w:ascii="新細明體" w:hAnsi="新細明體" w:hint="eastAsia"/>
                <w:sz w:val="28"/>
                <w:szCs w:val="28"/>
              </w:rPr>
            </w:pPr>
            <w:r w:rsidRPr="001938F3">
              <w:rPr>
                <w:rStyle w:val="a4"/>
                <w:rFonts w:ascii="Times New Roman" w:eastAsia="標楷體" w:hAnsi="Times New Roman"/>
                <w:sz w:val="28"/>
                <w:szCs w:val="28"/>
              </w:rPr>
              <w:t>4.</w:t>
            </w:r>
            <w:r w:rsidRPr="001938F3">
              <w:rPr>
                <w:rStyle w:val="a4"/>
                <w:rFonts w:ascii="Times New Roman" w:eastAsia="標楷體" w:hAnsi="Times New Roman"/>
                <w:sz w:val="28"/>
                <w:szCs w:val="28"/>
              </w:rPr>
              <w:t>心臟電燒導管</w:t>
            </w:r>
            <w:r w:rsidRPr="001938F3">
              <w:rPr>
                <w:rStyle w:val="a4"/>
                <w:rFonts w:ascii="新細明體" w:hAnsi="新細明體"/>
                <w:sz w:val="28"/>
                <w:szCs w:val="28"/>
              </w:rPr>
              <w:t>。</w:t>
            </w:r>
          </w:p>
          <w:p w:rsidR="001938F3" w:rsidRPr="00C404CB" w:rsidRDefault="001938F3" w:rsidP="001938F3">
            <w:pPr>
              <w:pStyle w:val="a0"/>
              <w:spacing w:line="560" w:lineRule="exact"/>
              <w:ind w:left="113"/>
              <w:rPr>
                <w:rFonts w:ascii="Times New Roman" w:eastAsia="標楷體" w:hAnsi="Times New Roman" w:hint="eastAsia"/>
                <w:sz w:val="28"/>
                <w:szCs w:val="28"/>
              </w:rPr>
            </w:pPr>
            <w:r w:rsidRPr="00C404CB">
              <w:rPr>
                <w:rStyle w:val="a4"/>
                <w:rFonts w:ascii="Times New Roman" w:eastAsia="標楷體" w:hAnsi="Times New Roman"/>
                <w:sz w:val="28"/>
                <w:szCs w:val="28"/>
              </w:rPr>
              <w:t>5.</w:t>
            </w:r>
            <w:r w:rsidRPr="00C404CB">
              <w:rPr>
                <w:rFonts w:ascii="Times New Roman" w:eastAsia="標楷體" w:hAnsi="Times New Roman"/>
                <w:sz w:val="28"/>
                <w:szCs w:val="28"/>
              </w:rPr>
              <w:t>人工電子耳</w:t>
            </w:r>
            <w:r w:rsidRPr="00C404CB">
              <w:rPr>
                <w:rFonts w:ascii="新細明體" w:hAnsi="新細明體" w:hint="eastAsia"/>
                <w:sz w:val="28"/>
                <w:szCs w:val="28"/>
              </w:rPr>
              <w:t>。</w:t>
            </w:r>
          </w:p>
          <w:p w:rsidR="001938F3" w:rsidRPr="00C404CB" w:rsidRDefault="001938F3" w:rsidP="001938F3">
            <w:pPr>
              <w:pStyle w:val="a0"/>
              <w:spacing w:line="560" w:lineRule="exact"/>
              <w:ind w:left="113"/>
              <w:rPr>
                <w:rFonts w:ascii="Times New Roman" w:eastAsia="標楷體" w:hAnsi="Times New Roman" w:hint="eastAsia"/>
                <w:sz w:val="28"/>
                <w:szCs w:val="28"/>
              </w:rPr>
            </w:pPr>
            <w:r w:rsidRPr="00C404CB">
              <w:rPr>
                <w:rStyle w:val="a4"/>
                <w:rFonts w:ascii="Times New Roman" w:eastAsia="標楷體" w:hAnsi="Times New Roman" w:hint="eastAsia"/>
                <w:sz w:val="28"/>
                <w:szCs w:val="28"/>
              </w:rPr>
              <w:t>6.</w:t>
            </w:r>
            <w:r w:rsidRPr="00C404CB">
              <w:rPr>
                <w:rFonts w:ascii="Times New Roman" w:eastAsia="標楷體" w:hAnsi="Times New Roman" w:hint="eastAsia"/>
                <w:sz w:val="28"/>
                <w:szCs w:val="28"/>
              </w:rPr>
              <w:t>白金線圈</w:t>
            </w:r>
            <w:r w:rsidRPr="00C404CB">
              <w:rPr>
                <w:rFonts w:ascii="新細明體" w:hAnsi="新細明體" w:hint="eastAsia"/>
                <w:sz w:val="28"/>
                <w:szCs w:val="28"/>
              </w:rPr>
              <w:t>。</w:t>
            </w:r>
          </w:p>
          <w:p w:rsidR="001938F3" w:rsidRPr="00C404CB" w:rsidRDefault="001938F3" w:rsidP="001938F3">
            <w:pPr>
              <w:pStyle w:val="a0"/>
              <w:spacing w:line="560" w:lineRule="exact"/>
              <w:ind w:left="113"/>
              <w:rPr>
                <w:rFonts w:ascii="Times New Roman" w:eastAsia="標楷體" w:hAnsi="Times New Roman" w:hint="eastAsia"/>
                <w:sz w:val="28"/>
                <w:szCs w:val="28"/>
              </w:rPr>
            </w:pPr>
            <w:r w:rsidRPr="00C404CB">
              <w:rPr>
                <w:rStyle w:val="a4"/>
                <w:rFonts w:ascii="Times New Roman" w:eastAsia="標楷體" w:hAnsi="Times New Roman" w:hint="eastAsia"/>
                <w:sz w:val="28"/>
                <w:szCs w:val="28"/>
              </w:rPr>
              <w:t>7.</w:t>
            </w:r>
            <w:r w:rsidRPr="00C404CB">
              <w:rPr>
                <w:rFonts w:ascii="Times New Roman" w:eastAsia="標楷體" w:hAnsi="Times New Roman" w:hint="eastAsia"/>
                <w:sz w:val="28"/>
                <w:szCs w:val="28"/>
              </w:rPr>
              <w:t>血栓清除裝置</w:t>
            </w:r>
            <w:r w:rsidRPr="00C404CB">
              <w:rPr>
                <w:rFonts w:ascii="新細明體" w:hAnsi="新細明體" w:hint="eastAsia"/>
                <w:sz w:val="28"/>
                <w:szCs w:val="28"/>
              </w:rPr>
              <w:t>。</w:t>
            </w:r>
          </w:p>
          <w:p w:rsidR="001938F3" w:rsidRPr="00C404CB" w:rsidRDefault="001938F3" w:rsidP="001938F3">
            <w:pPr>
              <w:pStyle w:val="a0"/>
              <w:spacing w:line="560" w:lineRule="exact"/>
              <w:ind w:left="113"/>
              <w:rPr>
                <w:rFonts w:ascii="Times New Roman" w:eastAsia="標楷體" w:hAnsi="Times New Roman" w:hint="eastAsia"/>
                <w:sz w:val="28"/>
                <w:szCs w:val="28"/>
              </w:rPr>
            </w:pPr>
            <w:r w:rsidRPr="00C404CB">
              <w:rPr>
                <w:rStyle w:val="a4"/>
                <w:rFonts w:ascii="Times New Roman" w:eastAsia="標楷體" w:hAnsi="Times New Roman" w:hint="eastAsia"/>
                <w:sz w:val="28"/>
                <w:szCs w:val="28"/>
              </w:rPr>
              <w:t>8.</w:t>
            </w:r>
            <w:r w:rsidRPr="00C404CB">
              <w:rPr>
                <w:rFonts w:ascii="Times New Roman" w:eastAsia="標楷體" w:hAnsi="Times New Roman" w:hint="eastAsia"/>
                <w:sz w:val="28"/>
                <w:szCs w:val="28"/>
              </w:rPr>
              <w:t>液態栓塞系統</w:t>
            </w:r>
            <w:r w:rsidRPr="00C404CB">
              <w:rPr>
                <w:rFonts w:ascii="新細明體" w:hAnsi="新細明體" w:hint="eastAsia"/>
                <w:sz w:val="28"/>
                <w:szCs w:val="28"/>
              </w:rPr>
              <w:t>。</w:t>
            </w:r>
          </w:p>
          <w:p w:rsidR="001938F3" w:rsidRPr="00C404CB" w:rsidRDefault="001938F3" w:rsidP="001938F3">
            <w:pPr>
              <w:pStyle w:val="a0"/>
              <w:spacing w:line="560" w:lineRule="exact"/>
              <w:ind w:left="113"/>
              <w:rPr>
                <w:rFonts w:ascii="Times New Roman" w:eastAsia="標楷體" w:hAnsi="Times New Roman" w:hint="eastAsia"/>
                <w:sz w:val="28"/>
                <w:szCs w:val="28"/>
              </w:rPr>
            </w:pPr>
            <w:r w:rsidRPr="00C404CB">
              <w:rPr>
                <w:rStyle w:val="a4"/>
                <w:rFonts w:ascii="Times New Roman" w:eastAsia="標楷體" w:hAnsi="Times New Roman" w:hint="eastAsia"/>
                <w:sz w:val="28"/>
                <w:szCs w:val="28"/>
              </w:rPr>
              <w:t>9.</w:t>
            </w:r>
            <w:r w:rsidRPr="00C404CB">
              <w:rPr>
                <w:rFonts w:ascii="Times New Roman" w:eastAsia="標楷體" w:hAnsi="Times New Roman" w:hint="eastAsia"/>
                <w:sz w:val="28"/>
                <w:szCs w:val="28"/>
              </w:rPr>
              <w:t>壓力偵測組</w:t>
            </w:r>
            <w:r w:rsidRPr="00C404CB">
              <w:rPr>
                <w:rFonts w:ascii="新細明體" w:hAnsi="新細明體" w:hint="eastAsia"/>
                <w:sz w:val="28"/>
                <w:szCs w:val="28"/>
              </w:rPr>
              <w:t>。</w:t>
            </w:r>
          </w:p>
          <w:p w:rsidR="001938F3" w:rsidRPr="001938F3" w:rsidRDefault="001938F3" w:rsidP="001938F3">
            <w:pPr>
              <w:pStyle w:val="a0"/>
              <w:spacing w:line="560" w:lineRule="exact"/>
              <w:ind w:left="113"/>
              <w:rPr>
                <w:rFonts w:ascii="Times New Roman" w:eastAsia="標楷體" w:hAnsi="Times New Roman"/>
                <w:sz w:val="28"/>
                <w:szCs w:val="28"/>
              </w:rPr>
            </w:pPr>
            <w:r w:rsidRPr="00C404CB">
              <w:rPr>
                <w:rStyle w:val="a4"/>
                <w:rFonts w:ascii="Times New Roman" w:eastAsia="標楷體" w:hAnsi="Times New Roman" w:hint="eastAsia"/>
                <w:sz w:val="28"/>
                <w:szCs w:val="28"/>
              </w:rPr>
              <w:t>10.</w:t>
            </w:r>
            <w:r w:rsidRPr="00C404CB">
              <w:rPr>
                <w:rFonts w:ascii="Times New Roman" w:eastAsia="標楷體" w:hAnsi="Times New Roman" w:hint="eastAsia"/>
                <w:sz w:val="28"/>
                <w:szCs w:val="28"/>
              </w:rPr>
              <w:t>心室中膈缺損關閉器</w:t>
            </w:r>
            <w:r w:rsidRPr="00C404CB">
              <w:rPr>
                <w:rFonts w:ascii="新細明體" w:hAnsi="新細明體" w:hint="eastAsia"/>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8" w:hanging="398"/>
              <w:rPr>
                <w:rStyle w:val="a4"/>
                <w:rFonts w:ascii="Times New Roman" w:hAnsi="Times New Roman" w:hint="eastAsia"/>
              </w:rPr>
            </w:pPr>
            <w:bookmarkStart w:id="24" w:name="_Toc392256939"/>
            <w:r>
              <w:rPr>
                <w:rStyle w:val="a4"/>
                <w:rFonts w:ascii="Times New Roman" w:hAnsi="Times New Roman"/>
              </w:rPr>
              <w:t>27.</w:t>
            </w:r>
            <w:r>
              <w:rPr>
                <w:rStyle w:val="a4"/>
                <w:rFonts w:ascii="Times New Roman" w:hAnsi="Times New Roman"/>
              </w:rPr>
              <w:t>支付通則六之</w:t>
            </w:r>
            <w:r>
              <w:rPr>
                <w:rStyle w:val="a4"/>
                <w:rFonts w:ascii="Times New Roman" w:hAnsi="Times New Roman"/>
              </w:rPr>
              <w:t>(</w:t>
            </w:r>
            <w:r>
              <w:rPr>
                <w:rStyle w:val="a4"/>
                <w:rFonts w:ascii="Times New Roman" w:hAnsi="Times New Roman"/>
              </w:rPr>
              <w:t>三</w:t>
            </w:r>
            <w:r>
              <w:rPr>
                <w:rStyle w:val="a4"/>
                <w:rFonts w:ascii="Times New Roman" w:hAnsi="Times New Roman"/>
              </w:rPr>
              <w:t>)</w:t>
            </w:r>
            <w:r>
              <w:rPr>
                <w:rStyle w:val="a4"/>
                <w:rFonts w:ascii="Times New Roman" w:hAnsi="Times New Roman"/>
              </w:rPr>
              <w:t>規定</w:t>
            </w:r>
            <w:r>
              <w:rPr>
                <w:rStyle w:val="a4"/>
                <w:rFonts w:ascii="Times New Roman" w:hAnsi="Times New Roman"/>
              </w:rPr>
              <w:t>-</w:t>
            </w:r>
            <w:r>
              <w:rPr>
                <w:rStyle w:val="a4"/>
                <w:rFonts w:ascii="Times New Roman" w:hAnsi="Times New Roman"/>
              </w:rPr>
              <w:t>「年齡小於</w:t>
            </w:r>
            <w:r>
              <w:rPr>
                <w:rStyle w:val="a4"/>
                <w:rFonts w:ascii="Times New Roman" w:hAnsi="Times New Roman"/>
              </w:rPr>
              <w:t>18</w:t>
            </w:r>
            <w:r>
              <w:rPr>
                <w:rStyle w:val="a4"/>
                <w:rFonts w:ascii="Times New Roman" w:hAnsi="Times New Roman"/>
              </w:rPr>
              <w:t>歲之先天性疾病個案，超過上限臨界點之實際醫療服務點數全數支付」，假設個案之定額高於上限臨界點時如何</w:t>
            </w:r>
            <w:r>
              <w:rPr>
                <w:rStyle w:val="a4"/>
                <w:rFonts w:ascii="Times New Roman" w:hAnsi="Times New Roman"/>
              </w:rPr>
              <w:lastRenderedPageBreak/>
              <w:t>計算？</w:t>
            </w:r>
            <w:bookmarkEnd w:id="24"/>
            <w:r>
              <w:rPr>
                <w:rStyle w:val="a4"/>
                <w:rFonts w:ascii="Times New Roman" w:hAnsi="Times New Roman"/>
              </w:rPr>
              <w:t xml:space="preserve"> </w:t>
            </w:r>
          </w:p>
          <w:p w:rsidR="001938F3" w:rsidRPr="001938F3" w:rsidRDefault="001938F3" w:rsidP="00C404CB">
            <w:pPr>
              <w:pStyle w:val="af5"/>
              <w:ind w:left="398" w:hanging="398"/>
              <w:rPr>
                <w:color w:val="0000FF"/>
                <w:u w:val="single"/>
              </w:rPr>
            </w:pPr>
            <w:r>
              <w:rPr>
                <w:rStyle w:val="a4"/>
                <w:rFonts w:ascii="Times New Roman" w:hAnsi="Times New Roman" w:hint="eastAsia"/>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lastRenderedPageBreak/>
              <w:t>1.</w:t>
            </w:r>
            <w:r>
              <w:rPr>
                <w:rStyle w:val="a4"/>
                <w:rFonts w:ascii="Times New Roman" w:eastAsia="標楷體" w:hAnsi="Times New Roman"/>
                <w:kern w:val="0"/>
                <w:sz w:val="28"/>
                <w:szCs w:val="28"/>
              </w:rPr>
              <w:t>個案之實際醫療點數高於上限臨界點時，本署支付</w:t>
            </w:r>
            <w:r>
              <w:rPr>
                <w:rStyle w:val="a4"/>
                <w:rFonts w:ascii="Times New Roman" w:eastAsia="標楷體" w:hAnsi="Times New Roman"/>
                <w:kern w:val="0"/>
                <w:sz w:val="28"/>
                <w:szCs w:val="28"/>
              </w:rPr>
              <w:t>80%</w:t>
            </w:r>
            <w:r>
              <w:rPr>
                <w:rStyle w:val="a4"/>
                <w:rFonts w:ascii="Times New Roman" w:eastAsia="標楷體" w:hAnsi="Times New Roman"/>
                <w:kern w:val="0"/>
                <w:sz w:val="28"/>
                <w:szCs w:val="28"/>
              </w:rPr>
              <w:t>的邊際成本。由於醫院反映</w:t>
            </w:r>
            <w:r>
              <w:rPr>
                <w:rStyle w:val="a4"/>
                <w:rFonts w:ascii="Times New Roman" w:eastAsia="標楷體" w:hAnsi="Times New Roman"/>
                <w:kern w:val="0"/>
                <w:sz w:val="28"/>
                <w:szCs w:val="28"/>
              </w:rPr>
              <w:t>18</w:t>
            </w:r>
            <w:r>
              <w:rPr>
                <w:rStyle w:val="a4"/>
                <w:rFonts w:ascii="Times New Roman" w:eastAsia="標楷體" w:hAnsi="Times New Roman"/>
                <w:kern w:val="0"/>
                <w:sz w:val="28"/>
                <w:szCs w:val="28"/>
              </w:rPr>
              <w:t>歲之先天性疾病個案</w:t>
            </w:r>
            <w:r w:rsidR="001938F3">
              <w:rPr>
                <w:rStyle w:val="a4"/>
                <w:rFonts w:ascii="Times New Roman" w:eastAsia="標楷體" w:hAnsi="Times New Roman" w:hint="eastAsia"/>
                <w:kern w:val="0"/>
                <w:sz w:val="28"/>
                <w:szCs w:val="28"/>
              </w:rPr>
              <w:t>或</w:t>
            </w:r>
            <w:r w:rsidR="001938F3" w:rsidRPr="00C404CB">
              <w:rPr>
                <w:rFonts w:ascii="Times New Roman" w:eastAsia="標楷體" w:hAnsi="標楷體" w:hint="eastAsia"/>
                <w:sz w:val="28"/>
                <w:szCs w:val="28"/>
              </w:rPr>
              <w:t>領有重大傷病之腦性麻痺個案</w:t>
            </w:r>
            <w:r>
              <w:rPr>
                <w:rStyle w:val="a4"/>
                <w:rFonts w:ascii="Times New Roman" w:eastAsia="標楷體" w:hAnsi="Times New Roman"/>
                <w:kern w:val="0"/>
                <w:sz w:val="28"/>
                <w:szCs w:val="28"/>
              </w:rPr>
              <w:t>之病情複雜，經本署與醫界代表協商，此類個案超過上限臨界點之實際醫療服務點數全數支付。</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lastRenderedPageBreak/>
              <w:t>2.</w:t>
            </w:r>
            <w:r>
              <w:rPr>
                <w:rStyle w:val="a4"/>
                <w:rFonts w:ascii="Times New Roman" w:eastAsia="標楷體" w:hAnsi="Times New Roman"/>
                <w:kern w:val="0"/>
                <w:sz w:val="28"/>
                <w:szCs w:val="28"/>
              </w:rPr>
              <w:t>對於個案之</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支付定額高於上限臨界點時，應依支付通則六、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三</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之</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「實際醫療服務點數高於點數上限臨界點，且</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支付定額高於上限臨界點但低於實際醫療服務點數之個案，上限臨界點以</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支付定額計算；實際醫療服點數高於點數上限臨界點，惟</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支付定額高於實際醫療服務點數之個案，不得計算超過上限臨界點支付點數。」，以不重複支付之規定辦理。</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420" w:hanging="420"/>
              <w:rPr>
                <w:rStyle w:val="a4"/>
                <w:rFonts w:ascii="Times New Roman" w:hAnsi="Times New Roman" w:hint="eastAsia"/>
                <w:szCs w:val="24"/>
              </w:rPr>
            </w:pPr>
            <w:r>
              <w:rPr>
                <w:rStyle w:val="a4"/>
                <w:rFonts w:ascii="Times New Roman" w:hAnsi="Times New Roman"/>
                <w:szCs w:val="24"/>
              </w:rPr>
              <w:t>28.</w:t>
            </w:r>
            <w:r>
              <w:rPr>
                <w:rStyle w:val="a4"/>
                <w:rFonts w:ascii="Times New Roman" w:hAnsi="Times New Roman"/>
                <w:szCs w:val="24"/>
              </w:rPr>
              <w:t>實際醫療服務點數高於點數上限臨界點之計算方式為何</w:t>
            </w:r>
            <w:r>
              <w:rPr>
                <w:rStyle w:val="a4"/>
                <w:rFonts w:ascii="Times New Roman" w:hAnsi="Times New Roman"/>
                <w:szCs w:val="24"/>
              </w:rPr>
              <w:t>?</w:t>
            </w:r>
          </w:p>
          <w:p w:rsidR="00965639" w:rsidRDefault="00965639" w:rsidP="00965639">
            <w:pPr>
              <w:pStyle w:val="af5"/>
              <w:ind w:left="420" w:hanging="50"/>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sz w:val="28"/>
                <w:szCs w:val="28"/>
              </w:rPr>
            </w:pPr>
            <w:r>
              <w:rPr>
                <w:rStyle w:val="a4"/>
                <w:rFonts w:ascii="Times New Roman" w:eastAsia="標楷體" w:hAnsi="Times New Roman"/>
                <w:kern w:val="0"/>
                <w:sz w:val="28"/>
                <w:szCs w:val="28"/>
              </w:rPr>
              <w:t>1.</w:t>
            </w:r>
            <w:r>
              <w:rPr>
                <w:rStyle w:val="a4"/>
                <w:rFonts w:ascii="Times New Roman" w:eastAsia="標楷體" w:hAnsi="Times New Roman"/>
                <w:sz w:val="28"/>
                <w:szCs w:val="28"/>
              </w:rPr>
              <w:t>年齡小於</w:t>
            </w:r>
            <w:r>
              <w:rPr>
                <w:rStyle w:val="a4"/>
                <w:rFonts w:ascii="Times New Roman" w:eastAsia="標楷體" w:hAnsi="Times New Roman"/>
                <w:sz w:val="28"/>
                <w:szCs w:val="28"/>
              </w:rPr>
              <w:t>18</w:t>
            </w:r>
            <w:r>
              <w:rPr>
                <w:rStyle w:val="a4"/>
                <w:rFonts w:ascii="Times New Roman" w:eastAsia="標楷體" w:hAnsi="Times New Roman"/>
                <w:sz w:val="28"/>
                <w:szCs w:val="28"/>
              </w:rPr>
              <w:t>歲之先天性疾病個案</w:t>
            </w:r>
            <w:r w:rsidR="00965639" w:rsidRPr="00C404CB">
              <w:rPr>
                <w:rFonts w:ascii="Times New Roman" w:eastAsia="標楷體" w:hAnsi="標楷體" w:hint="eastAsia"/>
                <w:sz w:val="28"/>
                <w:szCs w:val="28"/>
              </w:rPr>
              <w:t>領有重大傷病之腦性麻痺個案</w:t>
            </w:r>
            <w:r>
              <w:rPr>
                <w:rStyle w:val="a4"/>
                <w:rFonts w:ascii="Times New Roman" w:eastAsia="標楷體" w:hAnsi="Times New Roman"/>
                <w:sz w:val="28"/>
                <w:szCs w:val="28"/>
              </w:rPr>
              <w:t>，超過上限臨界點之實際醫療服務點數全額支付。</w:t>
            </w:r>
          </w:p>
          <w:p w:rsidR="00230528" w:rsidRDefault="00230528" w:rsidP="00C404CB">
            <w:pPr>
              <w:pStyle w:val="a0"/>
              <w:widowControl/>
              <w:spacing w:line="560" w:lineRule="exact"/>
              <w:ind w:left="280" w:hanging="280"/>
            </w:pPr>
            <w:r>
              <w:rPr>
                <w:rStyle w:val="a4"/>
                <w:rFonts w:ascii="Times New Roman" w:eastAsia="標楷體" w:hAnsi="Times New Roman"/>
                <w:sz w:val="28"/>
                <w:szCs w:val="28"/>
              </w:rPr>
              <w:t>2.</w:t>
            </w:r>
            <w:r>
              <w:rPr>
                <w:rStyle w:val="a4"/>
                <w:rFonts w:ascii="Times New Roman" w:eastAsia="標楷體" w:hAnsi="Times New Roman"/>
                <w:sz w:val="28"/>
                <w:szCs w:val="28"/>
              </w:rPr>
              <w:t>上述以外之個案</w:t>
            </w:r>
            <w:r>
              <w:rPr>
                <w:rStyle w:val="a4"/>
                <w:rFonts w:ascii="標楷體" w:eastAsia="標楷體" w:hAnsi="標楷體"/>
                <w:sz w:val="28"/>
                <w:szCs w:val="28"/>
              </w:rPr>
              <w:t>，</w:t>
            </w:r>
            <w:r>
              <w:rPr>
                <w:rStyle w:val="a4"/>
                <w:rFonts w:ascii="Times New Roman" w:eastAsia="標楷體" w:hAnsi="Times New Roman"/>
                <w:color w:val="000000"/>
                <w:kern w:val="0"/>
                <w:sz w:val="28"/>
                <w:szCs w:val="28"/>
              </w:rPr>
              <w:t>超過上限之醫療點數仍支付八成</w:t>
            </w:r>
            <w:r>
              <w:rPr>
                <w:rStyle w:val="a4"/>
                <w:rFonts w:ascii="新細明體" w:hAnsi="新細明體"/>
                <w:sz w:val="28"/>
                <w:szCs w:val="28"/>
              </w:rPr>
              <w:t>。</w:t>
            </w:r>
            <w:r w:rsidRPr="00965639">
              <w:rPr>
                <w:rStyle w:val="a4"/>
                <w:rFonts w:ascii="Times New Roman" w:eastAsia="標楷體" w:hAnsi="Times New Roman"/>
                <w:sz w:val="28"/>
                <w:szCs w:val="28"/>
              </w:rPr>
              <w:t>考量</w:t>
            </w:r>
            <w:r w:rsidRPr="00965639">
              <w:rPr>
                <w:rStyle w:val="a4"/>
                <w:rFonts w:ascii="Times New Roman" w:eastAsia="標楷體" w:hAnsi="Times New Roman"/>
                <w:sz w:val="28"/>
                <w:szCs w:val="28"/>
              </w:rPr>
              <w:t>DRG</w:t>
            </w:r>
            <w:r w:rsidRPr="00965639">
              <w:rPr>
                <w:rStyle w:val="a4"/>
                <w:rFonts w:ascii="Times New Roman" w:eastAsia="標楷體" w:hAnsi="Times New Roman"/>
                <w:sz w:val="28"/>
                <w:szCs w:val="28"/>
              </w:rPr>
              <w:t>再分類之限制，增加經醫院認定係個案病情複雜因素造成之醫療耗用，應於病歷述明理由，得採經專業審查通過核實支付。</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8" w:hanging="398"/>
            </w:pPr>
            <w:bookmarkStart w:id="25" w:name="_Toc392256940"/>
            <w:bookmarkStart w:id="26" w:name="_Toc358915741"/>
            <w:r>
              <w:rPr>
                <w:rStyle w:val="a4"/>
                <w:rFonts w:ascii="Times New Roman" w:hAnsi="Times New Roman"/>
              </w:rPr>
              <w:t>29.</w:t>
            </w:r>
            <w:r>
              <w:rPr>
                <w:rStyle w:val="a4"/>
                <w:rFonts w:ascii="Times New Roman" w:hAnsi="Times New Roman"/>
                <w:szCs w:val="28"/>
              </w:rPr>
              <w:t>「</w:t>
            </w:r>
            <w:r>
              <w:rPr>
                <w:rStyle w:val="a4"/>
                <w:rFonts w:ascii="Times New Roman" w:hAnsi="Times New Roman"/>
                <w:szCs w:val="28"/>
              </w:rPr>
              <w:t>DRG</w:t>
            </w:r>
            <w:r>
              <w:rPr>
                <w:rStyle w:val="a4"/>
                <w:rFonts w:ascii="Times New Roman" w:hAnsi="Times New Roman"/>
                <w:szCs w:val="28"/>
              </w:rPr>
              <w:t>支付制度下新增全新功能類別特殊材料因應方案」第四點（二）</w:t>
            </w:r>
            <w:r>
              <w:rPr>
                <w:rStyle w:val="a4"/>
                <w:rFonts w:ascii="Times New Roman" w:hAnsi="Times New Roman"/>
                <w:szCs w:val="28"/>
              </w:rPr>
              <w:t>1</w:t>
            </w:r>
            <w:r>
              <w:rPr>
                <w:rStyle w:val="a4"/>
                <w:rFonts w:ascii="Times New Roman" w:hAnsi="Times New Roman"/>
                <w:szCs w:val="28"/>
              </w:rPr>
              <w:t>之（</w:t>
            </w:r>
            <w:r>
              <w:rPr>
                <w:rStyle w:val="a4"/>
                <w:rFonts w:ascii="Times New Roman" w:hAnsi="Times New Roman"/>
                <w:szCs w:val="28"/>
              </w:rPr>
              <w:t>2</w:t>
            </w:r>
            <w:r>
              <w:rPr>
                <w:rStyle w:val="a4"/>
                <w:rFonts w:ascii="Times New Roman" w:hAnsi="Times New Roman"/>
                <w:szCs w:val="28"/>
              </w:rPr>
              <w:t>）規範實際醫療服務點數小於</w:t>
            </w:r>
            <w:r>
              <w:rPr>
                <w:rStyle w:val="a4"/>
                <w:rFonts w:ascii="Times New Roman" w:hAnsi="Times New Roman"/>
                <w:szCs w:val="28"/>
              </w:rPr>
              <w:t>DRG</w:t>
            </w:r>
            <w:r>
              <w:rPr>
                <w:rStyle w:val="a4"/>
                <w:rFonts w:ascii="Times New Roman" w:hAnsi="Times New Roman"/>
                <w:szCs w:val="28"/>
              </w:rPr>
              <w:t>定額不得加計額外點數，且不得向病患收取費用，假設實際醫療服務點數等於定額如何處理？</w:t>
            </w:r>
            <w:bookmarkEnd w:id="25"/>
            <w:bookmarkEnd w:id="26"/>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
            </w:pPr>
            <w:r>
              <w:rPr>
                <w:rStyle w:val="a4"/>
                <w:rFonts w:ascii="Times New Roman" w:eastAsia="標楷體" w:hAnsi="Times New Roman"/>
                <w:kern w:val="0"/>
                <w:sz w:val="28"/>
                <w:szCs w:val="28"/>
              </w:rPr>
              <w:t>由於加計點數之計算方式為實際醫療點數減定額，如果</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者相等，相減後差為</w:t>
            </w:r>
            <w:r>
              <w:rPr>
                <w:rStyle w:val="a4"/>
                <w:rFonts w:ascii="Times New Roman" w:eastAsia="標楷體" w:hAnsi="Times New Roman"/>
                <w:kern w:val="0"/>
                <w:sz w:val="28"/>
                <w:szCs w:val="28"/>
              </w:rPr>
              <w:t>0</w:t>
            </w:r>
            <w:r>
              <w:rPr>
                <w:rStyle w:val="a4"/>
                <w:rFonts w:ascii="Times New Roman" w:eastAsia="標楷體" w:hAnsi="Times New Roman"/>
                <w:kern w:val="0"/>
                <w:sz w:val="28"/>
                <w:szCs w:val="28"/>
              </w:rPr>
              <w:t>，亦無加成，所以實際醫療服務點數小於或等於定額不得加計額外點數。第四點（二）</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之（</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）比照辦理，實際醫療服務點數小於</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等於</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下限臨界點、實際醫療服務點數大於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定額，惟</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定額大於</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等於</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上限臨界點，亦不得加計額外點數。</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8" w:hanging="398"/>
            </w:pPr>
            <w:bookmarkStart w:id="27" w:name="_Toc392256941"/>
            <w:r>
              <w:rPr>
                <w:rStyle w:val="a4"/>
                <w:rFonts w:ascii="Times New Roman" w:hAnsi="Times New Roman"/>
              </w:rPr>
              <w:t>30.</w:t>
            </w:r>
            <w:r>
              <w:rPr>
                <w:rStyle w:val="a4"/>
                <w:rFonts w:ascii="Times New Roman" w:hAnsi="Times New Roman"/>
              </w:rPr>
              <w:t>參加</w:t>
            </w:r>
            <w:r>
              <w:rPr>
                <w:rStyle w:val="a4"/>
                <w:rFonts w:ascii="Times New Roman" w:hAnsi="Times New Roman"/>
                <w:szCs w:val="28"/>
              </w:rPr>
              <w:t>「孕產婦照護品質確保及諮詢服務計畫」個案，其試辦</w:t>
            </w:r>
            <w:r>
              <w:rPr>
                <w:rStyle w:val="a4"/>
                <w:rFonts w:ascii="Times New Roman" w:hAnsi="Times New Roman"/>
                <w:szCs w:val="28"/>
              </w:rPr>
              <w:lastRenderedPageBreak/>
              <w:t>計畫之管理照護費與生產之醫療服務點數如何申報？</w:t>
            </w:r>
            <w:bookmarkEnd w:id="27"/>
            <w:r>
              <w:rPr>
                <w:rStyle w:val="a4"/>
                <w:rFonts w:ascii="Times New Roman" w:hAnsi="Times New Roman"/>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hanging="132"/>
            </w:pPr>
            <w:r>
              <w:rPr>
                <w:rStyle w:val="a4"/>
                <w:rFonts w:ascii="Times New Roman" w:eastAsia="標楷體" w:hAnsi="Times New Roman"/>
                <w:kern w:val="0"/>
                <w:sz w:val="28"/>
                <w:szCs w:val="28"/>
              </w:rPr>
              <w:lastRenderedPageBreak/>
              <w:t>「</w:t>
            </w:r>
            <w:r>
              <w:rPr>
                <w:rStyle w:val="a4"/>
                <w:rFonts w:ascii="Times New Roman" w:eastAsia="標楷體" w:hAnsi="Times New Roman"/>
                <w:bCs/>
                <w:kern w:val="0"/>
                <w:sz w:val="28"/>
                <w:szCs w:val="28"/>
              </w:rPr>
              <w:t>孕產婦照護品質確保及諮詢服務計畫</w:t>
            </w:r>
            <w:r>
              <w:rPr>
                <w:rStyle w:val="a4"/>
                <w:rFonts w:ascii="Times New Roman" w:eastAsia="標楷體" w:hAnsi="Times New Roman"/>
                <w:kern w:val="0"/>
                <w:sz w:val="28"/>
                <w:szCs w:val="28"/>
              </w:rPr>
              <w:t>」之</w:t>
            </w:r>
            <w:r>
              <w:rPr>
                <w:rStyle w:val="a4"/>
                <w:rFonts w:ascii="Times New Roman" w:eastAsia="標楷體" w:hAnsi="Times New Roman"/>
                <w:sz w:val="28"/>
                <w:szCs w:val="28"/>
              </w:rPr>
              <w:t>P3903C(</w:t>
            </w:r>
            <w:r>
              <w:rPr>
                <w:rStyle w:val="a4"/>
                <w:rFonts w:ascii="Times New Roman" w:eastAsia="標楷體" w:hAnsi="Times New Roman"/>
                <w:sz w:val="28"/>
                <w:szCs w:val="28"/>
              </w:rPr>
              <w:t>孕產期管理照護費</w:t>
            </w:r>
            <w:r>
              <w:rPr>
                <w:rStyle w:val="a4"/>
                <w:rFonts w:ascii="Times New Roman" w:eastAsia="標楷體" w:hAnsi="Times New Roman"/>
                <w:sz w:val="28"/>
                <w:szCs w:val="28"/>
              </w:rPr>
              <w:t>(</w:t>
            </w:r>
            <w:r>
              <w:rPr>
                <w:rStyle w:val="a4"/>
                <w:rFonts w:ascii="Times New Roman" w:eastAsia="標楷體" w:hAnsi="Times New Roman"/>
                <w:sz w:val="28"/>
                <w:szCs w:val="28"/>
              </w:rPr>
              <w:t>全程產檢不含生產</w:t>
            </w:r>
            <w:r>
              <w:rPr>
                <w:rStyle w:val="a4"/>
                <w:rFonts w:ascii="Times New Roman" w:eastAsia="標楷體" w:hAnsi="Times New Roman"/>
                <w:sz w:val="28"/>
                <w:szCs w:val="28"/>
              </w:rPr>
              <w:t>))</w:t>
            </w:r>
            <w:r>
              <w:rPr>
                <w:rStyle w:val="a4"/>
                <w:rFonts w:ascii="Times New Roman" w:eastAsia="標楷體" w:hAnsi="Times New Roman"/>
                <w:sz w:val="28"/>
                <w:szCs w:val="28"/>
              </w:rPr>
              <w:t>、</w:t>
            </w:r>
            <w:r>
              <w:rPr>
                <w:rStyle w:val="a4"/>
                <w:rFonts w:ascii="Times New Roman" w:eastAsia="標楷體" w:hAnsi="Times New Roman"/>
                <w:sz w:val="28"/>
                <w:szCs w:val="28"/>
              </w:rPr>
              <w:t>P3904C(</w:t>
            </w:r>
            <w:r>
              <w:rPr>
                <w:rStyle w:val="a4"/>
                <w:rFonts w:ascii="Times New Roman" w:eastAsia="標楷體" w:hAnsi="Times New Roman"/>
                <w:sz w:val="28"/>
                <w:szCs w:val="28"/>
              </w:rPr>
              <w:t>母嬰親</w:t>
            </w:r>
            <w:r>
              <w:rPr>
                <w:rStyle w:val="a4"/>
                <w:rFonts w:ascii="Times New Roman" w:eastAsia="標楷體" w:hAnsi="Times New Roman"/>
                <w:sz w:val="28"/>
                <w:szCs w:val="28"/>
              </w:rPr>
              <w:lastRenderedPageBreak/>
              <w:t>善機構孕產期管理照護費</w:t>
            </w:r>
            <w:r>
              <w:rPr>
                <w:rStyle w:val="a4"/>
                <w:rFonts w:ascii="Times New Roman" w:eastAsia="標楷體" w:hAnsi="Times New Roman"/>
                <w:sz w:val="28"/>
                <w:szCs w:val="28"/>
              </w:rPr>
              <w:t>(</w:t>
            </w:r>
            <w:r>
              <w:rPr>
                <w:rStyle w:val="a4"/>
                <w:rFonts w:ascii="Times New Roman" w:eastAsia="標楷體" w:hAnsi="Times New Roman"/>
                <w:sz w:val="28"/>
                <w:szCs w:val="28"/>
              </w:rPr>
              <w:t>全程產檢暨生產</w:t>
            </w:r>
            <w:r>
              <w:rPr>
                <w:rStyle w:val="a4"/>
                <w:rFonts w:ascii="Times New Roman" w:eastAsia="標楷體" w:hAnsi="Times New Roman"/>
                <w:sz w:val="28"/>
                <w:szCs w:val="28"/>
              </w:rPr>
              <w:t>))</w:t>
            </w:r>
            <w:r>
              <w:rPr>
                <w:rStyle w:val="a4"/>
                <w:rFonts w:ascii="Times New Roman" w:eastAsia="標楷體" w:hAnsi="Times New Roman"/>
                <w:sz w:val="28"/>
                <w:szCs w:val="28"/>
              </w:rPr>
              <w:t>、</w:t>
            </w:r>
            <w:r>
              <w:rPr>
                <w:rStyle w:val="a4"/>
                <w:rFonts w:ascii="Times New Roman" w:eastAsia="標楷體" w:hAnsi="Times New Roman"/>
                <w:sz w:val="28"/>
                <w:szCs w:val="28"/>
              </w:rPr>
              <w:t>P3905C(</w:t>
            </w:r>
            <w:r>
              <w:rPr>
                <w:rStyle w:val="a4"/>
                <w:rFonts w:ascii="Times New Roman" w:eastAsia="標楷體" w:hAnsi="Times New Roman"/>
                <w:sz w:val="28"/>
                <w:szCs w:val="28"/>
              </w:rPr>
              <w:t>非母嬰親善機構孕產期管理照護費</w:t>
            </w:r>
            <w:r>
              <w:rPr>
                <w:rStyle w:val="a4"/>
                <w:rFonts w:ascii="Times New Roman" w:eastAsia="標楷體" w:hAnsi="Times New Roman"/>
                <w:sz w:val="28"/>
                <w:szCs w:val="28"/>
              </w:rPr>
              <w:t>(</w:t>
            </w:r>
            <w:r>
              <w:rPr>
                <w:rStyle w:val="a4"/>
                <w:rFonts w:ascii="Times New Roman" w:eastAsia="標楷體" w:hAnsi="Times New Roman"/>
                <w:sz w:val="28"/>
                <w:szCs w:val="28"/>
              </w:rPr>
              <w:t>全程產檢暨生產</w:t>
            </w:r>
            <w:r>
              <w:rPr>
                <w:rStyle w:val="a4"/>
                <w:rFonts w:ascii="Times New Roman" w:eastAsia="標楷體" w:hAnsi="Times New Roman"/>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係屬於醫療服務點數以外之獎勵金給付，因此，參加該試辦計畫個案，其生產案件屬</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案件，惟得另加計該試辦計畫申報項目：醫令清單之醫令類別請填寫「</w:t>
            </w:r>
            <w:r>
              <w:rPr>
                <w:rStyle w:val="a4"/>
                <w:rFonts w:ascii="Times New Roman" w:eastAsia="標楷體" w:hAnsi="Times New Roman"/>
                <w:kern w:val="0"/>
                <w:sz w:val="28"/>
                <w:szCs w:val="28"/>
              </w:rPr>
              <w:t>X</w:t>
            </w:r>
            <w:r>
              <w:rPr>
                <w:rStyle w:val="a4"/>
                <w:rFonts w:ascii="Times New Roman" w:eastAsia="標楷體" w:hAnsi="Times New Roman"/>
                <w:kern w:val="0"/>
                <w:sz w:val="28"/>
                <w:szCs w:val="28"/>
              </w:rPr>
              <w:t>」，醫令代碼請填寫「</w:t>
            </w:r>
            <w:r>
              <w:rPr>
                <w:rStyle w:val="a4"/>
                <w:rFonts w:ascii="Times New Roman" w:eastAsia="標楷體" w:hAnsi="Times New Roman"/>
                <w:kern w:val="0"/>
                <w:sz w:val="28"/>
                <w:szCs w:val="28"/>
              </w:rPr>
              <w:t>P3904C</w:t>
            </w:r>
            <w:r>
              <w:rPr>
                <w:rStyle w:val="a4"/>
                <w:rFonts w:ascii="Times New Roman" w:eastAsia="標楷體" w:hAnsi="Times New Roman"/>
                <w:kern w:val="0"/>
                <w:sz w:val="28"/>
                <w:szCs w:val="28"/>
              </w:rPr>
              <w:t>」或「</w:t>
            </w:r>
            <w:r>
              <w:rPr>
                <w:rStyle w:val="a4"/>
                <w:rFonts w:ascii="Times New Roman" w:eastAsia="標楷體" w:hAnsi="Times New Roman"/>
                <w:kern w:val="0"/>
                <w:sz w:val="28"/>
                <w:szCs w:val="28"/>
              </w:rPr>
              <w:t>P3905C</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28" w:name="_Toc392256942"/>
            <w:r>
              <w:rPr>
                <w:rStyle w:val="a4"/>
                <w:rFonts w:ascii="Times New Roman" w:hAnsi="Times New Roman"/>
              </w:rPr>
              <w:t>31.</w:t>
            </w:r>
            <w:r>
              <w:rPr>
                <w:rStyle w:val="a4"/>
                <w:rFonts w:ascii="Times New Roman" w:hAnsi="Times New Roman"/>
              </w:rPr>
              <w:t>實際醫療服務點數高於上限臨界點，且</w:t>
            </w:r>
            <w:r>
              <w:rPr>
                <w:rStyle w:val="a4"/>
                <w:rFonts w:ascii="Times New Roman" w:hAnsi="Times New Roman"/>
              </w:rPr>
              <w:t>Tw-DRGs</w:t>
            </w:r>
            <w:r>
              <w:rPr>
                <w:rStyle w:val="a4"/>
                <w:rFonts w:ascii="Times New Roman" w:hAnsi="Times New Roman"/>
              </w:rPr>
              <w:t>支付定額高於上限臨界點及等於實際醫療服點數時應</w:t>
            </w:r>
            <w:r>
              <w:rPr>
                <w:rStyle w:val="a4"/>
                <w:rFonts w:ascii="Times New Roman" w:hAnsi="Times New Roman"/>
                <w:szCs w:val="28"/>
              </w:rPr>
              <w:t>如何申報？</w:t>
            </w:r>
            <w:bookmarkEnd w:id="28"/>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實際醫療服務點數高於上限臨界點，且</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支付定額等於實際醫療服務點數之個案，無邊際成本，按支付通則六（三）之</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「上限臨界點以</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定額計算」，其邊際成本</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（實際醫療服點數</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w:t>
            </w:r>
            <w:r>
              <w:rPr>
                <w:rStyle w:val="a4"/>
                <w:rFonts w:ascii="Times New Roman" w:eastAsia="標楷體" w:hAnsi="Times New Roman"/>
                <w:kern w:val="0"/>
                <w:sz w:val="28"/>
                <w:szCs w:val="28"/>
              </w:rPr>
              <w:t>*80</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=0</w:t>
            </w:r>
            <w:r>
              <w:rPr>
                <w:rStyle w:val="a4"/>
                <w:rFonts w:ascii="Times New Roman" w:eastAsia="標楷體" w:hAnsi="Times New Roman"/>
                <w:kern w:val="0"/>
                <w:sz w:val="28"/>
                <w:szCs w:val="28"/>
              </w:rPr>
              <w:t>，以住院醫療服務醫令清單之醫令代碼</w:t>
            </w:r>
            <w:r>
              <w:rPr>
                <w:rStyle w:val="a4"/>
                <w:rFonts w:ascii="Times New Roman" w:eastAsia="標楷體" w:hAnsi="Times New Roman"/>
                <w:kern w:val="0"/>
                <w:sz w:val="28"/>
                <w:szCs w:val="28"/>
              </w:rPr>
              <w:t>C00003</w:t>
            </w:r>
            <w:r>
              <w:rPr>
                <w:rStyle w:val="a4"/>
                <w:rFonts w:ascii="Times New Roman" w:eastAsia="標楷體" w:hAnsi="Times New Roman"/>
                <w:kern w:val="0"/>
                <w:sz w:val="28"/>
                <w:szCs w:val="28"/>
              </w:rPr>
              <w:t>申報。</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29" w:name="_Toc392256943"/>
            <w:r>
              <w:rPr>
                <w:rStyle w:val="a4"/>
                <w:rFonts w:ascii="Times New Roman" w:hAnsi="Times New Roman"/>
              </w:rPr>
              <w:t>32.</w:t>
            </w:r>
            <w:r>
              <w:rPr>
                <w:rStyle w:val="a4"/>
                <w:rFonts w:ascii="Times New Roman" w:hAnsi="Times New Roman"/>
                <w:szCs w:val="28"/>
              </w:rPr>
              <w:t>「</w:t>
            </w:r>
            <w:r>
              <w:rPr>
                <w:rStyle w:val="a4"/>
                <w:rFonts w:ascii="Times New Roman" w:hAnsi="Times New Roman"/>
                <w:szCs w:val="28"/>
              </w:rPr>
              <w:t>DRG</w:t>
            </w:r>
            <w:r>
              <w:rPr>
                <w:rStyle w:val="a4"/>
                <w:rFonts w:ascii="Times New Roman" w:hAnsi="Times New Roman"/>
                <w:szCs w:val="28"/>
              </w:rPr>
              <w:t>支付制度下新增全新功能類別特殊材料因應方案」四（二）</w:t>
            </w:r>
            <w:r>
              <w:rPr>
                <w:rStyle w:val="a4"/>
                <w:rFonts w:ascii="Times New Roman" w:hAnsi="Times New Roman"/>
                <w:szCs w:val="28"/>
              </w:rPr>
              <w:t>2</w:t>
            </w:r>
            <w:r>
              <w:rPr>
                <w:rStyle w:val="a4"/>
                <w:rFonts w:ascii="Times New Roman" w:hAnsi="Times New Roman"/>
                <w:szCs w:val="28"/>
              </w:rPr>
              <w:t>之（</w:t>
            </w:r>
            <w:r>
              <w:rPr>
                <w:rStyle w:val="a4"/>
                <w:rFonts w:ascii="Times New Roman" w:hAnsi="Times New Roman"/>
                <w:szCs w:val="28"/>
              </w:rPr>
              <w:t>2</w:t>
            </w:r>
            <w:r>
              <w:rPr>
                <w:rStyle w:val="a4"/>
                <w:rFonts w:ascii="Times New Roman" w:hAnsi="Times New Roman"/>
                <w:szCs w:val="28"/>
              </w:rPr>
              <w:t>）規定</w:t>
            </w:r>
            <w:r>
              <w:rPr>
                <w:rStyle w:val="a4"/>
                <w:rFonts w:ascii="Times New Roman" w:hAnsi="Times New Roman"/>
                <w:sz w:val="30"/>
                <w:szCs w:val="30"/>
              </w:rPr>
              <w:t>以實際醫療服務點數計算額外加計點數，假設</w:t>
            </w:r>
            <w:r>
              <w:rPr>
                <w:rStyle w:val="a4"/>
                <w:rFonts w:ascii="Times New Roman" w:hAnsi="Times New Roman"/>
              </w:rPr>
              <w:t>實際醫療服務點數等於上限臨界點，且大於</w:t>
            </w:r>
            <w:r>
              <w:rPr>
                <w:rStyle w:val="a4"/>
                <w:rFonts w:ascii="Times New Roman" w:hAnsi="Times New Roman"/>
              </w:rPr>
              <w:t>DRG</w:t>
            </w:r>
            <w:r>
              <w:rPr>
                <w:rStyle w:val="a4"/>
                <w:rFonts w:ascii="Times New Roman" w:hAnsi="Times New Roman"/>
              </w:rPr>
              <w:t>定額時，其額外加計之特材點數應如何計算及申報？</w:t>
            </w:r>
            <w:r>
              <w:rPr>
                <w:rStyle w:val="a4"/>
                <w:rFonts w:ascii="Times New Roman" w:hAnsi="Times New Roman"/>
              </w:rPr>
              <w:br/>
            </w:r>
            <w:bookmarkEnd w:id="29"/>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Fonts w:ascii="Times New Roman" w:eastAsia="標楷體" w:hAnsi="Times New Roman"/>
                <w:kern w:val="0"/>
                <w:sz w:val="28"/>
                <w:szCs w:val="28"/>
              </w:rPr>
            </w:pPr>
            <w:r>
              <w:rPr>
                <w:rStyle w:val="a4"/>
                <w:rFonts w:ascii="Times New Roman" w:eastAsia="標楷體" w:hAnsi="Times New Roman"/>
                <w:kern w:val="0"/>
                <w:sz w:val="28"/>
                <w:szCs w:val="28"/>
              </w:rPr>
              <w:t>實際醫療服務點數等於上限臨界點，且大於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定額時，其額外加計之特材點數應以</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定額至實際醫療服務點數（上限臨界點）差額之</w:t>
            </w:r>
            <w:r>
              <w:rPr>
                <w:rStyle w:val="a4"/>
                <w:rFonts w:ascii="Times New Roman" w:eastAsia="標楷體" w:hAnsi="Times New Roman"/>
                <w:kern w:val="0"/>
                <w:sz w:val="28"/>
                <w:szCs w:val="28"/>
              </w:rPr>
              <w:t>70%</w:t>
            </w:r>
            <w:r>
              <w:rPr>
                <w:rStyle w:val="a4"/>
                <w:rFonts w:ascii="Times New Roman" w:eastAsia="標楷體" w:hAnsi="Times New Roman"/>
                <w:kern w:val="0"/>
                <w:sz w:val="28"/>
                <w:szCs w:val="28"/>
              </w:rPr>
              <w:t>計算，即【實際醫療服務點數（上限臨界點）</w:t>
            </w:r>
            <w:r>
              <w:rPr>
                <w:rStyle w:val="a4"/>
                <w:rFonts w:ascii="Times New Roman" w:eastAsia="標楷體" w:hAnsi="Times New Roman"/>
                <w:kern w:val="0"/>
                <w:sz w:val="28"/>
                <w:szCs w:val="28"/>
              </w:rPr>
              <w:t>- DRG</w:t>
            </w:r>
            <w:r>
              <w:rPr>
                <w:rStyle w:val="a4"/>
                <w:rFonts w:ascii="Times New Roman" w:eastAsia="標楷體" w:hAnsi="Times New Roman"/>
                <w:kern w:val="0"/>
                <w:sz w:val="28"/>
                <w:szCs w:val="28"/>
              </w:rPr>
              <w:t>定額】</w:t>
            </w:r>
            <w:r>
              <w:rPr>
                <w:rStyle w:val="a4"/>
                <w:rFonts w:ascii="Times New Roman" w:eastAsia="標楷體" w:hAnsi="Times New Roman"/>
                <w:kern w:val="0"/>
                <w:sz w:val="28"/>
                <w:szCs w:val="28"/>
              </w:rPr>
              <w:t>*70</w:t>
            </w:r>
            <w:r>
              <w:rPr>
                <w:rStyle w:val="a4"/>
                <w:rFonts w:ascii="Times New Roman" w:eastAsia="標楷體" w:hAnsi="Times New Roman"/>
                <w:kern w:val="0"/>
                <w:sz w:val="28"/>
                <w:szCs w:val="28"/>
              </w:rPr>
              <w:t>％，以特約醫事機構住院醫療費用點數申報格式之</w:t>
            </w:r>
            <w:r>
              <w:rPr>
                <w:rStyle w:val="a4"/>
                <w:rFonts w:ascii="Times New Roman" w:eastAsia="標楷體" w:hAnsi="Times New Roman"/>
                <w:kern w:val="0"/>
                <w:sz w:val="28"/>
                <w:szCs w:val="28"/>
              </w:rPr>
              <w:t>ID-p3</w:t>
            </w:r>
            <w:r>
              <w:rPr>
                <w:rStyle w:val="a4"/>
                <w:rFonts w:ascii="Times New Roman" w:eastAsia="標楷體" w:hAnsi="Times New Roman"/>
                <w:kern w:val="0"/>
                <w:sz w:val="28"/>
                <w:szCs w:val="28"/>
              </w:rPr>
              <w:t>醫令代碼</w:t>
            </w:r>
            <w:r>
              <w:rPr>
                <w:rStyle w:val="a4"/>
                <w:rFonts w:ascii="Times New Roman" w:eastAsia="標楷體" w:hAnsi="Times New Roman"/>
                <w:kern w:val="0"/>
                <w:sz w:val="28"/>
                <w:szCs w:val="28"/>
              </w:rPr>
              <w:t>H00021/22</w:t>
            </w:r>
            <w:r>
              <w:rPr>
                <w:rStyle w:val="a4"/>
                <w:rFonts w:ascii="Times New Roman" w:eastAsia="標楷體" w:hAnsi="Times New Roman"/>
                <w:kern w:val="0"/>
                <w:sz w:val="28"/>
                <w:szCs w:val="28"/>
              </w:rPr>
              <w:t>申報。</w:t>
            </w:r>
          </w:p>
          <w:p w:rsidR="00230528" w:rsidRDefault="00230528">
            <w:pPr>
              <w:pStyle w:val="a0"/>
              <w:widowControl/>
              <w:spacing w:line="560" w:lineRule="exact"/>
              <w:rPr>
                <w:rFonts w:ascii="Times New Roman" w:eastAsia="標楷體" w:hAnsi="Times New Roman"/>
                <w:kern w:val="0"/>
                <w:sz w:val="28"/>
                <w:szCs w:val="28"/>
              </w:rPr>
            </w:pP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30" w:name="_Toc392256944"/>
            <w:r>
              <w:rPr>
                <w:rStyle w:val="a4"/>
                <w:rFonts w:ascii="Times New Roman" w:hAnsi="Times New Roman"/>
              </w:rPr>
              <w:t>33.</w:t>
            </w:r>
            <w:r>
              <w:rPr>
                <w:rStyle w:val="a4"/>
                <w:rFonts w:ascii="Times New Roman" w:hAnsi="Times New Roman"/>
                <w:szCs w:val="28"/>
              </w:rPr>
              <w:t>通則六、</w:t>
            </w:r>
            <w:r>
              <w:rPr>
                <w:rStyle w:val="a4"/>
                <w:rFonts w:ascii="Times New Roman" w:hAnsi="Times New Roman"/>
                <w:szCs w:val="28"/>
              </w:rPr>
              <w:t>(</w:t>
            </w:r>
            <w:r>
              <w:rPr>
                <w:rStyle w:val="a4"/>
                <w:rFonts w:ascii="Times New Roman" w:hAnsi="Times New Roman"/>
                <w:szCs w:val="28"/>
              </w:rPr>
              <w:t>六</w:t>
            </w:r>
            <w:r>
              <w:rPr>
                <w:rStyle w:val="a4"/>
                <w:rFonts w:ascii="Times New Roman" w:hAnsi="Times New Roman"/>
                <w:szCs w:val="28"/>
              </w:rPr>
              <w:t>)</w:t>
            </w:r>
            <w:r>
              <w:rPr>
                <w:rStyle w:val="a4"/>
                <w:rFonts w:ascii="Times New Roman" w:hAnsi="Times New Roman"/>
                <w:szCs w:val="28"/>
              </w:rPr>
              <w:t>所列各項得另行核實申報項目如：多胞胎新生兒</w:t>
            </w:r>
            <w:r>
              <w:rPr>
                <w:rStyle w:val="a4"/>
                <w:rFonts w:ascii="Times New Roman" w:hAnsi="Times New Roman"/>
                <w:szCs w:val="28"/>
              </w:rPr>
              <w:lastRenderedPageBreak/>
              <w:t>費、特定範圍生物製劑、化</w:t>
            </w:r>
            <w:r>
              <w:rPr>
                <w:rStyle w:val="a4"/>
                <w:rFonts w:ascii="Times New Roman" w:hAnsi="Times New Roman"/>
                <w:szCs w:val="28"/>
              </w:rPr>
              <w:t>(</w:t>
            </w:r>
            <w:r>
              <w:rPr>
                <w:rStyle w:val="a4"/>
                <w:rFonts w:ascii="Times New Roman" w:hAnsi="Times New Roman"/>
                <w:szCs w:val="28"/>
              </w:rPr>
              <w:t>放</w:t>
            </w:r>
            <w:r>
              <w:rPr>
                <w:rStyle w:val="a4"/>
                <w:rFonts w:ascii="Times New Roman" w:hAnsi="Times New Roman"/>
                <w:szCs w:val="28"/>
              </w:rPr>
              <w:t>)</w:t>
            </w:r>
            <w:r>
              <w:rPr>
                <w:rStyle w:val="a4"/>
                <w:rFonts w:ascii="Times New Roman" w:hAnsi="Times New Roman"/>
                <w:szCs w:val="28"/>
              </w:rPr>
              <w:t>療、呼吸器及洗腎點數等，是否可以選擇部份醫令數採核實申報或部份含於</w:t>
            </w:r>
            <w:r>
              <w:rPr>
                <w:rStyle w:val="a4"/>
                <w:rFonts w:ascii="Times New Roman" w:hAnsi="Times New Roman"/>
                <w:szCs w:val="28"/>
              </w:rPr>
              <w:t>DRG</w:t>
            </w:r>
            <w:r>
              <w:rPr>
                <w:rStyle w:val="a4"/>
                <w:rFonts w:ascii="Times New Roman" w:hAnsi="Times New Roman"/>
                <w:szCs w:val="28"/>
              </w:rPr>
              <w:t>定額內申報？（例如住院中總共洗腎</w:t>
            </w:r>
            <w:r>
              <w:rPr>
                <w:rStyle w:val="a4"/>
                <w:rFonts w:ascii="Times New Roman" w:hAnsi="Times New Roman"/>
                <w:szCs w:val="28"/>
              </w:rPr>
              <w:t>3</w:t>
            </w:r>
            <w:r>
              <w:rPr>
                <w:rStyle w:val="a4"/>
                <w:rFonts w:ascii="Times New Roman" w:hAnsi="Times New Roman"/>
                <w:szCs w:val="28"/>
              </w:rPr>
              <w:t>次，其中</w:t>
            </w:r>
            <w:r>
              <w:rPr>
                <w:rStyle w:val="a4"/>
                <w:rFonts w:ascii="Times New Roman" w:hAnsi="Times New Roman"/>
                <w:szCs w:val="28"/>
              </w:rPr>
              <w:t>1</w:t>
            </w:r>
            <w:r>
              <w:rPr>
                <w:rStyle w:val="a4"/>
                <w:rFonts w:ascii="Times New Roman" w:hAnsi="Times New Roman"/>
                <w:szCs w:val="28"/>
              </w:rPr>
              <w:t>次含於</w:t>
            </w:r>
            <w:r>
              <w:rPr>
                <w:rStyle w:val="a4"/>
                <w:rFonts w:ascii="Times New Roman" w:hAnsi="Times New Roman"/>
                <w:szCs w:val="28"/>
              </w:rPr>
              <w:t>DRG</w:t>
            </w:r>
            <w:r>
              <w:rPr>
                <w:rStyle w:val="a4"/>
                <w:rFonts w:ascii="Times New Roman" w:hAnsi="Times New Roman"/>
                <w:szCs w:val="28"/>
              </w:rPr>
              <w:t>定額内，另</w:t>
            </w:r>
            <w:r>
              <w:rPr>
                <w:rStyle w:val="a4"/>
                <w:rFonts w:ascii="Times New Roman" w:hAnsi="Times New Roman"/>
                <w:szCs w:val="28"/>
              </w:rPr>
              <w:t>2</w:t>
            </w:r>
            <w:r>
              <w:rPr>
                <w:rStyle w:val="a4"/>
                <w:rFonts w:ascii="Times New Roman" w:hAnsi="Times New Roman"/>
                <w:szCs w:val="28"/>
              </w:rPr>
              <w:t>次採核實申報。）</w:t>
            </w:r>
            <w:bookmarkEnd w:id="30"/>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lastRenderedPageBreak/>
              <w:t>考量目前住院處置碼僅</w:t>
            </w:r>
            <w:r>
              <w:rPr>
                <w:rStyle w:val="a4"/>
                <w:rFonts w:ascii="Times New Roman" w:eastAsia="標楷體" w:hAnsi="Times New Roman"/>
                <w:kern w:val="0"/>
                <w:sz w:val="28"/>
                <w:szCs w:val="28"/>
              </w:rPr>
              <w:t>20</w:t>
            </w:r>
            <w:r>
              <w:rPr>
                <w:rStyle w:val="a4"/>
                <w:rFonts w:ascii="Times New Roman" w:eastAsia="標楷體" w:hAnsi="Times New Roman"/>
                <w:kern w:val="0"/>
                <w:sz w:val="28"/>
                <w:szCs w:val="28"/>
              </w:rPr>
              <w:t>個申報欄位，對於少數病情複雜個案，申報欄位數恐有不足，故醫院提供個案得</w:t>
            </w:r>
            <w:r>
              <w:rPr>
                <w:rStyle w:val="a4"/>
                <w:rFonts w:ascii="Times New Roman" w:eastAsia="標楷體" w:hAnsi="Times New Roman"/>
                <w:kern w:val="0"/>
                <w:sz w:val="28"/>
                <w:szCs w:val="28"/>
              </w:rPr>
              <w:lastRenderedPageBreak/>
              <w:t>核實申報之醫療服務內容時，應以「項目」為單位採</w:t>
            </w:r>
            <w:r>
              <w:rPr>
                <w:rStyle w:val="a4"/>
                <w:rFonts w:ascii="Times New Roman" w:eastAsia="標楷體" w:hAnsi="Times New Roman"/>
                <w:sz w:val="28"/>
                <w:szCs w:val="28"/>
              </w:rPr>
              <w:t>核</w:t>
            </w:r>
            <w:r>
              <w:rPr>
                <w:rStyle w:val="a4"/>
                <w:rFonts w:ascii="Times New Roman" w:eastAsia="標楷體" w:hAnsi="Times New Roman"/>
                <w:kern w:val="0"/>
                <w:sz w:val="28"/>
                <w:szCs w:val="28"/>
              </w:rPr>
              <w:t>實申報或內含於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支付點數，不可選擇部份醫令</w:t>
            </w:r>
            <w:r>
              <w:rPr>
                <w:rStyle w:val="a4"/>
                <w:rFonts w:ascii="Times New Roman" w:eastAsia="標楷體" w:hAnsi="Times New Roman"/>
                <w:sz w:val="28"/>
                <w:szCs w:val="28"/>
              </w:rPr>
              <w:t>核</w:t>
            </w:r>
            <w:r>
              <w:rPr>
                <w:rStyle w:val="a4"/>
                <w:rFonts w:ascii="Times New Roman" w:eastAsia="標楷體" w:hAnsi="Times New Roman"/>
                <w:kern w:val="0"/>
                <w:sz w:val="28"/>
                <w:szCs w:val="28"/>
              </w:rPr>
              <w:t>實申報。（例如住院中總共洗腎</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次，則</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次洗腎點數均採核實申報，或</w:t>
            </w:r>
            <w:r>
              <w:rPr>
                <w:rStyle w:val="a4"/>
                <w:rFonts w:ascii="Times New Roman" w:eastAsia="標楷體" w:hAnsi="Times New Roman"/>
                <w:kern w:val="0"/>
                <w:sz w:val="28"/>
                <w:szCs w:val="28"/>
              </w:rPr>
              <w:t>3</w:t>
            </w:r>
            <w:r>
              <w:rPr>
                <w:rStyle w:val="a4"/>
                <w:rFonts w:ascii="Times New Roman" w:eastAsia="標楷體" w:hAnsi="Times New Roman"/>
                <w:kern w:val="0"/>
                <w:sz w:val="28"/>
                <w:szCs w:val="28"/>
              </w:rPr>
              <w:t>次均含於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定額内。）</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Fonts w:ascii="Times New Roman" w:hAnsi="Times New Roman"/>
              </w:rPr>
            </w:pPr>
            <w:bookmarkStart w:id="31" w:name="_Toc392256945"/>
            <w:r>
              <w:rPr>
                <w:rStyle w:val="a4"/>
                <w:rFonts w:ascii="Times New Roman" w:hAnsi="Times New Roman"/>
              </w:rPr>
              <w:t>34.</w:t>
            </w:r>
            <w:r>
              <w:rPr>
                <w:rStyle w:val="a4"/>
                <w:rFonts w:ascii="Times New Roman" w:hAnsi="Times New Roman"/>
              </w:rPr>
              <w:t>手術中使用呼吸器之個案，於手術後轉至恢復室或病房續用呼吸器小於</w:t>
            </w:r>
            <w:r>
              <w:rPr>
                <w:rStyle w:val="a4"/>
                <w:rFonts w:ascii="Times New Roman" w:hAnsi="Times New Roman"/>
              </w:rPr>
              <w:t>48</w:t>
            </w:r>
            <w:r>
              <w:rPr>
                <w:rStyle w:val="a4"/>
                <w:rFonts w:ascii="Times New Roman" w:hAnsi="Times New Roman"/>
              </w:rPr>
              <w:t>小時者，此類案件使用呼吸器之費用可以核實申報嗎？</w:t>
            </w:r>
            <w:bookmarkEnd w:id="31"/>
            <w:r>
              <w:rPr>
                <w:rStyle w:val="a4"/>
                <w:rFonts w:ascii="Times New Roman" w:hAnsi="Times New Roman"/>
              </w:rPr>
              <w:t xml:space="preserve"> </w:t>
            </w:r>
          </w:p>
          <w:p w:rsidR="00230528" w:rsidRDefault="00230528">
            <w:pPr>
              <w:pStyle w:val="af5"/>
              <w:ind w:left="394" w:firstLine="3"/>
              <w:rPr>
                <w:rFonts w:ascii="Times New Roman" w:hAnsi="Times New Roman"/>
              </w:rPr>
            </w:pPr>
          </w:p>
          <w:p w:rsidR="00230528" w:rsidRDefault="00230528">
            <w:pPr>
              <w:pStyle w:val="af5"/>
              <w:ind w:left="224" w:hanging="224"/>
              <w:rPr>
                <w:rFonts w:ascii="Times New Roman" w:hAnsi="Times New Roman"/>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按支付標準通則六、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六</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5</w:t>
            </w:r>
            <w:r>
              <w:rPr>
                <w:rStyle w:val="a4"/>
                <w:rFonts w:ascii="Times New Roman" w:eastAsia="標楷體" w:hAnsi="Times New Roman"/>
                <w:kern w:val="0"/>
                <w:sz w:val="28"/>
                <w:szCs w:val="28"/>
              </w:rPr>
              <w:t>規範，使用呼吸器之個案核實申報之呼吸器費用，應符合處置碼及支付標準代碼二項要件。依編碼原則規範，手術後使用呼吸器應視為手術及麻醉的一部分，不編使用呼吸器處置碼，因此，</w:t>
            </w:r>
            <w:r>
              <w:rPr>
                <w:rStyle w:val="a4"/>
                <w:rFonts w:ascii="Times New Roman" w:eastAsia="標楷體" w:hAnsi="Times New Roman"/>
                <w:bCs/>
                <w:kern w:val="0"/>
                <w:sz w:val="28"/>
                <w:szCs w:val="48"/>
              </w:rPr>
              <w:t>此類</w:t>
            </w:r>
            <w:r>
              <w:rPr>
                <w:rStyle w:val="a4"/>
                <w:rFonts w:ascii="Times New Roman" w:eastAsia="標楷體" w:hAnsi="Times New Roman"/>
                <w:kern w:val="0"/>
                <w:sz w:val="28"/>
                <w:szCs w:val="28"/>
              </w:rPr>
              <w:t>個案使用呼吸器之點數，應含於</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支付點數，不得核實申報，另</w:t>
            </w:r>
            <w:r>
              <w:rPr>
                <w:rStyle w:val="a4"/>
                <w:rFonts w:ascii="Times New Roman" w:eastAsia="標楷體" w:hAnsi="Times New Roman"/>
                <w:kern w:val="0"/>
                <w:sz w:val="28"/>
                <w:szCs w:val="28"/>
              </w:rPr>
              <w:t>CPAP</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IPPB</w:t>
            </w:r>
            <w:r>
              <w:rPr>
                <w:rStyle w:val="a4"/>
                <w:rFonts w:ascii="Times New Roman" w:eastAsia="標楷體" w:hAnsi="Times New Roman"/>
                <w:kern w:val="0"/>
                <w:sz w:val="28"/>
                <w:szCs w:val="28"/>
              </w:rPr>
              <w:t>及其他呼吸系統處置雖無此限制，然非所有手術後</w:t>
            </w:r>
            <w:r>
              <w:rPr>
                <w:rStyle w:val="a4"/>
                <w:rFonts w:ascii="Times New Roman" w:eastAsia="標楷體" w:hAnsi="Times New Roman"/>
                <w:kern w:val="0"/>
                <w:sz w:val="28"/>
                <w:szCs w:val="28"/>
              </w:rPr>
              <w:t>48</w:t>
            </w:r>
            <w:r>
              <w:rPr>
                <w:rStyle w:val="a4"/>
                <w:rFonts w:ascii="Times New Roman" w:eastAsia="標楷體" w:hAnsi="Times New Roman"/>
                <w:kern w:val="0"/>
                <w:sz w:val="28"/>
                <w:szCs w:val="28"/>
              </w:rPr>
              <w:t>小時內使用呼吸器者皆可編碼，應依病歷紀錄內容正確編碼，並仍需符合支付通則規範之處置碼及支付標準代碼二項要件（</w:t>
            </w:r>
            <w:r>
              <w:rPr>
                <w:rStyle w:val="a4"/>
                <w:rFonts w:ascii="標楷體" w:eastAsia="標楷體" w:hAnsi="標楷體"/>
                <w:sz w:val="28"/>
                <w:szCs w:val="28"/>
              </w:rPr>
              <w:t>使用呼吸器</w:t>
            </w:r>
            <w:r>
              <w:rPr>
                <w:rStyle w:val="a4"/>
                <w:rFonts w:ascii="Times New Roman" w:eastAsia="標楷體" w:hAnsi="Times New Roman"/>
                <w:kern w:val="0"/>
                <w:sz w:val="28"/>
                <w:szCs w:val="28"/>
              </w:rPr>
              <w:t>個案之處置碼詳支付通則</w:t>
            </w:r>
            <w:r>
              <w:rPr>
                <w:rStyle w:val="a4"/>
                <w:rFonts w:ascii="標楷體" w:eastAsia="標楷體" w:hAnsi="標楷體"/>
                <w:kern w:val="0"/>
                <w:sz w:val="28"/>
                <w:szCs w:val="28"/>
              </w:rPr>
              <w:t>)</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32" w:name="_Toc392256946"/>
            <w:r>
              <w:rPr>
                <w:rStyle w:val="a4"/>
                <w:rFonts w:ascii="Times New Roman" w:hAnsi="Times New Roman"/>
              </w:rPr>
              <w:t>35.</w:t>
            </w:r>
            <w:r>
              <w:rPr>
                <w:rStyle w:val="a4"/>
                <w:rFonts w:ascii="Times New Roman" w:hAnsi="Times New Roman"/>
                <w:szCs w:val="28"/>
              </w:rPr>
              <w:t>「</w:t>
            </w:r>
            <w:r>
              <w:rPr>
                <w:rStyle w:val="a4"/>
                <w:rFonts w:ascii="Times New Roman" w:hAnsi="Times New Roman"/>
                <w:szCs w:val="28"/>
              </w:rPr>
              <w:t>DRG</w:t>
            </w:r>
            <w:r>
              <w:rPr>
                <w:rStyle w:val="a4"/>
                <w:rFonts w:ascii="Times New Roman" w:hAnsi="Times New Roman"/>
                <w:szCs w:val="28"/>
              </w:rPr>
              <w:t>支付制度下新增全新功能類別特殊材料因應方案」之四之</w:t>
            </w:r>
            <w:r>
              <w:rPr>
                <w:rStyle w:val="a4"/>
                <w:rFonts w:ascii="Times New Roman" w:hAnsi="Times New Roman"/>
                <w:szCs w:val="28"/>
              </w:rPr>
              <w:t>(</w:t>
            </w:r>
            <w:r>
              <w:rPr>
                <w:rStyle w:val="a4"/>
                <w:rFonts w:ascii="Times New Roman" w:hAnsi="Times New Roman"/>
                <w:szCs w:val="28"/>
              </w:rPr>
              <w:t>一</w:t>
            </w:r>
            <w:r>
              <w:rPr>
                <w:rStyle w:val="a4"/>
                <w:rFonts w:ascii="Times New Roman" w:hAnsi="Times New Roman"/>
                <w:szCs w:val="28"/>
              </w:rPr>
              <w:t>)</w:t>
            </w:r>
            <w:r>
              <w:rPr>
                <w:rStyle w:val="a4"/>
                <w:rFonts w:ascii="Times New Roman" w:hAnsi="Times New Roman"/>
                <w:szCs w:val="28"/>
              </w:rPr>
              <w:t>「使用第一類新特殊材料之個案暫以論量計酬方式申報」之</w:t>
            </w:r>
            <w:r>
              <w:rPr>
                <w:rStyle w:val="a4"/>
                <w:rFonts w:ascii="Times New Roman" w:hAnsi="Times New Roman"/>
              </w:rPr>
              <w:t>新增全新功能類別特殊材料項目有那些？</w:t>
            </w:r>
            <w:bookmarkEnd w:id="32"/>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依據「</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支付制度下新增全新功能類別特殊材料因應方案」規定，得暫以論量計酬方式申報個案之新增全新功能類別特殊材料項目，請參閱</w:t>
            </w:r>
            <w:r>
              <w:rPr>
                <w:rStyle w:val="a4"/>
                <w:rFonts w:ascii="標楷體" w:eastAsia="標楷體" w:hAnsi="標楷體"/>
                <w:bCs/>
                <w:kern w:val="0"/>
                <w:sz w:val="28"/>
                <w:szCs w:val="28"/>
              </w:rPr>
              <w:t>本署全球資訊網/</w:t>
            </w:r>
            <w:r>
              <w:rPr>
                <w:rStyle w:val="a4"/>
                <w:rFonts w:ascii="Times New Roman" w:eastAsia="標楷體" w:hAnsi="Times New Roman"/>
                <w:bCs/>
                <w:kern w:val="0"/>
                <w:sz w:val="28"/>
                <w:szCs w:val="28"/>
              </w:rPr>
              <w:t>DRG</w:t>
            </w:r>
            <w:r>
              <w:rPr>
                <w:rStyle w:val="a4"/>
                <w:rFonts w:ascii="標楷體" w:eastAsia="標楷體" w:hAnsi="標楷體"/>
                <w:bCs/>
                <w:kern w:val="0"/>
                <w:sz w:val="28"/>
                <w:szCs w:val="28"/>
              </w:rPr>
              <w:t>住院診斷關聯群支付制度專區/</w:t>
            </w:r>
            <w:r>
              <w:rPr>
                <w:rStyle w:val="a4"/>
                <w:rFonts w:ascii="標楷體" w:eastAsia="標楷體" w:hAnsi="標楷體" w:cs="Arial"/>
                <w:sz w:val="28"/>
                <w:szCs w:val="28"/>
              </w:rPr>
              <w:t>「全民健康保險醫療服務給付項目及支付標準」第七部全民健康保險住院診斷關聯群</w:t>
            </w:r>
            <w:r>
              <w:rPr>
                <w:rStyle w:val="a4"/>
                <w:rFonts w:ascii="Times New Roman" w:eastAsia="標楷體" w:hAnsi="Times New Roman"/>
                <w:bCs/>
                <w:kern w:val="0"/>
                <w:sz w:val="28"/>
                <w:szCs w:val="28"/>
              </w:rPr>
              <w:t>/</w:t>
            </w:r>
            <w:r>
              <w:rPr>
                <w:rStyle w:val="a4"/>
                <w:rFonts w:ascii="標楷體" w:eastAsia="標楷體" w:hAnsi="標楷體"/>
                <w:sz w:val="28"/>
                <w:szCs w:val="28"/>
              </w:rPr>
              <w:t>全新功能類別特殊材料項目</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33" w:name="_Toc392256947"/>
            <w:r>
              <w:rPr>
                <w:rStyle w:val="a4"/>
                <w:rFonts w:ascii="Times New Roman" w:hAnsi="Times New Roman"/>
              </w:rPr>
              <w:t>36.</w:t>
            </w:r>
            <w:r>
              <w:rPr>
                <w:rStyle w:val="a4"/>
                <w:rFonts w:ascii="Times New Roman" w:hAnsi="Times New Roman"/>
                <w:szCs w:val="28"/>
              </w:rPr>
              <w:t>參加「全民健康保險急診品質提升方案」個案，其方案之品質獎勵金與</w:t>
            </w:r>
            <w:r>
              <w:rPr>
                <w:rStyle w:val="a4"/>
                <w:rFonts w:ascii="Times New Roman" w:hAnsi="Times New Roman"/>
                <w:szCs w:val="28"/>
              </w:rPr>
              <w:t>DRG</w:t>
            </w:r>
            <w:r>
              <w:rPr>
                <w:rStyle w:val="a4"/>
                <w:rFonts w:ascii="Times New Roman" w:hAnsi="Times New Roman"/>
                <w:szCs w:val="28"/>
              </w:rPr>
              <w:t>案件醫療服務點數如何申報？</w:t>
            </w:r>
            <w:bookmarkEnd w:id="33"/>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「全民健康保險急診品質提升方案」之醫令代碼品項</w:t>
            </w:r>
            <w:r>
              <w:rPr>
                <w:rStyle w:val="a4"/>
                <w:rFonts w:ascii="Times New Roman" w:eastAsia="標楷體" w:hAnsi="Times New Roman"/>
                <w:kern w:val="0"/>
                <w:sz w:val="28"/>
                <w:szCs w:val="28"/>
              </w:rPr>
              <w:t>P4601B~P4608B</w:t>
            </w:r>
            <w:r>
              <w:rPr>
                <w:rStyle w:val="a4"/>
                <w:rFonts w:ascii="Times New Roman" w:eastAsia="標楷體" w:hAnsi="Times New Roman"/>
                <w:kern w:val="0"/>
                <w:sz w:val="28"/>
                <w:szCs w:val="28"/>
              </w:rPr>
              <w:t>醫療費用係屬於醫療服務點數以外之獎勵金給付，因此，參加該方案個案如屬</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案件，其醫療服務點數仍依</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支付通則規定申報，惟得另加計該方案申報項目：醫令清單之醫令類別請填寫「</w:t>
            </w:r>
            <w:r>
              <w:rPr>
                <w:rStyle w:val="a4"/>
                <w:rFonts w:ascii="Times New Roman" w:eastAsia="標楷體" w:hAnsi="Times New Roman"/>
                <w:kern w:val="0"/>
                <w:sz w:val="28"/>
                <w:szCs w:val="28"/>
              </w:rPr>
              <w:t>X</w:t>
            </w:r>
            <w:r>
              <w:rPr>
                <w:rStyle w:val="a4"/>
                <w:rFonts w:ascii="Times New Roman" w:eastAsia="標楷體" w:hAnsi="Times New Roman"/>
                <w:kern w:val="0"/>
                <w:sz w:val="28"/>
                <w:szCs w:val="28"/>
              </w:rPr>
              <w:t>」，醫令代碼請填寫</w:t>
            </w:r>
            <w:r>
              <w:rPr>
                <w:rStyle w:val="a4"/>
                <w:rFonts w:ascii="Times New Roman" w:eastAsia="標楷體" w:hAnsi="Times New Roman"/>
                <w:kern w:val="0"/>
                <w:sz w:val="28"/>
                <w:szCs w:val="28"/>
              </w:rPr>
              <w:t>P4601B~P4608B</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34" w:name="_Toc392256948"/>
            <w:r>
              <w:rPr>
                <w:rStyle w:val="a4"/>
                <w:rFonts w:ascii="Times New Roman" w:hAnsi="Times New Roman"/>
                <w:szCs w:val="28"/>
              </w:rPr>
              <w:t>37.</w:t>
            </w:r>
            <w:r>
              <w:rPr>
                <w:rStyle w:val="a4"/>
                <w:rFonts w:ascii="Times New Roman" w:hAnsi="Times New Roman"/>
                <w:szCs w:val="28"/>
              </w:rPr>
              <w:t>有關符合「</w:t>
            </w:r>
            <w:r>
              <w:rPr>
                <w:rStyle w:val="a4"/>
                <w:rFonts w:ascii="Times New Roman" w:hAnsi="Times New Roman"/>
                <w:szCs w:val="28"/>
              </w:rPr>
              <w:t>DRG</w:t>
            </w:r>
            <w:r>
              <w:rPr>
                <w:rStyle w:val="a4"/>
                <w:rFonts w:ascii="Times New Roman" w:hAnsi="Times New Roman"/>
                <w:szCs w:val="28"/>
              </w:rPr>
              <w:t>支付制度下新增全新功能類別特殊材料因應方案」得加計額外點數之新增全新功能類別特殊材料，於申報加計額外點數時，醫令代碼「</w:t>
            </w:r>
            <w:r>
              <w:rPr>
                <w:rStyle w:val="a4"/>
                <w:rFonts w:ascii="Times New Roman" w:hAnsi="Times New Roman"/>
                <w:szCs w:val="28"/>
              </w:rPr>
              <w:t>H00021-22</w:t>
            </w:r>
            <w:r>
              <w:rPr>
                <w:rStyle w:val="a4"/>
                <w:rFonts w:ascii="Times New Roman" w:hAnsi="Times New Roman"/>
                <w:szCs w:val="28"/>
              </w:rPr>
              <w:t>、</w:t>
            </w:r>
            <w:r>
              <w:rPr>
                <w:rStyle w:val="a4"/>
                <w:rFonts w:ascii="Times New Roman" w:hAnsi="Times New Roman"/>
                <w:szCs w:val="28"/>
              </w:rPr>
              <w:t>H00031-32</w:t>
            </w:r>
            <w:r>
              <w:rPr>
                <w:rStyle w:val="a4"/>
                <w:rFonts w:ascii="Times New Roman" w:hAnsi="Times New Roman"/>
                <w:szCs w:val="28"/>
              </w:rPr>
              <w:t>」得否含特材管理費？</w:t>
            </w:r>
            <w:bookmarkEnd w:id="34"/>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pPr>
            <w:r>
              <w:rPr>
                <w:rStyle w:val="a4"/>
                <w:rFonts w:ascii="Times New Roman" w:eastAsia="標楷體" w:hAnsi="Times New Roman"/>
                <w:kern w:val="0"/>
                <w:sz w:val="28"/>
                <w:szCs w:val="28"/>
              </w:rPr>
              <w:t>實際醫療點數已含括特材管理費，為免重複給付之虞，特約醫事服務機構住院醫療費用醫令清單段之「醫令代碼」欄位</w:t>
            </w:r>
            <w:r>
              <w:rPr>
                <w:rStyle w:val="a4"/>
                <w:rFonts w:ascii="Times New Roman" w:eastAsia="標楷體" w:hAnsi="Times New Roman"/>
                <w:kern w:val="0"/>
                <w:sz w:val="28"/>
                <w:szCs w:val="28"/>
              </w:rPr>
              <w:t>10.Tw-DRGs</w:t>
            </w:r>
            <w:r>
              <w:rPr>
                <w:rStyle w:val="a4"/>
                <w:rFonts w:ascii="Times New Roman" w:eastAsia="標楷體" w:hAnsi="Times New Roman"/>
                <w:kern w:val="0"/>
                <w:sz w:val="28"/>
                <w:szCs w:val="28"/>
              </w:rPr>
              <w:t>案件使用第二類得加計額外點數特殊材料之醫令代碼「</w:t>
            </w:r>
            <w:r>
              <w:rPr>
                <w:rStyle w:val="a4"/>
                <w:rFonts w:ascii="Times New Roman" w:eastAsia="標楷體" w:hAnsi="Times New Roman"/>
                <w:kern w:val="0"/>
                <w:sz w:val="28"/>
                <w:szCs w:val="28"/>
              </w:rPr>
              <w:t>H00021-22</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H00031-32</w:t>
            </w:r>
            <w:r>
              <w:rPr>
                <w:rStyle w:val="a4"/>
                <w:rFonts w:ascii="Times New Roman" w:eastAsia="標楷體" w:hAnsi="Times New Roman"/>
                <w:kern w:val="0"/>
                <w:sz w:val="28"/>
                <w:szCs w:val="28"/>
              </w:rPr>
              <w:t>」，不含特材管理費。</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Fonts w:ascii="Times New Roman" w:hAnsi="Times New Roman"/>
                <w:szCs w:val="28"/>
              </w:rPr>
            </w:pPr>
            <w:bookmarkStart w:id="35" w:name="_Toc392256949"/>
            <w:r>
              <w:rPr>
                <w:rStyle w:val="a4"/>
                <w:rFonts w:ascii="Times New Roman" w:hAnsi="Times New Roman"/>
                <w:szCs w:val="28"/>
              </w:rPr>
              <w:t>38.DRGs</w:t>
            </w:r>
            <w:r>
              <w:rPr>
                <w:rStyle w:val="a4"/>
                <w:rFonts w:ascii="Times New Roman" w:hAnsi="Times New Roman"/>
                <w:szCs w:val="28"/>
              </w:rPr>
              <w:t>實施後，是否可另外向民眾收取新增之新功能類別特殊材料費用</w:t>
            </w:r>
            <w:r>
              <w:rPr>
                <w:rStyle w:val="a4"/>
                <w:rFonts w:ascii="Times New Roman" w:hAnsi="Times New Roman"/>
                <w:szCs w:val="28"/>
              </w:rPr>
              <w:t xml:space="preserve">? </w:t>
            </w:r>
            <w:r>
              <w:rPr>
                <w:rStyle w:val="a4"/>
                <w:rFonts w:ascii="Times New Roman" w:hAnsi="Times New Roman"/>
                <w:szCs w:val="28"/>
              </w:rPr>
              <w:br/>
            </w:r>
            <w:bookmarkEnd w:id="35"/>
          </w:p>
          <w:p w:rsidR="00230528" w:rsidRDefault="00230528">
            <w:pPr>
              <w:pStyle w:val="af5"/>
              <w:ind w:left="391" w:firstLine="6"/>
              <w:rPr>
                <w:rFonts w:ascii="Times New Roman" w:hAnsi="Times New Roman"/>
                <w:szCs w:val="28"/>
              </w:rPr>
            </w:pPr>
          </w:p>
        </w:tc>
        <w:tc>
          <w:tcPr>
            <w:tcW w:w="6662" w:type="dxa"/>
            <w:tcBorders>
              <w:top w:val="single" w:sz="4" w:space="0" w:color="000000"/>
              <w:bottom w:val="single" w:sz="4" w:space="0" w:color="000000"/>
              <w:right w:val="single" w:sz="4" w:space="0" w:color="000000"/>
            </w:tcBorders>
            <w:shd w:val="clear" w:color="auto" w:fill="auto"/>
          </w:tcPr>
          <w:p w:rsidR="00965639" w:rsidRPr="00965639" w:rsidRDefault="00965639" w:rsidP="00965639">
            <w:pPr>
              <w:spacing w:line="560" w:lineRule="exact"/>
              <w:ind w:left="114" w:hanging="143"/>
            </w:pPr>
            <w:r w:rsidRPr="00965639">
              <w:rPr>
                <w:rFonts w:ascii="Times New Roman" w:eastAsia="標楷體" w:hAnsi="Times New Roman"/>
                <w:bCs/>
                <w:sz w:val="28"/>
                <w:szCs w:val="48"/>
              </w:rPr>
              <w:t>1.99</w:t>
            </w:r>
            <w:r w:rsidRPr="00965639">
              <w:rPr>
                <w:rFonts w:ascii="Times New Roman" w:eastAsia="標楷體" w:hAnsi="Times New Roman"/>
                <w:bCs/>
                <w:sz w:val="28"/>
                <w:szCs w:val="48"/>
              </w:rPr>
              <w:t>年</w:t>
            </w:r>
            <w:r w:rsidRPr="00965639">
              <w:rPr>
                <w:rFonts w:ascii="Times New Roman" w:eastAsia="標楷體" w:hAnsi="Times New Roman"/>
                <w:bCs/>
                <w:sz w:val="28"/>
                <w:szCs w:val="48"/>
              </w:rPr>
              <w:t>12</w:t>
            </w:r>
            <w:r w:rsidRPr="00965639">
              <w:rPr>
                <w:rFonts w:ascii="Times New Roman" w:eastAsia="標楷體" w:hAnsi="Times New Roman"/>
                <w:bCs/>
                <w:sz w:val="28"/>
                <w:szCs w:val="48"/>
              </w:rPr>
              <w:t>月</w:t>
            </w:r>
            <w:r w:rsidRPr="00965639">
              <w:rPr>
                <w:rFonts w:ascii="Times New Roman" w:eastAsia="標楷體" w:hAnsi="Times New Roman"/>
                <w:bCs/>
                <w:sz w:val="28"/>
                <w:szCs w:val="48"/>
              </w:rPr>
              <w:t>28</w:t>
            </w:r>
            <w:r w:rsidRPr="00965639">
              <w:rPr>
                <w:rFonts w:ascii="Times New Roman" w:eastAsia="標楷體" w:hAnsi="Times New Roman"/>
                <w:bCs/>
                <w:sz w:val="28"/>
                <w:szCs w:val="48"/>
              </w:rPr>
              <w:t>日起本署公告「</w:t>
            </w:r>
            <w:r w:rsidRPr="00965639">
              <w:rPr>
                <w:rFonts w:ascii="Times New Roman" w:eastAsia="標楷體" w:hAnsi="Times New Roman"/>
                <w:bCs/>
                <w:sz w:val="28"/>
                <w:szCs w:val="48"/>
              </w:rPr>
              <w:t>DRG</w:t>
            </w:r>
            <w:r w:rsidRPr="00965639">
              <w:rPr>
                <w:rFonts w:ascii="Times New Roman" w:eastAsia="標楷體" w:hAnsi="Times New Roman"/>
                <w:bCs/>
                <w:sz w:val="28"/>
                <w:szCs w:val="48"/>
              </w:rPr>
              <w:t>支付制度下新增全新功能類別特殊材料因應方案」新功能類別之特殊材料</w:t>
            </w:r>
            <w:r w:rsidRPr="00965639">
              <w:rPr>
                <w:rFonts w:ascii="新細明體" w:hAnsi="新細明體"/>
                <w:bCs/>
                <w:sz w:val="28"/>
                <w:szCs w:val="48"/>
              </w:rPr>
              <w:t>，</w:t>
            </w:r>
            <w:r w:rsidRPr="00965639">
              <w:rPr>
                <w:rFonts w:ascii="Times New Roman" w:eastAsia="標楷體" w:hAnsi="Times New Roman"/>
                <w:bCs/>
                <w:sz w:val="28"/>
                <w:szCs w:val="48"/>
              </w:rPr>
              <w:t>經本署評估後醫院申報方式如下</w:t>
            </w:r>
            <w:r w:rsidRPr="00965639">
              <w:rPr>
                <w:rFonts w:ascii="新細明體" w:hAnsi="新細明體"/>
                <w:bCs/>
                <w:sz w:val="28"/>
                <w:szCs w:val="48"/>
              </w:rPr>
              <w:t>：</w:t>
            </w:r>
          </w:p>
          <w:p w:rsidR="00965639" w:rsidRPr="00965639" w:rsidRDefault="00965639" w:rsidP="00965639">
            <w:pPr>
              <w:spacing w:line="560" w:lineRule="exact"/>
              <w:ind w:left="397" w:hanging="284"/>
            </w:pPr>
            <w:r w:rsidRPr="00965639">
              <w:rPr>
                <w:rFonts w:ascii="Times New Roman" w:eastAsia="標楷體" w:hAnsi="Times New Roman"/>
                <w:bCs/>
                <w:sz w:val="28"/>
                <w:szCs w:val="48"/>
              </w:rPr>
              <w:t>(1)</w:t>
            </w:r>
            <w:r w:rsidRPr="00965639">
              <w:rPr>
                <w:rFonts w:ascii="Times New Roman" w:eastAsia="標楷體" w:hAnsi="Times New Roman"/>
                <w:bCs/>
                <w:sz w:val="28"/>
                <w:szCs w:val="48"/>
              </w:rPr>
              <w:t>應包含於</w:t>
            </w:r>
            <w:r w:rsidRPr="00965639">
              <w:rPr>
                <w:rFonts w:ascii="Times New Roman" w:eastAsia="標楷體" w:hAnsi="Times New Roman"/>
                <w:bCs/>
                <w:sz w:val="28"/>
                <w:szCs w:val="48"/>
              </w:rPr>
              <w:t>DRG</w:t>
            </w:r>
            <w:r w:rsidRPr="00965639">
              <w:rPr>
                <w:rFonts w:ascii="Times New Roman" w:eastAsia="標楷體" w:hAnsi="Times New Roman"/>
                <w:bCs/>
                <w:sz w:val="28"/>
                <w:szCs w:val="48"/>
              </w:rPr>
              <w:t>支付點數之項目，</w:t>
            </w:r>
            <w:r w:rsidRPr="00965639">
              <w:rPr>
                <w:rFonts w:ascii="Times New Roman" w:eastAsia="標楷體" w:hAnsi="Times New Roman"/>
                <w:sz w:val="28"/>
                <w:szCs w:val="28"/>
              </w:rPr>
              <w:t>例如：「</w:t>
            </w:r>
            <w:r w:rsidRPr="00965639">
              <w:rPr>
                <w:rFonts w:ascii="Times New Roman" w:eastAsia="標楷體" w:hAnsi="Times New Roman"/>
                <w:sz w:val="28"/>
                <w:szCs w:val="28"/>
              </w:rPr>
              <w:t>"</w:t>
            </w:r>
            <w:r w:rsidRPr="00965639">
              <w:rPr>
                <w:rFonts w:ascii="Times New Roman" w:eastAsia="標楷體" w:hAnsi="Times New Roman"/>
                <w:sz w:val="28"/>
                <w:szCs w:val="28"/>
              </w:rPr>
              <w:t>安普拉茲</w:t>
            </w:r>
            <w:r w:rsidRPr="00965639">
              <w:rPr>
                <w:rFonts w:ascii="Times New Roman" w:eastAsia="標楷體" w:hAnsi="Times New Roman"/>
                <w:sz w:val="28"/>
                <w:szCs w:val="28"/>
              </w:rPr>
              <w:t>"</w:t>
            </w:r>
            <w:r w:rsidRPr="00965639">
              <w:rPr>
                <w:rFonts w:ascii="新細明體" w:hAnsi="新細明體" w:cs="新細明體"/>
                <w:sz w:val="28"/>
                <w:szCs w:val="28"/>
              </w:rPr>
              <w:t>Ⅱ</w:t>
            </w:r>
            <w:r w:rsidRPr="00965639">
              <w:rPr>
                <w:rFonts w:ascii="Times New Roman" w:eastAsia="標楷體" w:hAnsi="Times New Roman"/>
                <w:sz w:val="28"/>
                <w:szCs w:val="28"/>
              </w:rPr>
              <w:t>型血管塞（含遞送導管）</w:t>
            </w:r>
            <w:r w:rsidRPr="00965639">
              <w:rPr>
                <w:rFonts w:ascii="Times New Roman" w:eastAsia="標楷體" w:hAnsi="Times New Roman"/>
                <w:sz w:val="28"/>
                <w:szCs w:val="28"/>
              </w:rPr>
              <w:t xml:space="preserve">"AMPLATZER" VASCULAR PLUG </w:t>
            </w:r>
            <w:r w:rsidRPr="00965639">
              <w:rPr>
                <w:rFonts w:ascii="新細明體" w:hAnsi="新細明體" w:cs="新細明體"/>
                <w:sz w:val="28"/>
                <w:szCs w:val="28"/>
              </w:rPr>
              <w:t>Ⅱ</w:t>
            </w:r>
            <w:r w:rsidRPr="00965639">
              <w:rPr>
                <w:rFonts w:ascii="Times New Roman" w:eastAsia="標楷體" w:hAnsi="Times New Roman"/>
                <w:sz w:val="28"/>
                <w:szCs w:val="28"/>
              </w:rPr>
              <w:t>」等品項</w:t>
            </w:r>
            <w:r w:rsidRPr="00965639">
              <w:rPr>
                <w:rFonts w:ascii="Times New Roman" w:hAnsi="Times New Roman"/>
                <w:sz w:val="28"/>
                <w:szCs w:val="28"/>
              </w:rPr>
              <w:t>。</w:t>
            </w:r>
          </w:p>
          <w:p w:rsidR="00965639" w:rsidRPr="00965639" w:rsidRDefault="00965639" w:rsidP="00965639">
            <w:pPr>
              <w:spacing w:line="560" w:lineRule="exact"/>
              <w:ind w:left="395" w:hanging="282"/>
            </w:pPr>
            <w:r w:rsidRPr="00965639">
              <w:rPr>
                <w:rFonts w:ascii="Times New Roman" w:eastAsia="標楷體" w:hAnsi="Times New Roman"/>
                <w:sz w:val="28"/>
                <w:szCs w:val="28"/>
              </w:rPr>
              <w:t>(2)</w:t>
            </w:r>
            <w:r w:rsidRPr="00965639">
              <w:rPr>
                <w:rFonts w:ascii="Times New Roman" w:eastAsia="標楷體" w:hAnsi="Times New Roman"/>
                <w:sz w:val="28"/>
                <w:szCs w:val="28"/>
              </w:rPr>
              <w:t>第</w:t>
            </w:r>
            <w:r w:rsidRPr="00965639">
              <w:rPr>
                <w:rFonts w:ascii="Times New Roman" w:eastAsia="標楷體" w:hAnsi="Times New Roman"/>
                <w:sz w:val="28"/>
                <w:szCs w:val="28"/>
              </w:rPr>
              <w:t>1</w:t>
            </w:r>
            <w:r w:rsidRPr="00965639">
              <w:rPr>
                <w:rFonts w:ascii="Times New Roman" w:eastAsia="標楷體" w:hAnsi="Times New Roman"/>
                <w:sz w:val="28"/>
                <w:szCs w:val="28"/>
              </w:rPr>
              <w:t>類</w:t>
            </w:r>
            <w:r w:rsidRPr="00965639">
              <w:rPr>
                <w:rFonts w:ascii="Times New Roman" w:eastAsia="標楷體" w:hAnsi="Times New Roman"/>
                <w:sz w:val="28"/>
                <w:szCs w:val="28"/>
              </w:rPr>
              <w:t>:</w:t>
            </w:r>
            <w:r w:rsidRPr="00965639">
              <w:rPr>
                <w:rFonts w:ascii="Times New Roman" w:eastAsia="標楷體" w:hAnsi="Times New Roman"/>
                <w:bCs/>
                <w:sz w:val="28"/>
                <w:szCs w:val="48"/>
              </w:rPr>
              <w:t>經評估</w:t>
            </w:r>
            <w:r w:rsidRPr="00965639">
              <w:rPr>
                <w:rFonts w:ascii="Times New Roman" w:eastAsia="標楷體" w:hAnsi="Times New Roman"/>
                <w:sz w:val="28"/>
                <w:szCs w:val="28"/>
              </w:rPr>
              <w:t>得暫以論量計酬方式申報之項目</w:t>
            </w:r>
            <w:r w:rsidRPr="00965639">
              <w:rPr>
                <w:rFonts w:ascii="Times New Roman" w:hAnsi="Times New Roman"/>
                <w:sz w:val="28"/>
                <w:szCs w:val="28"/>
              </w:rPr>
              <w:t>。</w:t>
            </w:r>
          </w:p>
          <w:p w:rsidR="00965639" w:rsidRPr="00965639" w:rsidRDefault="00965639" w:rsidP="00965639">
            <w:pPr>
              <w:spacing w:line="560" w:lineRule="exact"/>
              <w:ind w:left="113" w:firstLine="1"/>
            </w:pPr>
            <w:r w:rsidRPr="00965639">
              <w:rPr>
                <w:rFonts w:ascii="Times New Roman" w:eastAsia="標楷體" w:hAnsi="Times New Roman"/>
                <w:sz w:val="28"/>
                <w:szCs w:val="28"/>
              </w:rPr>
              <w:t>(3)</w:t>
            </w:r>
            <w:r w:rsidRPr="00965639">
              <w:rPr>
                <w:rFonts w:ascii="Times New Roman" w:eastAsia="標楷體" w:hAnsi="Times New Roman"/>
                <w:sz w:val="28"/>
                <w:szCs w:val="28"/>
              </w:rPr>
              <w:t>第</w:t>
            </w:r>
            <w:r w:rsidRPr="00965639">
              <w:rPr>
                <w:rFonts w:ascii="Times New Roman" w:eastAsia="標楷體" w:hAnsi="Times New Roman"/>
                <w:sz w:val="28"/>
                <w:szCs w:val="28"/>
              </w:rPr>
              <w:t>2</w:t>
            </w:r>
            <w:r w:rsidRPr="00965639">
              <w:rPr>
                <w:rFonts w:ascii="Times New Roman" w:eastAsia="標楷體" w:hAnsi="Times New Roman"/>
                <w:sz w:val="28"/>
                <w:szCs w:val="28"/>
              </w:rPr>
              <w:t>類</w:t>
            </w:r>
            <w:r w:rsidRPr="00965639">
              <w:rPr>
                <w:rFonts w:ascii="Times New Roman" w:eastAsia="標楷體" w:hAnsi="Times New Roman"/>
                <w:sz w:val="28"/>
                <w:szCs w:val="28"/>
              </w:rPr>
              <w:t>:</w:t>
            </w:r>
            <w:r w:rsidRPr="00965639">
              <w:rPr>
                <w:rFonts w:ascii="Times New Roman" w:eastAsia="標楷體" w:hAnsi="Times New Roman"/>
                <w:bCs/>
                <w:sz w:val="28"/>
                <w:szCs w:val="48"/>
              </w:rPr>
              <w:t>經評估屬於得額外加計點數之項目</w:t>
            </w:r>
            <w:r w:rsidRPr="00965639">
              <w:rPr>
                <w:rFonts w:ascii="Times New Roman" w:hAnsi="Times New Roman"/>
                <w:bCs/>
                <w:sz w:val="28"/>
                <w:szCs w:val="48"/>
              </w:rPr>
              <w:t>。</w:t>
            </w:r>
          </w:p>
          <w:p w:rsidR="00965639" w:rsidRPr="00965639" w:rsidRDefault="00965639" w:rsidP="00965639">
            <w:pPr>
              <w:spacing w:line="560" w:lineRule="exact"/>
              <w:ind w:left="443" w:hanging="330"/>
            </w:pPr>
            <w:r w:rsidRPr="00965639">
              <w:rPr>
                <w:rFonts w:ascii="Times New Roman" w:hAnsi="Times New Roman"/>
                <w:bCs/>
                <w:sz w:val="28"/>
                <w:szCs w:val="28"/>
              </w:rPr>
              <w:t>(4)</w:t>
            </w:r>
            <w:r w:rsidRPr="00965639">
              <w:rPr>
                <w:rFonts w:ascii="Times New Roman" w:eastAsia="標楷體" w:hAnsi="Times New Roman"/>
                <w:bCs/>
                <w:sz w:val="28"/>
                <w:szCs w:val="28"/>
              </w:rPr>
              <w:t>上述第</w:t>
            </w:r>
            <w:r w:rsidRPr="00965639">
              <w:rPr>
                <w:rFonts w:ascii="Times New Roman" w:eastAsia="標楷體" w:hAnsi="Times New Roman"/>
                <w:bCs/>
                <w:sz w:val="28"/>
                <w:szCs w:val="28"/>
              </w:rPr>
              <w:t>1</w:t>
            </w:r>
            <w:r w:rsidRPr="00965639">
              <w:rPr>
                <w:rFonts w:ascii="Times New Roman" w:eastAsia="標楷體" w:hAnsi="Times New Roman"/>
                <w:bCs/>
                <w:sz w:val="28"/>
                <w:szCs w:val="28"/>
              </w:rPr>
              <w:t>類及第</w:t>
            </w:r>
            <w:r w:rsidRPr="00965639">
              <w:rPr>
                <w:rFonts w:ascii="Times New Roman" w:eastAsia="標楷體" w:hAnsi="Times New Roman"/>
                <w:bCs/>
                <w:sz w:val="28"/>
                <w:szCs w:val="28"/>
              </w:rPr>
              <w:t>2</w:t>
            </w:r>
            <w:r w:rsidRPr="00965639">
              <w:rPr>
                <w:rFonts w:ascii="Times New Roman" w:eastAsia="標楷體" w:hAnsi="Times New Roman"/>
                <w:bCs/>
                <w:sz w:val="28"/>
                <w:szCs w:val="28"/>
              </w:rPr>
              <w:t>類</w:t>
            </w:r>
            <w:r w:rsidRPr="00965639">
              <w:rPr>
                <w:rFonts w:ascii="Times New Roman" w:eastAsia="標楷體" w:hAnsi="Times New Roman"/>
                <w:sz w:val="28"/>
                <w:szCs w:val="28"/>
              </w:rPr>
              <w:t>品項表請參閱</w:t>
            </w:r>
            <w:r w:rsidRPr="00965639">
              <w:rPr>
                <w:rFonts w:ascii="Times New Roman" w:eastAsia="標楷體" w:hAnsi="Times New Roman"/>
                <w:bCs/>
                <w:sz w:val="28"/>
                <w:szCs w:val="28"/>
              </w:rPr>
              <w:t>本署全球資訊網</w:t>
            </w:r>
            <w:r w:rsidRPr="00965639">
              <w:rPr>
                <w:rFonts w:ascii="Times New Roman" w:eastAsia="標楷體" w:hAnsi="Times New Roman"/>
                <w:bCs/>
                <w:sz w:val="28"/>
                <w:szCs w:val="28"/>
              </w:rPr>
              <w:t>/ DRG</w:t>
            </w:r>
            <w:r w:rsidRPr="00965639">
              <w:rPr>
                <w:rFonts w:ascii="Times New Roman" w:eastAsia="標楷體" w:hAnsi="Times New Roman"/>
                <w:bCs/>
                <w:sz w:val="28"/>
                <w:szCs w:val="28"/>
              </w:rPr>
              <w:t>住院診斷關聯群支付制度專區</w:t>
            </w:r>
            <w:r w:rsidRPr="00965639">
              <w:rPr>
                <w:rFonts w:ascii="Times New Roman" w:eastAsia="標楷體" w:hAnsi="Times New Roman"/>
                <w:bCs/>
                <w:sz w:val="28"/>
                <w:szCs w:val="28"/>
              </w:rPr>
              <w:t>/</w:t>
            </w:r>
            <w:r w:rsidRPr="00965639">
              <w:rPr>
                <w:rFonts w:ascii="Times New Roman" w:eastAsia="標楷體" w:hAnsi="Times New Roman"/>
                <w:sz w:val="28"/>
                <w:szCs w:val="28"/>
              </w:rPr>
              <w:t>「全民健康保險醫療服務給付項目及支付標準」第七部全民健</w:t>
            </w:r>
            <w:r w:rsidRPr="00965639">
              <w:rPr>
                <w:rFonts w:ascii="Times New Roman" w:eastAsia="標楷體" w:hAnsi="Times New Roman"/>
                <w:sz w:val="28"/>
                <w:szCs w:val="28"/>
              </w:rPr>
              <w:lastRenderedPageBreak/>
              <w:t>康保險住院診斷關聯群</w:t>
            </w:r>
            <w:r w:rsidRPr="00965639">
              <w:rPr>
                <w:rFonts w:ascii="Times New Roman" w:eastAsia="標楷體" w:hAnsi="Times New Roman"/>
                <w:bCs/>
                <w:sz w:val="28"/>
                <w:szCs w:val="28"/>
              </w:rPr>
              <w:t>/</w:t>
            </w:r>
            <w:r w:rsidRPr="00965639">
              <w:rPr>
                <w:rFonts w:ascii="Times New Roman" w:eastAsia="標楷體" w:hAnsi="Times New Roman"/>
                <w:sz w:val="28"/>
                <w:szCs w:val="28"/>
              </w:rPr>
              <w:t>全新功能類別特殊材料項目。</w:t>
            </w:r>
          </w:p>
          <w:p w:rsidR="00965639" w:rsidRDefault="00965639" w:rsidP="00965639">
            <w:pPr>
              <w:pStyle w:val="a0"/>
              <w:widowControl/>
              <w:spacing w:line="560" w:lineRule="exact"/>
              <w:ind w:left="114" w:hanging="140"/>
            </w:pPr>
            <w:r w:rsidRPr="00965639">
              <w:rPr>
                <w:rFonts w:ascii="Times New Roman" w:eastAsia="標楷體" w:hAnsi="Times New Roman"/>
                <w:kern w:val="0"/>
                <w:sz w:val="28"/>
                <w:szCs w:val="28"/>
              </w:rPr>
              <w:t>2.</w:t>
            </w:r>
            <w:r w:rsidRPr="00965639">
              <w:rPr>
                <w:rFonts w:ascii="Times New Roman" w:eastAsia="標楷體" w:hAnsi="Times New Roman"/>
                <w:kern w:val="0"/>
                <w:sz w:val="28"/>
                <w:szCs w:val="28"/>
              </w:rPr>
              <w:t>上述項目均</w:t>
            </w:r>
            <w:r w:rsidRPr="00965639">
              <w:rPr>
                <w:rFonts w:ascii="Times New Roman" w:eastAsia="標楷體" w:hAnsi="Times New Roman"/>
                <w:bCs/>
                <w:kern w:val="0"/>
                <w:sz w:val="28"/>
                <w:szCs w:val="48"/>
              </w:rPr>
              <w:t>不可</w:t>
            </w:r>
            <w:r w:rsidRPr="00965639">
              <w:rPr>
                <w:rFonts w:ascii="Times New Roman" w:eastAsia="標楷體" w:hAnsi="Times New Roman"/>
                <w:kern w:val="0"/>
                <w:sz w:val="28"/>
                <w:szCs w:val="28"/>
              </w:rPr>
              <w:t>再向民眾收費。</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bookmarkStart w:id="36" w:name="_Toc392256950"/>
            <w:r>
              <w:rPr>
                <w:rStyle w:val="a4"/>
                <w:rFonts w:ascii="Times New Roman" w:hAnsi="Times New Roman"/>
                <w:szCs w:val="28"/>
              </w:rPr>
              <w:t>39.</w:t>
            </w:r>
            <w:r>
              <w:rPr>
                <w:rStyle w:val="a5"/>
                <w:rFonts w:ascii="Times New Roman" w:hAnsi="Times New Roman"/>
                <w:color w:val="auto"/>
                <w:u w:val="none"/>
              </w:rPr>
              <w:t>使用人工血管接環（特材代碼：</w:t>
            </w:r>
            <w:r>
              <w:rPr>
                <w:rStyle w:val="a5"/>
                <w:rFonts w:ascii="Times New Roman" w:hAnsi="Times New Roman"/>
                <w:color w:val="auto"/>
                <w:u w:val="none"/>
              </w:rPr>
              <w:t>FHP41V1017VW</w:t>
            </w:r>
            <w:r>
              <w:rPr>
                <w:rStyle w:val="a5"/>
                <w:rFonts w:ascii="Times New Roman" w:hAnsi="Times New Roman"/>
                <w:color w:val="auto"/>
                <w:u w:val="none"/>
              </w:rPr>
              <w:t>）」之主動脈剝離（主動脈瘤）重建手術之案例，是否可採論量計酬方式申報？</w:t>
            </w:r>
            <w:r>
              <w:rPr>
                <w:rStyle w:val="a5"/>
                <w:rFonts w:ascii="Times New Roman" w:hAnsi="Times New Roman"/>
                <w:color w:val="auto"/>
                <w:u w:val="none"/>
              </w:rPr>
              <w:br/>
            </w:r>
            <w:bookmarkEnd w:id="36"/>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rPr>
                <w:rStyle w:val="a4"/>
                <w:rFonts w:ascii="Times New Roman" w:eastAsia="標楷體" w:hAnsi="Times New Roman"/>
                <w:bCs/>
                <w:kern w:val="0"/>
                <w:sz w:val="28"/>
                <w:szCs w:val="48"/>
              </w:rPr>
            </w:pPr>
            <w:r>
              <w:rPr>
                <w:rStyle w:val="a4"/>
                <w:rFonts w:ascii="Times New Roman" w:eastAsia="標楷體" w:hAnsi="Times New Roman"/>
                <w:bCs/>
                <w:kern w:val="0"/>
                <w:sz w:val="28"/>
                <w:szCs w:val="48"/>
              </w:rPr>
              <w:t>考量人工血管接環（特材代碼：</w:t>
            </w:r>
            <w:r>
              <w:rPr>
                <w:rStyle w:val="a4"/>
                <w:rFonts w:ascii="Times New Roman" w:eastAsia="標楷體" w:hAnsi="Times New Roman"/>
                <w:bCs/>
                <w:kern w:val="0"/>
                <w:sz w:val="28"/>
                <w:szCs w:val="48"/>
              </w:rPr>
              <w:t>FHP41V1017VW</w:t>
            </w:r>
            <w:r>
              <w:rPr>
                <w:rStyle w:val="a4"/>
                <w:rFonts w:ascii="Times New Roman" w:eastAsia="標楷體" w:hAnsi="Times New Roman"/>
                <w:bCs/>
                <w:kern w:val="0"/>
                <w:sz w:val="28"/>
                <w:szCs w:val="48"/>
              </w:rPr>
              <w:t>）提供主動脈剝離（主動脈瘤）重建手術重症病患另一種新的治療選擇，增加病患醫療權益與安全之保障，本署同意使用「人工血管接環」之主動脈剝離（主動脈瘤）重建手術之案例，自</w:t>
            </w:r>
            <w:r>
              <w:rPr>
                <w:rStyle w:val="a4"/>
                <w:rFonts w:ascii="Times New Roman" w:eastAsia="標楷體" w:hAnsi="Times New Roman"/>
                <w:bCs/>
                <w:kern w:val="0"/>
                <w:sz w:val="28"/>
                <w:szCs w:val="48"/>
              </w:rPr>
              <w:t>103</w:t>
            </w:r>
            <w:r>
              <w:rPr>
                <w:rStyle w:val="a4"/>
                <w:rFonts w:ascii="Times New Roman" w:eastAsia="標楷體" w:hAnsi="Times New Roman"/>
                <w:bCs/>
                <w:kern w:val="0"/>
                <w:sz w:val="28"/>
                <w:szCs w:val="48"/>
              </w:rPr>
              <w:t>年</w:t>
            </w:r>
            <w:r>
              <w:rPr>
                <w:rStyle w:val="a4"/>
                <w:rFonts w:ascii="Times New Roman" w:eastAsia="標楷體" w:hAnsi="Times New Roman"/>
                <w:bCs/>
                <w:kern w:val="0"/>
                <w:sz w:val="28"/>
                <w:szCs w:val="48"/>
              </w:rPr>
              <w:t>1</w:t>
            </w:r>
            <w:r>
              <w:rPr>
                <w:rStyle w:val="a4"/>
                <w:rFonts w:ascii="Times New Roman" w:eastAsia="標楷體" w:hAnsi="Times New Roman"/>
                <w:bCs/>
                <w:kern w:val="0"/>
                <w:sz w:val="28"/>
                <w:szCs w:val="48"/>
              </w:rPr>
              <w:t>月</w:t>
            </w:r>
            <w:r>
              <w:rPr>
                <w:rStyle w:val="a4"/>
                <w:rFonts w:ascii="Times New Roman" w:eastAsia="標楷體" w:hAnsi="Times New Roman"/>
                <w:bCs/>
                <w:kern w:val="0"/>
                <w:sz w:val="28"/>
                <w:szCs w:val="48"/>
              </w:rPr>
              <w:t>1</w:t>
            </w:r>
            <w:r>
              <w:rPr>
                <w:rStyle w:val="a4"/>
                <w:rFonts w:ascii="Times New Roman" w:eastAsia="標楷體" w:hAnsi="Times New Roman"/>
                <w:bCs/>
                <w:kern w:val="0"/>
                <w:sz w:val="28"/>
                <w:szCs w:val="48"/>
              </w:rPr>
              <w:t>日起該次就醫資料整件暫採核實申報，俟實施一段時間後再進行評估檢討。</w:t>
            </w:r>
          </w:p>
          <w:p w:rsidR="00230528" w:rsidRDefault="00230528">
            <w:pPr>
              <w:pStyle w:val="a0"/>
              <w:widowControl/>
              <w:spacing w:line="560" w:lineRule="exact"/>
            </w:pPr>
            <w:r>
              <w:rPr>
                <w:rStyle w:val="a4"/>
                <w:rFonts w:ascii="Times New Roman" w:eastAsia="標楷體" w:hAnsi="Times New Roman"/>
                <w:bCs/>
                <w:kern w:val="0"/>
                <w:sz w:val="28"/>
                <w:szCs w:val="48"/>
              </w:rPr>
              <w:t>是類案件應符合「人工血管接環」之特材給付規定（備註代碼：</w:t>
            </w:r>
            <w:r>
              <w:rPr>
                <w:rStyle w:val="a4"/>
                <w:rFonts w:ascii="Times New Roman" w:eastAsia="標楷體" w:hAnsi="Times New Roman"/>
                <w:bCs/>
                <w:kern w:val="0"/>
                <w:sz w:val="28"/>
                <w:szCs w:val="48"/>
              </w:rPr>
              <w:t>A213-6</w:t>
            </w:r>
            <w:r>
              <w:rPr>
                <w:rStyle w:val="a4"/>
                <w:rFonts w:ascii="Times New Roman" w:eastAsia="標楷體" w:hAnsi="Times New Roman"/>
                <w:bCs/>
                <w:kern w:val="0"/>
                <w:sz w:val="28"/>
                <w:szCs w:val="48"/>
              </w:rPr>
              <w:t>），住院申報資料之「不適用</w:t>
            </w:r>
            <w:r>
              <w:rPr>
                <w:rStyle w:val="a4"/>
                <w:rFonts w:ascii="Times New Roman" w:eastAsia="標楷體" w:hAnsi="Times New Roman"/>
                <w:bCs/>
                <w:kern w:val="0"/>
                <w:sz w:val="28"/>
                <w:szCs w:val="48"/>
              </w:rPr>
              <w:t>Tw-DRGs</w:t>
            </w:r>
            <w:r>
              <w:rPr>
                <w:rStyle w:val="a4"/>
                <w:rFonts w:ascii="Times New Roman" w:eastAsia="標楷體" w:hAnsi="Times New Roman"/>
                <w:bCs/>
                <w:kern w:val="0"/>
                <w:sz w:val="28"/>
                <w:szCs w:val="48"/>
              </w:rPr>
              <w:t>案件特殊註記」欄位請填寫</w:t>
            </w:r>
            <w:r>
              <w:rPr>
                <w:rStyle w:val="a4"/>
                <w:rFonts w:ascii="Times New Roman" w:eastAsia="標楷體" w:hAnsi="Times New Roman"/>
                <w:bCs/>
                <w:kern w:val="0"/>
                <w:sz w:val="28"/>
                <w:szCs w:val="48"/>
              </w:rPr>
              <w:t>"G</w:t>
            </w:r>
            <w:r>
              <w:rPr>
                <w:rStyle w:val="a4"/>
                <w:rFonts w:ascii="Times New Roman" w:eastAsia="標楷體" w:hAnsi="Times New Roman"/>
                <w:bCs/>
                <w:kern w:val="0"/>
                <w:sz w:val="28"/>
                <w:szCs w:val="48"/>
              </w:rPr>
              <w:t>（原應屬</w:t>
            </w:r>
            <w:r>
              <w:rPr>
                <w:rStyle w:val="a4"/>
                <w:rFonts w:ascii="Times New Roman" w:eastAsia="標楷體" w:hAnsi="Times New Roman"/>
                <w:bCs/>
                <w:kern w:val="0"/>
                <w:sz w:val="28"/>
                <w:szCs w:val="48"/>
              </w:rPr>
              <w:t>Tw-DRGs</w:t>
            </w:r>
            <w:r>
              <w:rPr>
                <w:rStyle w:val="a4"/>
                <w:rFonts w:ascii="Times New Roman" w:eastAsia="標楷體" w:hAnsi="Times New Roman"/>
                <w:bCs/>
                <w:kern w:val="0"/>
                <w:sz w:val="28"/>
                <w:szCs w:val="48"/>
              </w:rPr>
              <w:t>範圍暫以論量計酬方式申報者）</w:t>
            </w:r>
            <w:r>
              <w:rPr>
                <w:rStyle w:val="a4"/>
                <w:rFonts w:ascii="Times New Roman" w:eastAsia="標楷體" w:hAnsi="Times New Roman"/>
                <w:bCs/>
                <w:kern w:val="0"/>
                <w:sz w:val="28"/>
                <w:szCs w:val="48"/>
              </w:rPr>
              <w:t>"</w:t>
            </w:r>
            <w:r>
              <w:rPr>
                <w:rStyle w:val="a4"/>
                <w:rFonts w:ascii="Times New Roman" w:eastAsia="標楷體" w:hAnsi="Times New Roman"/>
                <w:bCs/>
                <w:kern w:val="0"/>
                <w:sz w:val="28"/>
                <w:szCs w:val="4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8" w:hanging="398"/>
            </w:pPr>
            <w:bookmarkStart w:id="37" w:name="_Toc392256951"/>
            <w:r>
              <w:rPr>
                <w:rStyle w:val="a4"/>
                <w:rFonts w:ascii="Times New Roman" w:hAnsi="Times New Roman"/>
                <w:szCs w:val="28"/>
              </w:rPr>
              <w:t>40.</w:t>
            </w:r>
            <w:r>
              <w:rPr>
                <w:rStyle w:val="a4"/>
                <w:rFonts w:ascii="Times New Roman" w:hAnsi="Times New Roman"/>
                <w:szCs w:val="28"/>
              </w:rPr>
              <w:t>自行要求剖腹產之</w:t>
            </w:r>
            <w:r>
              <w:rPr>
                <w:rStyle w:val="a4"/>
                <w:rFonts w:ascii="Times New Roman" w:hAnsi="Times New Roman"/>
                <w:szCs w:val="28"/>
              </w:rPr>
              <w:t>RW</w:t>
            </w:r>
            <w:r>
              <w:rPr>
                <w:rStyle w:val="a4"/>
                <w:rFonts w:ascii="Times New Roman" w:hAnsi="Times New Roman"/>
                <w:szCs w:val="28"/>
              </w:rPr>
              <w:t>如何計算所得？是否得加計各項加成率？</w:t>
            </w:r>
            <w:r>
              <w:rPr>
                <w:rStyle w:val="a4"/>
                <w:rFonts w:ascii="Times New Roman" w:hAnsi="Times New Roman"/>
                <w:szCs w:val="28"/>
              </w:rPr>
              <w:br/>
            </w:r>
            <w:bookmarkEnd w:id="37"/>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72" w:hanging="272"/>
              <w:rPr>
                <w:rStyle w:val="a4"/>
                <w:rFonts w:ascii="Times New Roman" w:eastAsia="標楷體" w:hAnsi="Times New Roman"/>
                <w:sz w:val="28"/>
                <w:szCs w:val="28"/>
              </w:rPr>
            </w:pPr>
            <w:r>
              <w:rPr>
                <w:rStyle w:val="a4"/>
                <w:rFonts w:ascii="Times New Roman" w:eastAsia="標楷體" w:hAnsi="Times New Roman"/>
                <w:kern w:val="0"/>
                <w:sz w:val="28"/>
                <w:szCs w:val="28"/>
              </w:rPr>
              <w:t>1.DRG513</w:t>
            </w:r>
            <w:r>
              <w:rPr>
                <w:rStyle w:val="a4"/>
                <w:rFonts w:ascii="Times New Roman" w:eastAsia="標楷體" w:hAnsi="Times New Roman"/>
                <w:kern w:val="0"/>
                <w:sz w:val="28"/>
                <w:szCs w:val="28"/>
              </w:rPr>
              <w:t>原為論病例計酬項目，其</w:t>
            </w:r>
            <w:r>
              <w:rPr>
                <w:rStyle w:val="a4"/>
                <w:rFonts w:ascii="Times New Roman" w:eastAsia="標楷體" w:hAnsi="Times New Roman"/>
                <w:kern w:val="0"/>
                <w:sz w:val="28"/>
                <w:szCs w:val="28"/>
              </w:rPr>
              <w:t>RW</w:t>
            </w:r>
            <w:r>
              <w:rPr>
                <w:rStyle w:val="a4"/>
                <w:rFonts w:ascii="Times New Roman" w:eastAsia="標楷體" w:hAnsi="Times New Roman"/>
                <w:kern w:val="0"/>
                <w:sz w:val="28"/>
                <w:szCs w:val="28"/>
              </w:rPr>
              <w:t>係由論病例計酬支付點及各年度的</w:t>
            </w:r>
            <w:r>
              <w:rPr>
                <w:rStyle w:val="a4"/>
                <w:rFonts w:ascii="Times New Roman" w:eastAsia="標楷體" w:hAnsi="Times New Roman"/>
                <w:kern w:val="0"/>
                <w:sz w:val="28"/>
                <w:szCs w:val="28"/>
              </w:rPr>
              <w:t>SPR</w:t>
            </w:r>
            <w:r>
              <w:rPr>
                <w:rStyle w:val="a4"/>
                <w:rFonts w:ascii="Times New Roman" w:eastAsia="標楷體" w:hAnsi="Times New Roman"/>
                <w:kern w:val="0"/>
                <w:sz w:val="28"/>
                <w:szCs w:val="28"/>
              </w:rPr>
              <w:t>值回推，故無上</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下限臨界點，且實施</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後不得加計層級別、山地離島加成。</w:t>
            </w:r>
          </w:p>
          <w:p w:rsidR="00230528" w:rsidRDefault="00230528">
            <w:pPr>
              <w:pStyle w:val="af0"/>
              <w:tabs>
                <w:tab w:val="left" w:pos="255"/>
              </w:tabs>
              <w:spacing w:line="560" w:lineRule="exact"/>
              <w:ind w:left="255" w:hanging="255"/>
              <w:rPr>
                <w:rStyle w:val="a4"/>
                <w:rFonts w:ascii="Times New Roman" w:eastAsia="標楷體" w:hAnsi="Times New Roman"/>
                <w:sz w:val="28"/>
                <w:szCs w:val="28"/>
              </w:rPr>
            </w:pPr>
            <w:r>
              <w:rPr>
                <w:rStyle w:val="a4"/>
                <w:rFonts w:ascii="Times New Roman" w:eastAsia="標楷體" w:hAnsi="Times New Roman"/>
                <w:sz w:val="28"/>
                <w:szCs w:val="28"/>
              </w:rPr>
              <w:t>2.</w:t>
            </w:r>
            <w:r>
              <w:rPr>
                <w:rStyle w:val="a4"/>
                <w:rFonts w:ascii="Times New Roman" w:eastAsia="標楷體" w:hAnsi="Times New Roman"/>
                <w:sz w:val="28"/>
                <w:szCs w:val="28"/>
              </w:rPr>
              <w:t>依</w:t>
            </w:r>
            <w:r>
              <w:rPr>
                <w:rStyle w:val="a4"/>
                <w:rFonts w:ascii="Times New Roman" w:eastAsia="標楷體" w:hAnsi="Times New Roman"/>
                <w:sz w:val="28"/>
                <w:szCs w:val="28"/>
              </w:rPr>
              <w:t>Tw-DRGs</w:t>
            </w:r>
            <w:r>
              <w:rPr>
                <w:rStyle w:val="a4"/>
                <w:rFonts w:ascii="Times New Roman" w:eastAsia="標楷體" w:hAnsi="Times New Roman"/>
                <w:sz w:val="28"/>
                <w:szCs w:val="28"/>
              </w:rPr>
              <w:t>支付通則規定，計算</w:t>
            </w:r>
            <w:r>
              <w:rPr>
                <w:rStyle w:val="a4"/>
                <w:rFonts w:ascii="Times New Roman" w:eastAsia="標楷體" w:hAnsi="Times New Roman"/>
                <w:sz w:val="28"/>
                <w:szCs w:val="28"/>
              </w:rPr>
              <w:t>Tw-DRGs</w:t>
            </w:r>
            <w:r>
              <w:rPr>
                <w:rStyle w:val="a4"/>
                <w:rFonts w:ascii="Times New Roman" w:eastAsia="標楷體" w:hAnsi="Times New Roman"/>
                <w:sz w:val="28"/>
                <w:szCs w:val="28"/>
              </w:rPr>
              <w:t>支付點數計算公式為</w:t>
            </w:r>
            <w:r>
              <w:rPr>
                <w:rStyle w:val="a4"/>
                <w:rFonts w:ascii="Times New Roman" w:eastAsia="標楷體" w:hAnsi="Times New Roman"/>
                <w:sz w:val="28"/>
                <w:szCs w:val="28"/>
              </w:rPr>
              <w:t>RW×SPR×(1+</w:t>
            </w:r>
            <w:r>
              <w:rPr>
                <w:rStyle w:val="a4"/>
                <w:rFonts w:ascii="Times New Roman" w:eastAsia="標楷體" w:hAnsi="Times New Roman"/>
                <w:sz w:val="28"/>
                <w:szCs w:val="28"/>
              </w:rPr>
              <w:t>基本診療加成率</w:t>
            </w:r>
            <w:r>
              <w:rPr>
                <w:rStyle w:val="a4"/>
                <w:rFonts w:ascii="Times New Roman" w:eastAsia="標楷體" w:hAnsi="Times New Roman"/>
                <w:sz w:val="28"/>
                <w:szCs w:val="28"/>
              </w:rPr>
              <w:t>+</w:t>
            </w:r>
            <w:r>
              <w:rPr>
                <w:rStyle w:val="a4"/>
                <w:rFonts w:ascii="Times New Roman" w:eastAsia="標楷體" w:hAnsi="Times New Roman"/>
                <w:sz w:val="28"/>
                <w:szCs w:val="28"/>
              </w:rPr>
              <w:t>兒童加成率</w:t>
            </w:r>
            <w:r>
              <w:rPr>
                <w:rStyle w:val="a4"/>
                <w:rFonts w:ascii="Times New Roman" w:eastAsia="標楷體" w:hAnsi="Times New Roman"/>
                <w:sz w:val="28"/>
                <w:szCs w:val="28"/>
              </w:rPr>
              <w:t>+</w:t>
            </w:r>
            <w:r>
              <w:rPr>
                <w:rStyle w:val="a4"/>
                <w:rFonts w:ascii="Times New Roman" w:eastAsia="標楷體" w:hAnsi="Times New Roman"/>
                <w:sz w:val="28"/>
                <w:szCs w:val="28"/>
              </w:rPr>
              <w:t>山地離島地區醫院加成率</w:t>
            </w:r>
            <w:r>
              <w:rPr>
                <w:rStyle w:val="a4"/>
                <w:rFonts w:ascii="Times New Roman" w:eastAsia="標楷體" w:hAnsi="Times New Roman"/>
                <w:sz w:val="28"/>
                <w:szCs w:val="28"/>
              </w:rPr>
              <w:t>)</w:t>
            </w:r>
            <w:r>
              <w:rPr>
                <w:rStyle w:val="a4"/>
                <w:rFonts w:ascii="Times New Roman" w:eastAsia="標楷體" w:hAnsi="Times New Roman"/>
                <w:sz w:val="28"/>
                <w:szCs w:val="28"/>
              </w:rPr>
              <w:t>，現因該</w:t>
            </w:r>
            <w:r>
              <w:rPr>
                <w:rStyle w:val="a4"/>
                <w:rFonts w:ascii="Times New Roman" w:eastAsia="標楷體" w:hAnsi="Times New Roman"/>
                <w:sz w:val="28"/>
                <w:szCs w:val="28"/>
              </w:rPr>
              <w:t>DRG</w:t>
            </w:r>
            <w:r>
              <w:rPr>
                <w:rStyle w:val="a4"/>
                <w:rFonts w:ascii="Times New Roman" w:eastAsia="標楷體" w:hAnsi="Times New Roman"/>
                <w:sz w:val="28"/>
                <w:szCs w:val="28"/>
              </w:rPr>
              <w:t>以回推計算後之</w:t>
            </w:r>
            <w:r>
              <w:rPr>
                <w:rStyle w:val="a4"/>
                <w:rFonts w:ascii="Times New Roman" w:eastAsia="標楷體" w:hAnsi="Times New Roman"/>
                <w:sz w:val="28"/>
                <w:szCs w:val="28"/>
              </w:rPr>
              <w:t>RW</w:t>
            </w:r>
            <w:r>
              <w:rPr>
                <w:rStyle w:val="a4"/>
                <w:rFonts w:ascii="Times New Roman" w:eastAsia="標楷體" w:hAnsi="Times New Roman"/>
                <w:sz w:val="28"/>
                <w:szCs w:val="28"/>
              </w:rPr>
              <w:t>、當年度的</w:t>
            </w:r>
            <w:r>
              <w:rPr>
                <w:rStyle w:val="a4"/>
                <w:rFonts w:ascii="Times New Roman" w:eastAsia="標楷體" w:hAnsi="Times New Roman"/>
                <w:sz w:val="28"/>
                <w:szCs w:val="28"/>
              </w:rPr>
              <w:t>SPR</w:t>
            </w:r>
            <w:r>
              <w:rPr>
                <w:rStyle w:val="a4"/>
                <w:rFonts w:ascii="Times New Roman" w:eastAsia="標楷體" w:hAnsi="Times New Roman"/>
                <w:sz w:val="28"/>
                <w:szCs w:val="28"/>
              </w:rPr>
              <w:t>值及不得加計層級別、山地離島加成計算後之支付點數，因</w:t>
            </w:r>
            <w:r>
              <w:rPr>
                <w:rStyle w:val="a4"/>
                <w:rFonts w:ascii="Times New Roman" w:eastAsia="標楷體" w:hAnsi="Times New Roman"/>
                <w:sz w:val="28"/>
                <w:szCs w:val="28"/>
              </w:rPr>
              <w:t>RW</w:t>
            </w:r>
            <w:r>
              <w:rPr>
                <w:rStyle w:val="a4"/>
                <w:rFonts w:ascii="Times New Roman" w:eastAsia="標楷體" w:hAnsi="Times New Roman"/>
                <w:sz w:val="28"/>
                <w:szCs w:val="28"/>
              </w:rPr>
              <w:t>取至小數點第</w:t>
            </w:r>
            <w:r>
              <w:rPr>
                <w:rStyle w:val="a4"/>
                <w:rFonts w:ascii="Times New Roman" w:eastAsia="標楷體" w:hAnsi="Times New Roman"/>
                <w:sz w:val="28"/>
                <w:szCs w:val="28"/>
              </w:rPr>
              <w:t>4</w:t>
            </w:r>
            <w:r>
              <w:rPr>
                <w:rStyle w:val="a4"/>
                <w:rFonts w:ascii="Times New Roman" w:eastAsia="標楷體" w:hAnsi="Times New Roman"/>
                <w:sz w:val="28"/>
                <w:szCs w:val="28"/>
              </w:rPr>
              <w:t>位之因素，不等於</w:t>
            </w:r>
            <w:r>
              <w:rPr>
                <w:rStyle w:val="a4"/>
                <w:rFonts w:ascii="Times New Roman" w:eastAsia="標楷體" w:hAnsi="Times New Roman"/>
                <w:sz w:val="28"/>
                <w:szCs w:val="28"/>
              </w:rPr>
              <w:t>15,669</w:t>
            </w:r>
            <w:r>
              <w:rPr>
                <w:rStyle w:val="a4"/>
                <w:rFonts w:ascii="Times New Roman" w:eastAsia="標楷體" w:hAnsi="Times New Roman"/>
                <w:sz w:val="28"/>
                <w:szCs w:val="28"/>
              </w:rPr>
              <w:t>點，產生支付</w:t>
            </w:r>
            <w:r>
              <w:rPr>
                <w:rStyle w:val="a4"/>
                <w:rFonts w:ascii="Times New Roman" w:eastAsia="標楷體" w:hAnsi="Times New Roman"/>
                <w:sz w:val="28"/>
                <w:szCs w:val="28"/>
              </w:rPr>
              <w:lastRenderedPageBreak/>
              <w:t>點數之計算疑義。</w:t>
            </w:r>
          </w:p>
          <w:p w:rsidR="00230528" w:rsidRDefault="00230528">
            <w:pPr>
              <w:pStyle w:val="a0"/>
              <w:widowControl/>
              <w:spacing w:line="560" w:lineRule="exact"/>
              <w:ind w:left="272" w:hanging="272"/>
            </w:pPr>
            <w:r>
              <w:rPr>
                <w:rStyle w:val="a4"/>
                <w:rFonts w:ascii="Times New Roman" w:eastAsia="標楷體" w:hAnsi="Times New Roman"/>
                <w:sz w:val="28"/>
                <w:szCs w:val="28"/>
              </w:rPr>
              <w:t>3.</w:t>
            </w:r>
            <w:r>
              <w:rPr>
                <w:rStyle w:val="a4"/>
                <w:rFonts w:ascii="Times New Roman" w:eastAsia="標楷體" w:hAnsi="Times New Roman"/>
                <w:sz w:val="28"/>
                <w:szCs w:val="28"/>
              </w:rPr>
              <w:t>為避免醫院產生</w:t>
            </w:r>
            <w:r>
              <w:rPr>
                <w:rStyle w:val="a4"/>
                <w:rFonts w:ascii="Times New Roman" w:eastAsia="標楷體" w:hAnsi="Times New Roman"/>
                <w:sz w:val="28"/>
                <w:szCs w:val="28"/>
              </w:rPr>
              <w:t>DRG</w:t>
            </w:r>
            <w:r>
              <w:rPr>
                <w:rStyle w:val="a4"/>
                <w:rFonts w:ascii="Times New Roman" w:eastAsia="標楷體" w:hAnsi="Times New Roman"/>
                <w:sz w:val="28"/>
                <w:szCs w:val="28"/>
              </w:rPr>
              <w:t>支付點數之計算疑義，</w:t>
            </w:r>
            <w:r>
              <w:rPr>
                <w:rStyle w:val="a4"/>
                <w:rFonts w:ascii="Times New Roman" w:eastAsia="標楷體" w:hAnsi="Times New Roman"/>
                <w:sz w:val="28"/>
                <w:szCs w:val="28"/>
              </w:rPr>
              <w:t>DRG513</w:t>
            </w:r>
            <w:r>
              <w:rPr>
                <w:rStyle w:val="a4"/>
                <w:rFonts w:ascii="Times New Roman" w:eastAsia="標楷體" w:hAnsi="Times New Roman"/>
                <w:sz w:val="28"/>
                <w:szCs w:val="28"/>
              </w:rPr>
              <w:t>之支付點數計算為</w:t>
            </w:r>
            <w:r>
              <w:rPr>
                <w:rStyle w:val="a4"/>
                <w:rFonts w:ascii="Times New Roman" w:eastAsia="標楷體" w:hAnsi="Times New Roman"/>
                <w:sz w:val="28"/>
                <w:szCs w:val="28"/>
              </w:rPr>
              <w:t>RW×SPR</w:t>
            </w:r>
            <w:r>
              <w:rPr>
                <w:rStyle w:val="a4"/>
                <w:rFonts w:ascii="Times New Roman" w:eastAsia="標楷體" w:hAnsi="Times New Roman"/>
                <w:sz w:val="28"/>
                <w:szCs w:val="28"/>
              </w:rPr>
              <w:t>（不得加計層級別、山地離島加成），不為固定之</w:t>
            </w:r>
            <w:r>
              <w:rPr>
                <w:rStyle w:val="a4"/>
                <w:rFonts w:ascii="Times New Roman" w:eastAsia="標楷體" w:hAnsi="Times New Roman"/>
                <w:sz w:val="28"/>
                <w:szCs w:val="28"/>
              </w:rPr>
              <w:t>15,669</w:t>
            </w:r>
            <w:r>
              <w:rPr>
                <w:rStyle w:val="a4"/>
                <w:rFonts w:ascii="Times New Roman" w:eastAsia="標楷體" w:hAnsi="Times New Roman"/>
                <w:sz w:val="28"/>
                <w:szCs w:val="28"/>
              </w:rPr>
              <w:t>點，惟</w:t>
            </w:r>
            <w:r>
              <w:rPr>
                <w:rStyle w:val="a4"/>
                <w:rFonts w:ascii="Times New Roman" w:eastAsia="標楷體" w:hAnsi="Times New Roman"/>
                <w:sz w:val="28"/>
                <w:szCs w:val="28"/>
              </w:rPr>
              <w:t>RW</w:t>
            </w:r>
            <w:r>
              <w:rPr>
                <w:rStyle w:val="a4"/>
                <w:rFonts w:ascii="Times New Roman" w:eastAsia="標楷體" w:hAnsi="Times New Roman"/>
                <w:sz w:val="28"/>
                <w:szCs w:val="28"/>
              </w:rPr>
              <w:t>之計算方式同說明</w:t>
            </w:r>
            <w:r>
              <w:rPr>
                <w:rStyle w:val="a4"/>
                <w:rFonts w:ascii="Times New Roman" w:eastAsia="標楷體" w:hAnsi="Times New Roman"/>
                <w:sz w:val="28"/>
                <w:szCs w:val="28"/>
              </w:rPr>
              <w:t>2</w:t>
            </w:r>
            <w:r>
              <w:rPr>
                <w:rStyle w:val="a4"/>
                <w:rFonts w:ascii="Times New Roman" w:eastAsia="標楷體" w:hAnsi="Times New Roman"/>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5" w:hanging="255"/>
              <w:rPr>
                <w:rFonts w:ascii="Times New Roman" w:hAnsi="Times New Roman"/>
                <w:szCs w:val="28"/>
              </w:rPr>
            </w:pPr>
            <w:r>
              <w:rPr>
                <w:rStyle w:val="a4"/>
                <w:rFonts w:ascii="Times New Roman" w:hAnsi="Times New Roman"/>
                <w:szCs w:val="28"/>
              </w:rPr>
              <w:t>41.IABP(Intraaortic balloon pump)</w:t>
            </w:r>
            <w:r>
              <w:rPr>
                <w:rStyle w:val="a4"/>
                <w:rFonts w:ascii="Times New Roman" w:hAnsi="Times New Roman"/>
                <w:szCs w:val="28"/>
              </w:rPr>
              <w:t>手術之住院案件是否排除於</w:t>
            </w:r>
            <w:r>
              <w:rPr>
                <w:rStyle w:val="a4"/>
                <w:rFonts w:ascii="Times New Roman" w:hAnsi="Times New Roman"/>
                <w:szCs w:val="28"/>
              </w:rPr>
              <w:t>DRG</w:t>
            </w:r>
            <w:r>
              <w:rPr>
                <w:rStyle w:val="a4"/>
                <w:rFonts w:ascii="Times New Roman" w:hAnsi="Times New Roman"/>
                <w:szCs w:val="28"/>
              </w:rPr>
              <w:t>範圍</w:t>
            </w:r>
            <w:r>
              <w:rPr>
                <w:rStyle w:val="a4"/>
                <w:rFonts w:ascii="Times New Roman" w:hAnsi="Times New Roman"/>
                <w:szCs w:val="28"/>
              </w:rPr>
              <w:t xml:space="preserve">? </w:t>
            </w:r>
            <w:r>
              <w:rPr>
                <w:rStyle w:val="a4"/>
                <w:rFonts w:ascii="Times New Roman" w:hAnsi="Times New Roman"/>
                <w:szCs w:val="28"/>
              </w:rPr>
              <w:br/>
            </w:r>
          </w:p>
          <w:p w:rsidR="00230528" w:rsidRDefault="00230528">
            <w:pPr>
              <w:pStyle w:val="af5"/>
              <w:ind w:left="140" w:hanging="140"/>
              <w:rPr>
                <w:rFonts w:ascii="Times New Roman" w:hAnsi="Times New Roman"/>
                <w:szCs w:val="28"/>
              </w:rPr>
            </w:pP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72" w:hanging="272"/>
              <w:rPr>
                <w:rStyle w:val="a4"/>
                <w:rFonts w:ascii="Times New Roman" w:eastAsia="標楷體" w:hAnsi="Times New Roman"/>
                <w:bCs/>
                <w:kern w:val="0"/>
                <w:sz w:val="28"/>
                <w:szCs w:val="48"/>
              </w:rPr>
            </w:pP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自</w:t>
            </w:r>
            <w:r>
              <w:rPr>
                <w:rStyle w:val="a4"/>
                <w:rFonts w:ascii="Times New Roman" w:eastAsia="標楷體" w:hAnsi="Times New Roman"/>
                <w:kern w:val="0"/>
                <w:sz w:val="28"/>
                <w:szCs w:val="28"/>
              </w:rPr>
              <w:t>103</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7</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日起執行</w:t>
            </w:r>
            <w:r>
              <w:rPr>
                <w:rStyle w:val="a4"/>
                <w:rFonts w:ascii="Times New Roman" w:eastAsia="標楷體" w:hAnsi="Times New Roman"/>
                <w:kern w:val="0"/>
                <w:sz w:val="28"/>
                <w:szCs w:val="28"/>
              </w:rPr>
              <w:t>IABP(Intraaortic balloon pump)</w:t>
            </w:r>
            <w:r>
              <w:rPr>
                <w:rStyle w:val="a4"/>
                <w:rFonts w:ascii="Times New Roman" w:eastAsia="標楷體" w:hAnsi="Times New Roman"/>
                <w:kern w:val="0"/>
                <w:sz w:val="28"/>
                <w:szCs w:val="28"/>
              </w:rPr>
              <w:t>手術之住院案件不適用</w:t>
            </w:r>
            <w:r>
              <w:rPr>
                <w:rStyle w:val="a4"/>
                <w:rFonts w:ascii="Times New Roman" w:eastAsia="標楷體" w:hAnsi="Times New Roman"/>
                <w:kern w:val="0"/>
                <w:sz w:val="28"/>
                <w:szCs w:val="28"/>
              </w:rPr>
              <w:t>DRG</w:t>
            </w:r>
            <w:r>
              <w:rPr>
                <w:rStyle w:val="a4"/>
                <w:rFonts w:ascii="Times New Roman" w:eastAsia="標楷體" w:hAnsi="Times New Roman"/>
                <w:kern w:val="0"/>
                <w:sz w:val="28"/>
                <w:szCs w:val="28"/>
              </w:rPr>
              <w:t>範圍，該類案件自</w:t>
            </w:r>
            <w:r>
              <w:rPr>
                <w:rStyle w:val="a4"/>
                <w:rFonts w:ascii="Times New Roman" w:eastAsia="標楷體" w:hAnsi="Times New Roman"/>
                <w:kern w:val="0"/>
                <w:sz w:val="28"/>
                <w:szCs w:val="28"/>
              </w:rPr>
              <w:t>103</w:t>
            </w:r>
            <w:r>
              <w:rPr>
                <w:rStyle w:val="a4"/>
                <w:rFonts w:ascii="Times New Roman" w:eastAsia="標楷體" w:hAnsi="Times New Roman"/>
                <w:kern w:val="0"/>
                <w:sz w:val="28"/>
                <w:szCs w:val="28"/>
              </w:rPr>
              <w:t>年</w:t>
            </w:r>
            <w:r>
              <w:rPr>
                <w:rStyle w:val="a4"/>
                <w:rFonts w:ascii="Times New Roman" w:eastAsia="標楷體" w:hAnsi="Times New Roman"/>
                <w:kern w:val="0"/>
                <w:sz w:val="28"/>
                <w:szCs w:val="28"/>
              </w:rPr>
              <w:t>7</w:t>
            </w:r>
            <w:r>
              <w:rPr>
                <w:rStyle w:val="a4"/>
                <w:rFonts w:ascii="Times New Roman" w:eastAsia="標楷體" w:hAnsi="Times New Roman"/>
                <w:kern w:val="0"/>
                <w:sz w:val="28"/>
                <w:szCs w:val="28"/>
              </w:rPr>
              <w:t>月</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日（依申報期間</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迄認定）起，應於住院醫療費用點數申報格式「不適用</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案件特殊註記」欄位申報「</w:t>
            </w:r>
            <w:r>
              <w:rPr>
                <w:rStyle w:val="a4"/>
                <w:rFonts w:ascii="Times New Roman" w:eastAsia="標楷體" w:hAnsi="Times New Roman"/>
                <w:kern w:val="0"/>
                <w:sz w:val="28"/>
                <w:szCs w:val="28"/>
              </w:rPr>
              <w:t>J</w:t>
            </w:r>
            <w:r>
              <w:rPr>
                <w:rStyle w:val="a4"/>
                <w:rFonts w:ascii="Times New Roman" w:eastAsia="標楷體" w:hAnsi="Times New Roman"/>
                <w:kern w:val="0"/>
                <w:sz w:val="28"/>
                <w:szCs w:val="28"/>
              </w:rPr>
              <w:t>」（執行博氣球植入術），應同時符合下列條件：</w:t>
            </w:r>
          </w:p>
          <w:p w:rsidR="00230528" w:rsidRDefault="00230528">
            <w:pPr>
              <w:pStyle w:val="a0"/>
              <w:widowControl/>
              <w:spacing w:line="560" w:lineRule="exact"/>
              <w:ind w:left="411" w:hanging="409"/>
              <w:rPr>
                <w:rStyle w:val="a4"/>
                <w:rFonts w:ascii="Times New Roman" w:eastAsia="標楷體" w:hAnsi="Times New Roman"/>
                <w:bCs/>
                <w:kern w:val="0"/>
                <w:sz w:val="28"/>
                <w:szCs w:val="48"/>
              </w:rPr>
            </w:pPr>
            <w:r>
              <w:rPr>
                <w:rStyle w:val="a4"/>
                <w:rFonts w:ascii="Times New Roman" w:eastAsia="標楷體" w:hAnsi="Times New Roman"/>
                <w:bCs/>
                <w:kern w:val="0"/>
                <w:sz w:val="28"/>
                <w:szCs w:val="48"/>
              </w:rPr>
              <w:t>(1)</w:t>
            </w:r>
            <w:r>
              <w:rPr>
                <w:rStyle w:val="a4"/>
                <w:rFonts w:ascii="Times New Roman" w:eastAsia="標楷體" w:hAnsi="Times New Roman"/>
                <w:bCs/>
                <w:kern w:val="0"/>
                <w:sz w:val="28"/>
                <w:szCs w:val="48"/>
              </w:rPr>
              <w:t>「主手術（處置）代碼」或「次手術（處置）代碼（一）」至「次手術（處置）代碼（十九）欄位之任一，需有</w:t>
            </w:r>
            <w:r>
              <w:rPr>
                <w:rStyle w:val="a4"/>
                <w:rFonts w:ascii="Times New Roman" w:eastAsia="標楷體" w:hAnsi="Times New Roman"/>
                <w:bCs/>
                <w:kern w:val="0"/>
                <w:sz w:val="28"/>
                <w:szCs w:val="48"/>
              </w:rPr>
              <w:t>IABP</w:t>
            </w:r>
            <w:r>
              <w:rPr>
                <w:rStyle w:val="a4"/>
                <w:rFonts w:ascii="Times New Roman" w:eastAsia="標楷體" w:hAnsi="Times New Roman"/>
                <w:bCs/>
                <w:kern w:val="0"/>
                <w:sz w:val="28"/>
                <w:szCs w:val="48"/>
              </w:rPr>
              <w:t>處置碼填報值</w:t>
            </w:r>
            <w:r>
              <w:rPr>
                <w:rStyle w:val="a4"/>
                <w:rFonts w:ascii="新細明體" w:hAnsi="新細明體"/>
                <w:bCs/>
                <w:kern w:val="0"/>
                <w:sz w:val="28"/>
                <w:szCs w:val="48"/>
              </w:rPr>
              <w:t>，</w:t>
            </w:r>
            <w:r>
              <w:rPr>
                <w:rStyle w:val="a4"/>
                <w:rFonts w:ascii="Times New Roman" w:eastAsia="標楷體" w:hAnsi="Times New Roman"/>
                <w:bCs/>
                <w:kern w:val="0"/>
                <w:sz w:val="28"/>
                <w:szCs w:val="48"/>
              </w:rPr>
              <w:t>IABP</w:t>
            </w:r>
            <w:r>
              <w:rPr>
                <w:rStyle w:val="a4"/>
                <w:rFonts w:ascii="Times New Roman" w:eastAsia="標楷體" w:hAnsi="Times New Roman"/>
                <w:bCs/>
                <w:kern w:val="0"/>
                <w:sz w:val="28"/>
                <w:szCs w:val="48"/>
              </w:rPr>
              <w:t>處置碼</w:t>
            </w:r>
            <w:r>
              <w:rPr>
                <w:rStyle w:val="a4"/>
                <w:rFonts w:ascii="Times New Roman" w:eastAsia="標楷體" w:hAnsi="Times New Roman"/>
                <w:kern w:val="0"/>
                <w:sz w:val="28"/>
                <w:szCs w:val="28"/>
              </w:rPr>
              <w:t>詳支付通則</w:t>
            </w:r>
            <w:r>
              <w:rPr>
                <w:rStyle w:val="a4"/>
                <w:rFonts w:ascii="Times New Roman" w:eastAsia="標楷體" w:hAnsi="Times New Roman"/>
                <w:bCs/>
                <w:kern w:val="0"/>
                <w:sz w:val="28"/>
                <w:szCs w:val="48"/>
              </w:rPr>
              <w:t>」。</w:t>
            </w:r>
          </w:p>
          <w:p w:rsidR="00230528" w:rsidRDefault="00230528">
            <w:pPr>
              <w:pStyle w:val="a0"/>
              <w:widowControl/>
              <w:spacing w:line="560" w:lineRule="exact"/>
              <w:ind w:left="416" w:hanging="423"/>
              <w:rPr>
                <w:rStyle w:val="a4"/>
                <w:rFonts w:ascii="Times New Roman" w:eastAsia="標楷體" w:hAnsi="Times New Roman"/>
                <w:kern w:val="0"/>
                <w:sz w:val="28"/>
                <w:szCs w:val="28"/>
              </w:rPr>
            </w:pPr>
            <w:r>
              <w:rPr>
                <w:rStyle w:val="a4"/>
                <w:rFonts w:ascii="Times New Roman" w:eastAsia="標楷體" w:hAnsi="Times New Roman"/>
                <w:bCs/>
                <w:kern w:val="0"/>
                <w:sz w:val="28"/>
                <w:szCs w:val="48"/>
              </w:rPr>
              <w:t>(2)</w:t>
            </w:r>
            <w:r>
              <w:rPr>
                <w:rStyle w:val="a4"/>
                <w:rFonts w:ascii="Times New Roman" w:eastAsia="標楷體" w:hAnsi="Times New Roman"/>
                <w:bCs/>
                <w:kern w:val="0"/>
                <w:sz w:val="28"/>
                <w:szCs w:val="48"/>
              </w:rPr>
              <w:t>特材醫令代碼前</w:t>
            </w:r>
            <w:r>
              <w:rPr>
                <w:rStyle w:val="a4"/>
                <w:rFonts w:ascii="Times New Roman" w:eastAsia="標楷體" w:hAnsi="Times New Roman"/>
                <w:bCs/>
                <w:kern w:val="0"/>
                <w:sz w:val="28"/>
                <w:szCs w:val="48"/>
              </w:rPr>
              <w:t>5</w:t>
            </w:r>
            <w:r>
              <w:rPr>
                <w:rStyle w:val="a4"/>
                <w:rFonts w:ascii="Times New Roman" w:eastAsia="標楷體" w:hAnsi="Times New Roman"/>
                <w:bCs/>
                <w:kern w:val="0"/>
                <w:sz w:val="28"/>
                <w:szCs w:val="48"/>
              </w:rPr>
              <w:t>碼有「</w:t>
            </w:r>
            <w:r>
              <w:rPr>
                <w:rStyle w:val="a4"/>
                <w:rFonts w:ascii="Times New Roman" w:eastAsia="標楷體" w:hAnsi="Times New Roman"/>
                <w:bCs/>
                <w:kern w:val="0"/>
                <w:sz w:val="28"/>
                <w:szCs w:val="48"/>
              </w:rPr>
              <w:t>CBA01</w:t>
            </w:r>
            <w:r>
              <w:rPr>
                <w:rStyle w:val="a4"/>
                <w:rFonts w:ascii="Times New Roman" w:eastAsia="標楷體" w:hAnsi="Times New Roman"/>
                <w:bCs/>
                <w:kern w:val="0"/>
                <w:sz w:val="28"/>
                <w:szCs w:val="48"/>
              </w:rPr>
              <w:t>」或「</w:t>
            </w:r>
            <w:r>
              <w:rPr>
                <w:rStyle w:val="a4"/>
                <w:rFonts w:ascii="Times New Roman" w:eastAsia="標楷體" w:hAnsi="Times New Roman"/>
                <w:bCs/>
                <w:kern w:val="0"/>
                <w:sz w:val="28"/>
                <w:szCs w:val="48"/>
              </w:rPr>
              <w:t>CBA02</w:t>
            </w:r>
            <w:r>
              <w:rPr>
                <w:rStyle w:val="a4"/>
                <w:rFonts w:ascii="Times New Roman" w:eastAsia="標楷體" w:hAnsi="Times New Roman"/>
                <w:bCs/>
                <w:kern w:val="0"/>
                <w:sz w:val="28"/>
                <w:szCs w:val="48"/>
              </w:rPr>
              <w:t>」之任一申報者。</w:t>
            </w:r>
          </w:p>
          <w:p w:rsidR="00230528" w:rsidRDefault="00230528">
            <w:pPr>
              <w:pStyle w:val="a0"/>
              <w:widowControl/>
              <w:spacing w:line="560" w:lineRule="exact"/>
              <w:ind w:left="272" w:hanging="272"/>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住院申報案件同時符合前述</w:t>
            </w:r>
            <w:r>
              <w:rPr>
                <w:rStyle w:val="a4"/>
                <w:rFonts w:ascii="Times New Roman" w:eastAsia="標楷體" w:hAnsi="Times New Roman"/>
                <w:kern w:val="0"/>
                <w:sz w:val="28"/>
                <w:szCs w:val="28"/>
              </w:rPr>
              <w:t>(1)</w:t>
            </w:r>
            <w:r>
              <w:rPr>
                <w:rStyle w:val="a4"/>
                <w:rFonts w:ascii="Times New Roman" w:eastAsia="標楷體" w:hAnsi="Times New Roman"/>
                <w:kern w:val="0"/>
                <w:sz w:val="28"/>
                <w:szCs w:val="28"/>
              </w:rPr>
              <w:t>及</w:t>
            </w: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條件者，「不適用</w:t>
            </w:r>
            <w:r>
              <w:rPr>
                <w:rStyle w:val="a4"/>
                <w:rFonts w:ascii="Times New Roman" w:eastAsia="標楷體" w:hAnsi="Times New Roman"/>
                <w:kern w:val="0"/>
                <w:sz w:val="28"/>
                <w:szCs w:val="28"/>
              </w:rPr>
              <w:t>Tw-DRGs</w:t>
            </w:r>
            <w:r>
              <w:rPr>
                <w:rStyle w:val="a4"/>
                <w:rFonts w:ascii="Times New Roman" w:eastAsia="標楷體" w:hAnsi="Times New Roman"/>
                <w:kern w:val="0"/>
                <w:sz w:val="28"/>
                <w:szCs w:val="28"/>
              </w:rPr>
              <w:t>案件特殊註記」不為</w:t>
            </w:r>
            <w:r>
              <w:rPr>
                <w:rStyle w:val="a4"/>
                <w:rFonts w:ascii="Times New Roman" w:eastAsia="標楷體" w:hAnsi="Times New Roman"/>
                <w:kern w:val="0"/>
                <w:sz w:val="28"/>
                <w:szCs w:val="28"/>
              </w:rPr>
              <w:t>0</w:t>
            </w:r>
            <w:r>
              <w:rPr>
                <w:rStyle w:val="a4"/>
                <w:rFonts w:ascii="Times New Roman" w:eastAsia="標楷體" w:hAnsi="Times New Roman"/>
                <w:kern w:val="0"/>
                <w:sz w:val="28"/>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Fonts w:ascii="Times New Roman" w:hAnsi="Times New Roman"/>
                <w:szCs w:val="28"/>
              </w:rPr>
            </w:pPr>
            <w:bookmarkStart w:id="38" w:name="_Toc392256952"/>
            <w:r>
              <w:rPr>
                <w:rStyle w:val="a4"/>
                <w:rFonts w:ascii="Times New Roman" w:hAnsi="Times New Roman"/>
                <w:szCs w:val="28"/>
              </w:rPr>
              <w:t>42.</w:t>
            </w:r>
            <w:r>
              <w:rPr>
                <w:rStyle w:val="a4"/>
                <w:rFonts w:ascii="Times New Roman" w:hAnsi="Times New Roman"/>
                <w:szCs w:val="28"/>
              </w:rPr>
              <w:t>支付通則六之第（六）</w:t>
            </w:r>
            <w:r>
              <w:rPr>
                <w:rStyle w:val="a4"/>
                <w:rFonts w:ascii="Times New Roman" w:hAnsi="Times New Roman"/>
                <w:szCs w:val="28"/>
              </w:rPr>
              <w:t>-6.</w:t>
            </w:r>
            <w:r>
              <w:rPr>
                <w:rStyle w:val="a4"/>
                <w:rFonts w:ascii="Times New Roman" w:hAnsi="Times New Roman"/>
                <w:szCs w:val="28"/>
              </w:rPr>
              <w:t>生物製劑之藥品範圍為何</w:t>
            </w:r>
            <w:r>
              <w:rPr>
                <w:rStyle w:val="a4"/>
                <w:rFonts w:ascii="Times New Roman" w:hAnsi="Times New Roman"/>
                <w:szCs w:val="28"/>
              </w:rPr>
              <w:t xml:space="preserve">? </w:t>
            </w:r>
          </w:p>
          <w:bookmarkEnd w:id="38"/>
          <w:p w:rsidR="00230528" w:rsidRPr="00867392" w:rsidRDefault="00867392">
            <w:pPr>
              <w:pStyle w:val="af5"/>
              <w:ind w:left="396" w:firstLine="115"/>
              <w:rPr>
                <w:rFonts w:ascii="Times New Roman" w:hAnsi="Times New Roman"/>
                <w:color w:val="0000FF"/>
                <w:szCs w:val="28"/>
                <w:u w:val="single"/>
              </w:rPr>
            </w:pPr>
            <w:r w:rsidRPr="00867392">
              <w:rPr>
                <w:rFonts w:ascii="Times New Roman" w:hAnsi="Times New Roman" w:hint="eastAsia"/>
                <w:color w:val="0000FF"/>
                <w:szCs w:val="28"/>
                <w:u w:val="single"/>
              </w:rPr>
              <w:t>(106.9.22</w:t>
            </w:r>
            <w:r w:rsidRPr="00867392">
              <w:rPr>
                <w:rFonts w:ascii="Times New Roman" w:hAnsi="Times New Roman" w:hint="eastAsia"/>
                <w:color w:val="0000FF"/>
                <w:szCs w:val="28"/>
                <w:u w:val="single"/>
              </w:rPr>
              <w:t>修訂</w:t>
            </w:r>
            <w:r w:rsidRPr="00867392">
              <w:rPr>
                <w:rFonts w:ascii="Times New Roman" w:hAnsi="Times New Roman" w:hint="eastAsia"/>
                <w:color w:val="0000FF"/>
                <w:szCs w:val="28"/>
                <w:u w:val="single"/>
              </w:rPr>
              <w:t>)</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widowControl/>
              <w:spacing w:line="560" w:lineRule="exact"/>
              <w:ind w:left="280" w:hanging="280"/>
              <w:rPr>
                <w:rStyle w:val="a4"/>
                <w:rFonts w:ascii="Times New Roman" w:eastAsia="標楷體" w:hAnsi="Times New Roman"/>
                <w:kern w:val="0"/>
                <w:sz w:val="28"/>
                <w:szCs w:val="28"/>
              </w:rPr>
            </w:pPr>
            <w:r>
              <w:rPr>
                <w:rStyle w:val="a4"/>
                <w:rFonts w:ascii="Times New Roman" w:eastAsia="標楷體" w:hAnsi="Times New Roman"/>
                <w:kern w:val="0"/>
                <w:sz w:val="28"/>
                <w:szCs w:val="28"/>
              </w:rPr>
              <w:t xml:space="preserve">1. </w:t>
            </w:r>
            <w:r>
              <w:rPr>
                <w:rStyle w:val="a4"/>
                <w:rFonts w:ascii="Times New Roman" w:eastAsia="標楷體" w:hAnsi="Times New Roman"/>
                <w:kern w:val="0"/>
                <w:sz w:val="28"/>
                <w:szCs w:val="28"/>
              </w:rPr>
              <w:t>本項得核實申報「生物製劑」包括適用於</w:t>
            </w:r>
            <w:r>
              <w:rPr>
                <w:rStyle w:val="a4"/>
                <w:rFonts w:ascii="Times New Roman" w:eastAsia="標楷體" w:hAnsi="Times New Roman"/>
                <w:kern w:val="0"/>
                <w:sz w:val="28"/>
                <w:szCs w:val="28"/>
              </w:rPr>
              <w:t>SLE</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Systemic lupus erythematosus</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Kawasaki disease</w:t>
            </w:r>
            <w:r>
              <w:rPr>
                <w:rStyle w:val="a4"/>
                <w:rFonts w:ascii="Times New Roman" w:eastAsia="標楷體" w:hAnsi="Times New Roman"/>
                <w:kern w:val="0"/>
                <w:sz w:val="28"/>
                <w:szCs w:val="28"/>
              </w:rPr>
              <w:t>、乾癬性關節炎病變、類風濕性關節炎、幼年型類風濕性關節炎、發炎性腸炎（克隆氏症）、局部性腸炎、丙型球蛋白低下症、僵直性脊椎炎、</w:t>
            </w:r>
            <w:r>
              <w:rPr>
                <w:rStyle w:val="a4"/>
                <w:rFonts w:ascii="Times New Roman" w:eastAsia="標楷體" w:hAnsi="Times New Roman"/>
                <w:kern w:val="0"/>
                <w:sz w:val="28"/>
                <w:szCs w:val="28"/>
              </w:rPr>
              <w:lastRenderedPageBreak/>
              <w:t>潰瘍性結腸炎、多發性肌炎、原發性血小板缺乏症</w:t>
            </w:r>
            <w:r>
              <w:rPr>
                <w:rStyle w:val="a4"/>
                <w:rFonts w:ascii="Times New Roman" w:eastAsia="標楷體" w:hAnsi="Times New Roman"/>
                <w:kern w:val="0"/>
                <w:sz w:val="28"/>
                <w:szCs w:val="28"/>
              </w:rPr>
              <w:t>ITP</w:t>
            </w:r>
            <w:r>
              <w:rPr>
                <w:rStyle w:val="a4"/>
                <w:rFonts w:ascii="Times New Roman" w:eastAsia="標楷體" w:hAnsi="Times New Roman"/>
                <w:kern w:val="0"/>
                <w:sz w:val="28"/>
                <w:szCs w:val="28"/>
              </w:rPr>
              <w:t>、乾燥徵候群、全身性硬化症、其他及非特定性免疫學發現、發炎後肺部纖維化、動脈炎、虹膜睫狀體炎（</w:t>
            </w:r>
            <w:r>
              <w:rPr>
                <w:rStyle w:val="a4"/>
                <w:rFonts w:ascii="標楷體" w:eastAsia="標楷體" w:hAnsi="標楷體"/>
                <w:sz w:val="28"/>
                <w:szCs w:val="28"/>
              </w:rPr>
              <w:t>使用</w:t>
            </w:r>
            <w:r>
              <w:rPr>
                <w:rStyle w:val="a4"/>
                <w:rFonts w:ascii="Times New Roman" w:eastAsia="標楷體" w:hAnsi="Times New Roman"/>
                <w:kern w:val="0"/>
                <w:sz w:val="28"/>
                <w:szCs w:val="28"/>
              </w:rPr>
              <w:t>「生物製劑」個案之主次診斷範圍</w:t>
            </w:r>
            <w:r w:rsidRPr="00867392">
              <w:rPr>
                <w:rStyle w:val="a4"/>
                <w:rFonts w:ascii="Times New Roman" w:eastAsia="標楷體" w:hAnsi="Times New Roman"/>
                <w:strike/>
                <w:color w:val="FF0000"/>
                <w:kern w:val="0"/>
                <w:sz w:val="28"/>
                <w:szCs w:val="28"/>
              </w:rPr>
              <w:t>及生物製劑品項</w:t>
            </w:r>
            <w:r>
              <w:rPr>
                <w:rStyle w:val="a4"/>
                <w:rFonts w:ascii="Times New Roman" w:eastAsia="標楷體" w:hAnsi="Times New Roman"/>
                <w:kern w:val="0"/>
                <w:sz w:val="28"/>
                <w:szCs w:val="28"/>
              </w:rPr>
              <w:t>詳支付通則</w:t>
            </w:r>
            <w:r w:rsidR="00867392">
              <w:rPr>
                <w:rStyle w:val="a4"/>
                <w:rFonts w:ascii="標楷體" w:eastAsia="標楷體" w:hAnsi="標楷體" w:hint="eastAsia"/>
                <w:kern w:val="0"/>
                <w:sz w:val="28"/>
                <w:szCs w:val="28"/>
              </w:rPr>
              <w:t>，</w:t>
            </w:r>
            <w:r w:rsidR="00867392" w:rsidRPr="00867392">
              <w:rPr>
                <w:rStyle w:val="a4"/>
                <w:rFonts w:ascii="Times New Roman" w:eastAsia="標楷體" w:hAnsi="Times New Roman" w:hint="eastAsia"/>
                <w:color w:val="0000FF"/>
                <w:kern w:val="0"/>
                <w:sz w:val="28"/>
                <w:szCs w:val="28"/>
                <w:u w:val="single"/>
              </w:rPr>
              <w:t>生物製劑品項表詳附表</w:t>
            </w:r>
            <w:r w:rsidR="00867392" w:rsidRPr="00867392">
              <w:rPr>
                <w:rStyle w:val="a4"/>
                <w:rFonts w:ascii="Times New Roman" w:eastAsia="標楷體" w:hAnsi="Times New Roman" w:hint="eastAsia"/>
                <w:color w:val="0000FF"/>
                <w:kern w:val="0"/>
                <w:sz w:val="28"/>
                <w:szCs w:val="28"/>
                <w:u w:val="single"/>
              </w:rPr>
              <w:t>5</w:t>
            </w:r>
            <w:r>
              <w:rPr>
                <w:rStyle w:val="a4"/>
                <w:rFonts w:ascii="標楷體" w:eastAsia="標楷體" w:hAnsi="標楷體"/>
                <w:kern w:val="0"/>
                <w:sz w:val="28"/>
                <w:szCs w:val="28"/>
              </w:rPr>
              <w:t>)</w:t>
            </w:r>
            <w:r>
              <w:rPr>
                <w:rStyle w:val="a4"/>
                <w:rFonts w:ascii="Times New Roman" w:eastAsia="標楷體" w:hAnsi="Times New Roman"/>
                <w:kern w:val="0"/>
                <w:sz w:val="28"/>
                <w:szCs w:val="28"/>
              </w:rPr>
              <w:t>。</w:t>
            </w:r>
          </w:p>
          <w:p w:rsidR="00230528" w:rsidRDefault="00230528">
            <w:pPr>
              <w:pStyle w:val="a0"/>
              <w:widowControl/>
              <w:spacing w:line="560" w:lineRule="exact"/>
              <w:ind w:left="280" w:hanging="280"/>
            </w:pPr>
            <w:r>
              <w:rPr>
                <w:rStyle w:val="a4"/>
                <w:rFonts w:ascii="Times New Roman" w:eastAsia="標楷體" w:hAnsi="Times New Roman"/>
                <w:kern w:val="0"/>
                <w:sz w:val="28"/>
                <w:szCs w:val="28"/>
              </w:rPr>
              <w:t>2.</w:t>
            </w:r>
            <w:r>
              <w:rPr>
                <w:rStyle w:val="a4"/>
                <w:rFonts w:ascii="Times New Roman" w:eastAsia="標楷體" w:hAnsi="Times New Roman"/>
                <w:kern w:val="0"/>
                <w:sz w:val="28"/>
                <w:szCs w:val="28"/>
              </w:rPr>
              <w:t>上述醫令增列於住院醫療費用點數申報格式（三）醫令清單段</w:t>
            </w:r>
            <w:r>
              <w:rPr>
                <w:rStyle w:val="a4"/>
                <w:rFonts w:ascii="Times New Roman" w:eastAsia="標楷體" w:hAnsi="Times New Roman"/>
                <w:kern w:val="0"/>
                <w:sz w:val="28"/>
                <w:szCs w:val="28"/>
              </w:rPr>
              <w:t>ID</w:t>
            </w:r>
            <w:r>
              <w:rPr>
                <w:rStyle w:val="a4"/>
                <w:rFonts w:ascii="Times New Roman" w:eastAsia="標楷體" w:hAnsi="Times New Roman"/>
                <w:kern w:val="0"/>
                <w:sz w:val="28"/>
                <w:szCs w:val="28"/>
              </w:rPr>
              <w:t>：</w:t>
            </w:r>
            <w:r>
              <w:rPr>
                <w:rStyle w:val="a4"/>
                <w:rFonts w:ascii="Times New Roman" w:eastAsia="標楷體" w:hAnsi="Times New Roman"/>
                <w:kern w:val="0"/>
                <w:sz w:val="28"/>
                <w:szCs w:val="28"/>
              </w:rPr>
              <w:t>p2</w:t>
            </w:r>
            <w:r>
              <w:rPr>
                <w:rStyle w:val="a4"/>
                <w:rFonts w:ascii="Times New Roman" w:eastAsia="標楷體" w:hAnsi="Times New Roman"/>
                <w:kern w:val="0"/>
                <w:sz w:val="28"/>
                <w:szCs w:val="28"/>
              </w:rPr>
              <w:t>醫令類別「</w:t>
            </w:r>
            <w:r>
              <w:rPr>
                <w:rStyle w:val="a4"/>
                <w:rFonts w:ascii="Times New Roman" w:eastAsia="標楷體" w:hAnsi="Times New Roman"/>
                <w:kern w:val="0"/>
                <w:sz w:val="28"/>
                <w:szCs w:val="28"/>
              </w:rPr>
              <w:t>X</w:t>
            </w:r>
            <w:r>
              <w:rPr>
                <w:rStyle w:val="a4"/>
                <w:rFonts w:ascii="Times New Roman" w:eastAsia="標楷體" w:hAnsi="Times New Roman"/>
                <w:kern w:val="0"/>
                <w:sz w:val="28"/>
                <w:szCs w:val="28"/>
              </w:rPr>
              <w:t>」代碼。</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5" w:hanging="255"/>
            </w:pPr>
            <w:r>
              <w:rPr>
                <w:rStyle w:val="a4"/>
                <w:rFonts w:ascii="Times New Roman" w:hAnsi="Times New Roman"/>
                <w:szCs w:val="28"/>
              </w:rPr>
              <w:t>4</w:t>
            </w:r>
            <w:r w:rsidR="00C404CB">
              <w:rPr>
                <w:rStyle w:val="a4"/>
                <w:rFonts w:ascii="Times New Roman" w:hAnsi="Times New Roman" w:hint="eastAsia"/>
                <w:szCs w:val="28"/>
              </w:rPr>
              <w:t>3</w:t>
            </w:r>
            <w:r>
              <w:rPr>
                <w:rStyle w:val="a4"/>
                <w:rFonts w:ascii="Times New Roman" w:hAnsi="Times New Roman"/>
                <w:szCs w:val="28"/>
              </w:rPr>
              <w:t>.</w:t>
            </w:r>
            <w:r>
              <w:rPr>
                <w:rStyle w:val="a4"/>
                <w:rFonts w:ascii="Times New Roman" w:hAnsi="Times New Roman"/>
                <w:szCs w:val="28"/>
              </w:rPr>
              <w:t>不適用</w:t>
            </w:r>
            <w:r>
              <w:rPr>
                <w:rStyle w:val="a4"/>
                <w:rFonts w:ascii="Times New Roman" w:hAnsi="Times New Roman"/>
                <w:szCs w:val="28"/>
              </w:rPr>
              <w:t>DRG</w:t>
            </w:r>
            <w:r>
              <w:rPr>
                <w:rStyle w:val="a4"/>
                <w:rFonts w:ascii="Times New Roman" w:hAnsi="Times New Roman"/>
                <w:szCs w:val="28"/>
              </w:rPr>
              <w:t>案件「複雜性多重骨盆腔器官脫垂，須同時施行骨盆腔多器官重建手術之個案」</w:t>
            </w:r>
            <w:r>
              <w:rPr>
                <w:rStyle w:val="a4"/>
                <w:rFonts w:ascii="Times New Roman" w:hAnsi="Times New Roman"/>
              </w:rPr>
              <w:t>之操作型定義為何？</w:t>
            </w:r>
            <w:r>
              <w:rPr>
                <w:rStyle w:val="a4"/>
                <w:rFonts w:ascii="Times New Roman" w:hAnsi="Times New Roman"/>
                <w:szCs w:val="28"/>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f5"/>
              <w:ind w:left="272" w:hanging="272"/>
              <w:rPr>
                <w:rStyle w:val="a4"/>
                <w:rFonts w:ascii="Times New Roman" w:hAnsi="Times New Roman"/>
              </w:rPr>
            </w:pPr>
            <w:r>
              <w:rPr>
                <w:rStyle w:val="a4"/>
                <w:rFonts w:ascii="Times New Roman" w:hAnsi="Times New Roman"/>
              </w:rPr>
              <w:t>1.</w:t>
            </w:r>
            <w:r>
              <w:rPr>
                <w:rStyle w:val="a4"/>
                <w:rFonts w:ascii="Times New Roman" w:hAnsi="Times New Roman"/>
              </w:rPr>
              <w:t>「複雜性多重骨盆腔器官脫垂，須同時施行骨盆腔多器官重建手術之個案」處置碼組合</w:t>
            </w:r>
            <w:r>
              <w:rPr>
                <w:rStyle w:val="a4"/>
                <w:rFonts w:ascii="Times New Roman" w:hAnsi="Times New Roman"/>
                <w:szCs w:val="28"/>
              </w:rPr>
              <w:t>詳支付通則</w:t>
            </w:r>
            <w:r>
              <w:rPr>
                <w:rStyle w:val="a4"/>
                <w:rFonts w:ascii="Times New Roman" w:hAnsi="Times New Roman"/>
              </w:rPr>
              <w:t>。</w:t>
            </w:r>
          </w:p>
          <w:p w:rsidR="00230528" w:rsidRDefault="00230528">
            <w:pPr>
              <w:pStyle w:val="af5"/>
              <w:ind w:left="273" w:hanging="280"/>
            </w:pPr>
            <w:r>
              <w:rPr>
                <w:rStyle w:val="a4"/>
                <w:rFonts w:ascii="Times New Roman" w:hAnsi="Times New Roman"/>
              </w:rPr>
              <w:t>2.</w:t>
            </w:r>
            <w:r>
              <w:rPr>
                <w:rStyle w:val="a4"/>
                <w:rFonts w:ascii="Times New Roman" w:hAnsi="Times New Roman"/>
              </w:rPr>
              <w:t>不適用</w:t>
            </w:r>
            <w:r>
              <w:rPr>
                <w:rStyle w:val="a4"/>
                <w:rFonts w:ascii="Times New Roman" w:hAnsi="Times New Roman"/>
              </w:rPr>
              <w:t>Tw-DRGs</w:t>
            </w:r>
            <w:r>
              <w:rPr>
                <w:rStyle w:val="a4"/>
                <w:rFonts w:ascii="Times New Roman" w:hAnsi="Times New Roman"/>
              </w:rPr>
              <w:t>案件特殊註記：</w:t>
            </w:r>
            <w:r>
              <w:rPr>
                <w:rStyle w:val="a4"/>
                <w:rFonts w:ascii="Times New Roman" w:hAnsi="Times New Roman"/>
              </w:rPr>
              <w:t>L</w:t>
            </w:r>
            <w:r>
              <w:rPr>
                <w:rStyle w:val="a4"/>
                <w:rFonts w:ascii="Times New Roman" w:hAnsi="Times New Roman"/>
              </w:rPr>
              <w:t>（施行骨盆腔多器官重建手術之個案），</w:t>
            </w:r>
            <w:r>
              <w:rPr>
                <w:rStyle w:val="a4"/>
                <w:rFonts w:ascii="Times New Roman" w:hAnsi="Times New Roman"/>
              </w:rPr>
              <w:t>DRG</w:t>
            </w:r>
            <w:r>
              <w:rPr>
                <w:rStyle w:val="a4"/>
                <w:rFonts w:ascii="Times New Roman" w:hAnsi="Times New Roman"/>
              </w:rPr>
              <w:t>代碼以「</w:t>
            </w:r>
            <w:r>
              <w:rPr>
                <w:rStyle w:val="a4"/>
                <w:rFonts w:ascii="Times New Roman" w:hAnsi="Times New Roman"/>
              </w:rPr>
              <w:t>HHH</w:t>
            </w:r>
            <w:r>
              <w:rPr>
                <w:rStyle w:val="a4"/>
                <w:rFonts w:ascii="Times New Roman" w:hAnsi="Times New Roman"/>
              </w:rPr>
              <w:t>」表示</w:t>
            </w:r>
            <w:r>
              <w:rPr>
                <w:rStyle w:val="a4"/>
                <w:rFonts w:ascii="Times New Roman" w:hAnsi="Times New Roman"/>
                <w:szCs w:val="28"/>
              </w:rPr>
              <w:t>。</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255" w:hanging="255"/>
            </w:pPr>
            <w:r>
              <w:rPr>
                <w:rStyle w:val="a4"/>
                <w:rFonts w:ascii="Times New Roman" w:hAnsi="Times New Roman"/>
              </w:rPr>
              <w:t>4</w:t>
            </w:r>
            <w:r w:rsidR="00C404CB">
              <w:rPr>
                <w:rStyle w:val="a4"/>
                <w:rFonts w:ascii="Times New Roman" w:hAnsi="Times New Roman" w:hint="eastAsia"/>
              </w:rPr>
              <w:t>4</w:t>
            </w:r>
            <w:r>
              <w:rPr>
                <w:rStyle w:val="a4"/>
                <w:rFonts w:ascii="Times New Roman" w:hAnsi="Times New Roman"/>
              </w:rPr>
              <w:t>.</w:t>
            </w:r>
            <w:r>
              <w:rPr>
                <w:rStyle w:val="a4"/>
                <w:rFonts w:ascii="Times New Roman" w:hAnsi="Times New Roman"/>
              </w:rPr>
              <w:t>安胎個案因安胎不成功而流產，其安胎期間費用是否可比照安胎後生產個案採核實申報？</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0"/>
              <w:spacing w:line="560" w:lineRule="exact"/>
            </w:pPr>
            <w:r>
              <w:rPr>
                <w:rStyle w:val="a4"/>
                <w:rFonts w:ascii="Times New Roman" w:eastAsia="標楷體" w:hAnsi="Times New Roman"/>
                <w:sz w:val="28"/>
              </w:rPr>
              <w:t>同次住院期間因安胎不成功而流產之安胎個案，其安胎期間費用可採核實申報。</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pPr>
            <w:r>
              <w:rPr>
                <w:rStyle w:val="a4"/>
                <w:rFonts w:ascii="Times New Roman" w:hAnsi="Times New Roman"/>
              </w:rPr>
              <w:t>4</w:t>
            </w:r>
            <w:r w:rsidR="00C404CB">
              <w:rPr>
                <w:rStyle w:val="a4"/>
                <w:rFonts w:ascii="Times New Roman" w:hAnsi="Times New Roman" w:hint="eastAsia"/>
              </w:rPr>
              <w:t>5</w:t>
            </w:r>
            <w:r>
              <w:rPr>
                <w:rStyle w:val="a4"/>
                <w:rFonts w:ascii="Times New Roman" w:hAnsi="Times New Roman"/>
              </w:rPr>
              <w:t>.</w:t>
            </w:r>
            <w:r>
              <w:rPr>
                <w:rStyle w:val="a4"/>
                <w:rFonts w:ascii="Times New Roman" w:hAnsi="Times New Roman"/>
              </w:rPr>
              <w:t>有關原應屬</w:t>
            </w:r>
            <w:r>
              <w:rPr>
                <w:rStyle w:val="a4"/>
                <w:rFonts w:ascii="Times New Roman" w:hAnsi="Times New Roman"/>
              </w:rPr>
              <w:t>Tw-DRGs</w:t>
            </w:r>
            <w:r>
              <w:rPr>
                <w:rStyle w:val="a4"/>
                <w:rFonts w:ascii="Times New Roman" w:hAnsi="Times New Roman"/>
              </w:rPr>
              <w:t>範圍案件，因接受「醫療科技評估（以下稱</w:t>
            </w:r>
            <w:r>
              <w:rPr>
                <w:rStyle w:val="a4"/>
                <w:rFonts w:ascii="Times New Roman" w:hAnsi="Times New Roman"/>
              </w:rPr>
              <w:t>HTA</w:t>
            </w:r>
            <w:r>
              <w:rPr>
                <w:rStyle w:val="a4"/>
                <w:rFonts w:ascii="Times New Roman" w:hAnsi="Times New Roman"/>
              </w:rPr>
              <w:t>）期間或已完成</w:t>
            </w:r>
            <w:r>
              <w:rPr>
                <w:rStyle w:val="a4"/>
                <w:rFonts w:ascii="Times New Roman" w:hAnsi="Times New Roman"/>
              </w:rPr>
              <w:t>HTA</w:t>
            </w:r>
            <w:r>
              <w:rPr>
                <w:rStyle w:val="a4"/>
                <w:rFonts w:ascii="Times New Roman" w:hAnsi="Times New Roman"/>
              </w:rPr>
              <w:t>評估後不同意納入健保給付」之診療項目者，當次住院之診察費等相關住院費用如何申報</w:t>
            </w:r>
            <w:r>
              <w:rPr>
                <w:rStyle w:val="a4"/>
                <w:rFonts w:ascii="Times New Roman" w:hAnsi="Times New Roman"/>
              </w:rPr>
              <w:t xml:space="preserve">? </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f5"/>
              <w:ind w:left="1" w:firstLine="0"/>
            </w:pPr>
            <w:r>
              <w:rPr>
                <w:rStyle w:val="a4"/>
                <w:rFonts w:ascii="Times New Roman" w:hAnsi="Times New Roman"/>
              </w:rPr>
              <w:t>「醫療科技評估（以下稱</w:t>
            </w:r>
            <w:r>
              <w:rPr>
                <w:rStyle w:val="a4"/>
                <w:rFonts w:ascii="Times New Roman" w:hAnsi="Times New Roman"/>
              </w:rPr>
              <w:t>HTA</w:t>
            </w:r>
            <w:r>
              <w:rPr>
                <w:rStyle w:val="a4"/>
                <w:rFonts w:ascii="Times New Roman" w:hAnsi="Times New Roman"/>
              </w:rPr>
              <w:t>）期間或已完成</w:t>
            </w:r>
            <w:r>
              <w:rPr>
                <w:rStyle w:val="a4"/>
                <w:rFonts w:ascii="Times New Roman" w:hAnsi="Times New Roman"/>
              </w:rPr>
              <w:t>HTA</w:t>
            </w:r>
            <w:r>
              <w:rPr>
                <w:rStyle w:val="a4"/>
                <w:rFonts w:ascii="Times New Roman" w:hAnsi="Times New Roman"/>
              </w:rPr>
              <w:t>評估後不同意納入健保給付」之診療項目健保尚未給付，故不屬於</w:t>
            </w:r>
            <w:r>
              <w:rPr>
                <w:rStyle w:val="a4"/>
                <w:rFonts w:ascii="Times New Roman" w:hAnsi="Times New Roman"/>
              </w:rPr>
              <w:t>Tw-DRGs</w:t>
            </w:r>
            <w:r>
              <w:rPr>
                <w:rStyle w:val="a4"/>
                <w:rFonts w:ascii="Times New Roman" w:hAnsi="Times New Roman"/>
              </w:rPr>
              <w:t>範圍，是類案件不適用</w:t>
            </w:r>
            <w:r>
              <w:rPr>
                <w:rStyle w:val="a4"/>
                <w:rFonts w:ascii="Times New Roman" w:hAnsi="Times New Roman"/>
              </w:rPr>
              <w:t>Tw-DRGs</w:t>
            </w:r>
            <w:r>
              <w:rPr>
                <w:rStyle w:val="a4"/>
                <w:rFonts w:ascii="Times New Roman" w:hAnsi="Times New Roman"/>
              </w:rPr>
              <w:t>案件特殊註記請填寫「</w:t>
            </w:r>
            <w:r>
              <w:rPr>
                <w:rStyle w:val="a4"/>
                <w:rFonts w:ascii="Times New Roman" w:hAnsi="Times New Roman"/>
              </w:rPr>
              <w:t>M-HTA</w:t>
            </w:r>
            <w:r>
              <w:rPr>
                <w:rStyle w:val="a4"/>
                <w:rFonts w:ascii="Times New Roman" w:hAnsi="Times New Roman"/>
              </w:rPr>
              <w:t>診察費等論量申報」，當次手術費以及所需之相關特材由保險對象全額自費；其他住院費用（包含診察費、病房費、檢查費、藥費、麻醉費等）醫療院所仍得以論量計酬方式向本署申請給付（不得要求民眾自費）。</w:t>
            </w:r>
            <w:r>
              <w:rPr>
                <w:rStyle w:val="a4"/>
                <w:rFonts w:ascii="Times New Roman" w:hAnsi="Times New Roman"/>
              </w:rPr>
              <w:t xml:space="preserve"> </w:t>
            </w:r>
          </w:p>
        </w:tc>
      </w:tr>
      <w:tr w:rsidR="00230528" w:rsidTr="004E7561">
        <w:trPr>
          <w:trHeight w:val="715"/>
        </w:trPr>
        <w:tc>
          <w:tcPr>
            <w:tcW w:w="142" w:type="dxa"/>
            <w:tcBorders>
              <w:right w:val="single" w:sz="4" w:space="0" w:color="000000"/>
            </w:tcBorders>
            <w:shd w:val="clear" w:color="auto" w:fill="auto"/>
          </w:tcPr>
          <w:p w:rsidR="00230528" w:rsidRDefault="00230528">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230528" w:rsidRDefault="00230528">
            <w:pPr>
              <w:pStyle w:val="af5"/>
              <w:ind w:left="395" w:hanging="395"/>
              <w:rPr>
                <w:rStyle w:val="a4"/>
                <w:rFonts w:ascii="Times New Roman" w:hAnsi="Times New Roman"/>
                <w:color w:val="0000FF"/>
              </w:rPr>
            </w:pPr>
            <w:r>
              <w:rPr>
                <w:rStyle w:val="a4"/>
                <w:rFonts w:ascii="Times New Roman" w:hAnsi="Times New Roman"/>
              </w:rPr>
              <w:t>4</w:t>
            </w:r>
            <w:r w:rsidR="00C404CB">
              <w:rPr>
                <w:rStyle w:val="a4"/>
                <w:rFonts w:ascii="Times New Roman" w:hAnsi="Times New Roman" w:hint="eastAsia"/>
              </w:rPr>
              <w:t>6</w:t>
            </w:r>
            <w:r>
              <w:rPr>
                <w:rStyle w:val="a4"/>
                <w:rFonts w:ascii="Times New Roman" w:hAnsi="Times New Roman"/>
              </w:rPr>
              <w:t>.</w:t>
            </w:r>
            <w:r>
              <w:rPr>
                <w:rStyle w:val="a4"/>
                <w:rFonts w:ascii="標楷體" w:hAnsi="標楷體"/>
              </w:rPr>
              <w:t>新增診療項目無替代既有項目之申報方式</w:t>
            </w:r>
          </w:p>
          <w:p w:rsidR="00230528" w:rsidRPr="00717CAB" w:rsidRDefault="00230528">
            <w:pPr>
              <w:pStyle w:val="af5"/>
              <w:ind w:left="395" w:hanging="395"/>
              <w:rPr>
                <w:u w:val="single"/>
              </w:rPr>
            </w:pPr>
            <w:r>
              <w:rPr>
                <w:rStyle w:val="a4"/>
                <w:rFonts w:ascii="Times New Roman" w:hAnsi="Times New Roman"/>
                <w:color w:val="0000FF"/>
              </w:rPr>
              <w:t xml:space="preserve">   </w:t>
            </w:r>
            <w:r w:rsidR="00717CAB" w:rsidRPr="00717CAB">
              <w:rPr>
                <w:rStyle w:val="a4"/>
                <w:rFonts w:ascii="Times New Roman" w:hAnsi="Times New Roman" w:hint="eastAsia"/>
                <w:color w:val="0000FF"/>
                <w:u w:val="single"/>
              </w:rPr>
              <w:t>(106.9.22</w:t>
            </w:r>
            <w:r w:rsidR="00717CAB" w:rsidRPr="00717CAB">
              <w:rPr>
                <w:rStyle w:val="a4"/>
                <w:rFonts w:ascii="Times New Roman" w:hAnsi="Times New Roman" w:hint="eastAsia"/>
                <w:color w:val="0000FF"/>
                <w:u w:val="single"/>
              </w:rPr>
              <w:t>修訂</w:t>
            </w:r>
            <w:r w:rsidR="00717CAB" w:rsidRPr="00717CAB">
              <w:rPr>
                <w:rStyle w:val="a4"/>
                <w:rFonts w:ascii="Times New Roman" w:hAnsi="Times New Roman" w:hint="eastAsia"/>
                <w:color w:val="0000FF"/>
                <w:u w:val="single"/>
              </w:rPr>
              <w:t>)</w:t>
            </w:r>
          </w:p>
        </w:tc>
        <w:tc>
          <w:tcPr>
            <w:tcW w:w="6662" w:type="dxa"/>
            <w:tcBorders>
              <w:top w:val="single" w:sz="4" w:space="0" w:color="000000"/>
              <w:bottom w:val="single" w:sz="4" w:space="0" w:color="000000"/>
              <w:right w:val="single" w:sz="4" w:space="0" w:color="000000"/>
            </w:tcBorders>
            <w:shd w:val="clear" w:color="auto" w:fill="auto"/>
          </w:tcPr>
          <w:p w:rsidR="00230528" w:rsidRDefault="00230528">
            <w:pPr>
              <w:pStyle w:val="af5"/>
              <w:ind w:left="255" w:hanging="255"/>
              <w:rPr>
                <w:rStyle w:val="a4"/>
                <w:rFonts w:ascii="Times New Roman" w:eastAsia="新細明體" w:hAnsi="Times New Roman"/>
              </w:rPr>
            </w:pPr>
            <w:r>
              <w:rPr>
                <w:rStyle w:val="a4"/>
                <w:rFonts w:ascii="Times New Roman" w:hAnsi="Times New Roman"/>
              </w:rPr>
              <w:t>1.</w:t>
            </w:r>
            <w:r>
              <w:rPr>
                <w:rStyle w:val="a4"/>
                <w:rFonts w:ascii="Times New Roman" w:hAnsi="Times New Roman"/>
              </w:rPr>
              <w:t>各</w:t>
            </w:r>
            <w:r>
              <w:rPr>
                <w:rStyle w:val="a4"/>
                <w:rFonts w:ascii="Times New Roman" w:hAnsi="Times New Roman"/>
              </w:rPr>
              <w:t>Tw-DRGs</w:t>
            </w:r>
            <w:r>
              <w:rPr>
                <w:rStyle w:val="a4"/>
                <w:rFonts w:ascii="Times New Roman" w:hAnsi="Times New Roman"/>
              </w:rPr>
              <w:t>費用相關參數，由保險人每年年底依前一年醫療服務點數計算，並於次年適用。例如：</w:t>
            </w:r>
            <w:r>
              <w:rPr>
                <w:rStyle w:val="a4"/>
                <w:rFonts w:ascii="Times New Roman" w:hAnsi="Times New Roman"/>
              </w:rPr>
              <w:t>104</w:t>
            </w:r>
            <w:r>
              <w:rPr>
                <w:rStyle w:val="a4"/>
                <w:rFonts w:ascii="Times New Roman" w:hAnsi="Times New Roman"/>
              </w:rPr>
              <w:t>年年底公告之參數，係以</w:t>
            </w:r>
            <w:r>
              <w:rPr>
                <w:rStyle w:val="a4"/>
                <w:rFonts w:ascii="Times New Roman" w:hAnsi="Times New Roman"/>
              </w:rPr>
              <w:t>103</w:t>
            </w:r>
            <w:r>
              <w:rPr>
                <w:rStyle w:val="a4"/>
                <w:rFonts w:ascii="Times New Roman" w:hAnsi="Times New Roman"/>
              </w:rPr>
              <w:t>年申報資料計算，並於</w:t>
            </w:r>
            <w:r>
              <w:rPr>
                <w:rStyle w:val="a4"/>
                <w:rFonts w:ascii="Times New Roman" w:hAnsi="Times New Roman"/>
              </w:rPr>
              <w:t>105</w:t>
            </w:r>
            <w:r>
              <w:rPr>
                <w:rStyle w:val="a4"/>
                <w:rFonts w:ascii="Times New Roman" w:hAnsi="Times New Roman"/>
              </w:rPr>
              <w:t>年適用。</w:t>
            </w:r>
          </w:p>
          <w:p w:rsidR="00230528" w:rsidRDefault="00230528">
            <w:pPr>
              <w:pStyle w:val="af5"/>
              <w:ind w:left="254" w:hanging="252"/>
              <w:rPr>
                <w:rStyle w:val="a4"/>
                <w:rFonts w:ascii="Times New Roman" w:hAnsi="Times New Roman"/>
              </w:rPr>
            </w:pPr>
            <w:r>
              <w:rPr>
                <w:rStyle w:val="a4"/>
                <w:rFonts w:ascii="Times New Roman" w:eastAsia="新細明體" w:hAnsi="Times New Roman"/>
              </w:rPr>
              <w:t>2.</w:t>
            </w:r>
            <w:r>
              <w:rPr>
                <w:rStyle w:val="a4"/>
                <w:rFonts w:ascii="Times New Roman" w:hAnsi="Times New Roman"/>
              </w:rPr>
              <w:t>如當年度增修訂支付標準，因無法於前一年申報資料反映出調整後之支付點數，故進行醫療服務點數差額校正，將新、舊支付點數之差值點數，加入</w:t>
            </w:r>
            <w:r>
              <w:rPr>
                <w:rStyle w:val="a4"/>
                <w:rFonts w:ascii="Times New Roman" w:hAnsi="Times New Roman"/>
              </w:rPr>
              <w:t>(</w:t>
            </w:r>
            <w:r>
              <w:rPr>
                <w:rStyle w:val="a4"/>
                <w:rFonts w:ascii="Times New Roman" w:hAnsi="Times New Roman"/>
              </w:rPr>
              <w:t>或扣除</w:t>
            </w:r>
            <w:r>
              <w:rPr>
                <w:rStyle w:val="a4"/>
                <w:rFonts w:ascii="Times New Roman" w:hAnsi="Times New Roman"/>
              </w:rPr>
              <w:t>)</w:t>
            </w:r>
            <w:r>
              <w:rPr>
                <w:rStyle w:val="a4"/>
                <w:rFonts w:ascii="Times New Roman" w:hAnsi="Times New Roman"/>
              </w:rPr>
              <w:t>申報資料之醫療費用點數。</w:t>
            </w:r>
          </w:p>
          <w:p w:rsidR="00230528" w:rsidRDefault="00230528">
            <w:pPr>
              <w:pStyle w:val="af5"/>
              <w:ind w:left="254" w:hanging="283"/>
              <w:rPr>
                <w:rStyle w:val="a4"/>
                <w:rFonts w:ascii="新細明體" w:eastAsia="新細明體" w:hAnsi="新細明體" w:hint="eastAsia"/>
              </w:rPr>
            </w:pPr>
            <w:r>
              <w:rPr>
                <w:rStyle w:val="a4"/>
                <w:rFonts w:ascii="Times New Roman" w:hAnsi="Times New Roman"/>
              </w:rPr>
              <w:t>3.</w:t>
            </w:r>
            <w:r>
              <w:rPr>
                <w:rStyle w:val="a4"/>
                <w:rFonts w:ascii="Times New Roman" w:hAnsi="Times New Roman"/>
              </w:rPr>
              <w:t>新增診療項目且無替代既有項目者</w:t>
            </w:r>
            <w:r>
              <w:rPr>
                <w:rStyle w:val="a4"/>
                <w:rFonts w:ascii="新細明體" w:eastAsia="新細明體" w:hAnsi="新細明體"/>
              </w:rPr>
              <w:t>，</w:t>
            </w:r>
            <w:r>
              <w:rPr>
                <w:rStyle w:val="a4"/>
                <w:rFonts w:ascii="標楷體" w:hAnsi="標楷體"/>
              </w:rPr>
              <w:t>因無</w:t>
            </w:r>
            <w:r>
              <w:rPr>
                <w:rStyle w:val="a4"/>
                <w:rFonts w:ascii="Times New Roman" w:hAnsi="Times New Roman"/>
              </w:rPr>
              <w:t>法進行點數差額校正</w:t>
            </w:r>
            <w:r>
              <w:rPr>
                <w:rStyle w:val="a4"/>
                <w:rFonts w:ascii="新細明體" w:eastAsia="新細明體" w:hAnsi="新細明體"/>
              </w:rPr>
              <w:t>，</w:t>
            </w:r>
            <w:r>
              <w:rPr>
                <w:rStyle w:val="a4"/>
                <w:rFonts w:ascii="Times New Roman" w:hAnsi="Times New Roman"/>
              </w:rPr>
              <w:t>故自實施日期起</w:t>
            </w:r>
            <w:r>
              <w:rPr>
                <w:rStyle w:val="a4"/>
                <w:rFonts w:ascii="新細明體" w:eastAsia="新細明體" w:hAnsi="新細明體"/>
              </w:rPr>
              <w:t>，</w:t>
            </w:r>
            <w:r>
              <w:rPr>
                <w:rStyle w:val="a4"/>
                <w:rFonts w:ascii="Times New Roman" w:hAnsi="Times New Roman"/>
              </w:rPr>
              <w:t>採核實申報</w:t>
            </w:r>
            <w:r>
              <w:rPr>
                <w:rStyle w:val="a4"/>
                <w:rFonts w:ascii="新細明體" w:eastAsia="新細明體" w:hAnsi="新細明體"/>
              </w:rPr>
              <w:t>，</w:t>
            </w:r>
            <w:r>
              <w:rPr>
                <w:rStyle w:val="a4"/>
                <w:rFonts w:ascii="Times New Roman" w:hAnsi="Times New Roman"/>
              </w:rPr>
              <w:t>核實申報診療項目及申報期限詳附表</w:t>
            </w:r>
            <w:r>
              <w:rPr>
                <w:rStyle w:val="a4"/>
                <w:rFonts w:ascii="Times New Roman" w:hAnsi="Times New Roman"/>
              </w:rPr>
              <w:t>2</w:t>
            </w:r>
            <w:r>
              <w:rPr>
                <w:rStyle w:val="a4"/>
                <w:rFonts w:ascii="新細明體" w:eastAsia="新細明體" w:hAnsi="新細明體"/>
              </w:rPr>
              <w:t>。</w:t>
            </w:r>
            <w:r>
              <w:rPr>
                <w:rStyle w:val="a4"/>
                <w:rFonts w:ascii="Times New Roman" w:hAnsi="Times New Roman"/>
              </w:rPr>
              <w:t>核實申報診療項目自核實申報迄日之次日起</w:t>
            </w:r>
            <w:r>
              <w:rPr>
                <w:rStyle w:val="a4"/>
                <w:rFonts w:ascii="新細明體" w:eastAsia="新細明體" w:hAnsi="新細明體"/>
              </w:rPr>
              <w:t>，</w:t>
            </w:r>
            <w:r>
              <w:rPr>
                <w:rStyle w:val="a4"/>
                <w:rFonts w:ascii="Times New Roman" w:hAnsi="Times New Roman"/>
              </w:rPr>
              <w:t>即於</w:t>
            </w:r>
            <w:r>
              <w:rPr>
                <w:rStyle w:val="a4"/>
                <w:rFonts w:ascii="Times New Roman" w:hAnsi="Times New Roman"/>
              </w:rPr>
              <w:t>DRG</w:t>
            </w:r>
            <w:r>
              <w:rPr>
                <w:rStyle w:val="a4"/>
                <w:rFonts w:ascii="Times New Roman" w:hAnsi="Times New Roman"/>
              </w:rPr>
              <w:t>內申報</w:t>
            </w:r>
            <w:r>
              <w:rPr>
                <w:rStyle w:val="a4"/>
                <w:rFonts w:ascii="新細明體" w:eastAsia="新細明體" w:hAnsi="新細明體"/>
              </w:rPr>
              <w:t>，</w:t>
            </w:r>
            <w:r>
              <w:rPr>
                <w:rStyle w:val="a4"/>
                <w:rFonts w:ascii="Times New Roman" w:hAnsi="Times New Roman"/>
              </w:rPr>
              <w:t>不採核實申報</w:t>
            </w:r>
            <w:r>
              <w:rPr>
                <w:rStyle w:val="a4"/>
                <w:rFonts w:ascii="新細明體" w:eastAsia="新細明體" w:hAnsi="新細明體"/>
              </w:rPr>
              <w:t>。</w:t>
            </w:r>
          </w:p>
          <w:p w:rsidR="00717CAB" w:rsidRPr="00717CAB" w:rsidRDefault="00717CAB" w:rsidP="00717CAB">
            <w:pPr>
              <w:pStyle w:val="af5"/>
              <w:ind w:left="254" w:hanging="283"/>
              <w:rPr>
                <w:rFonts w:ascii="新細明體" w:eastAsia="新細明體" w:hAnsi="新細明體"/>
                <w:color w:val="0000FF"/>
                <w:u w:val="single"/>
              </w:rPr>
            </w:pPr>
            <w:r w:rsidRPr="00717CAB">
              <w:rPr>
                <w:rFonts w:ascii="Times New Roman" w:hAnsi="Times New Roman"/>
                <w:color w:val="0000FF"/>
                <w:u w:val="single"/>
              </w:rPr>
              <w:t>4.</w:t>
            </w:r>
            <w:r w:rsidRPr="00717CAB">
              <w:rPr>
                <w:rFonts w:ascii="Times New Roman" w:hAnsi="Times New Roman"/>
                <w:color w:val="0000FF"/>
                <w:u w:val="single"/>
              </w:rPr>
              <w:t>另既有品項之改良功能特材，因非屬全新功能類別特材</w:t>
            </w:r>
            <w:r w:rsidRPr="00717CAB">
              <w:rPr>
                <w:rFonts w:ascii="標楷體" w:hAnsi="標楷體"/>
                <w:color w:val="0000FF"/>
                <w:u w:val="single"/>
              </w:rPr>
              <w:t>，</w:t>
            </w:r>
            <w:r w:rsidRPr="00717CAB">
              <w:rPr>
                <w:rFonts w:ascii="Times New Roman" w:hAnsi="Times New Roman"/>
                <w:color w:val="0000FF"/>
                <w:u w:val="single"/>
              </w:rPr>
              <w:t>且無法於前一年申報資料反映出調整後之支付點數，亦無替代品項可供點數差額校正，故自實施日期起</w:t>
            </w:r>
            <w:r w:rsidRPr="00717CAB">
              <w:rPr>
                <w:rFonts w:ascii="新細明體" w:eastAsia="新細明體" w:hAnsi="新細明體"/>
                <w:color w:val="0000FF"/>
                <w:u w:val="single"/>
              </w:rPr>
              <w:t>，</w:t>
            </w:r>
            <w:r w:rsidRPr="00717CAB">
              <w:rPr>
                <w:rFonts w:ascii="Times New Roman" w:hAnsi="Times New Roman"/>
                <w:color w:val="0000FF"/>
                <w:u w:val="single"/>
              </w:rPr>
              <w:t>採核實申報</w:t>
            </w:r>
            <w:r w:rsidRPr="00717CAB">
              <w:rPr>
                <w:rFonts w:ascii="新細明體" w:eastAsia="新細明體" w:hAnsi="新細明體"/>
                <w:color w:val="0000FF"/>
                <w:u w:val="single"/>
              </w:rPr>
              <w:t>，</w:t>
            </w:r>
            <w:r w:rsidRPr="00717CAB">
              <w:rPr>
                <w:rFonts w:ascii="Times New Roman" w:hAnsi="Times New Roman"/>
                <w:color w:val="0000FF"/>
                <w:u w:val="single"/>
              </w:rPr>
              <w:t>核實申報特材項目及申報期限詳附表</w:t>
            </w:r>
            <w:r w:rsidRPr="00717CAB">
              <w:rPr>
                <w:rFonts w:ascii="Times New Roman" w:hAnsi="Times New Roman"/>
                <w:color w:val="0000FF"/>
                <w:u w:val="single"/>
              </w:rPr>
              <w:t>3</w:t>
            </w:r>
            <w:r w:rsidRPr="00717CAB">
              <w:rPr>
                <w:rFonts w:ascii="新細明體" w:eastAsia="新細明體" w:hAnsi="新細明體"/>
                <w:color w:val="0000FF"/>
                <w:u w:val="single"/>
              </w:rPr>
              <w:t>。</w:t>
            </w:r>
            <w:r w:rsidRPr="00717CAB">
              <w:rPr>
                <w:rFonts w:ascii="Times New Roman" w:hAnsi="Times New Roman"/>
                <w:color w:val="0000FF"/>
                <w:u w:val="single"/>
              </w:rPr>
              <w:t>核實申報特材項目自核實申報迄日之次日起</w:t>
            </w:r>
            <w:r w:rsidRPr="00717CAB">
              <w:rPr>
                <w:rFonts w:ascii="新細明體" w:eastAsia="新細明體" w:hAnsi="新細明體"/>
                <w:color w:val="0000FF"/>
                <w:u w:val="single"/>
              </w:rPr>
              <w:t>，</w:t>
            </w:r>
            <w:r w:rsidRPr="00717CAB">
              <w:rPr>
                <w:rFonts w:ascii="Times New Roman" w:hAnsi="Times New Roman"/>
                <w:color w:val="0000FF"/>
                <w:u w:val="single"/>
              </w:rPr>
              <w:t>即於</w:t>
            </w:r>
            <w:r w:rsidRPr="00717CAB">
              <w:rPr>
                <w:rFonts w:ascii="Times New Roman" w:hAnsi="Times New Roman"/>
                <w:color w:val="0000FF"/>
                <w:u w:val="single"/>
              </w:rPr>
              <w:t>DRG</w:t>
            </w:r>
            <w:r w:rsidRPr="00717CAB">
              <w:rPr>
                <w:rFonts w:ascii="Times New Roman" w:hAnsi="Times New Roman"/>
                <w:color w:val="0000FF"/>
                <w:u w:val="single"/>
              </w:rPr>
              <w:t>內申報</w:t>
            </w:r>
            <w:r w:rsidRPr="00717CAB">
              <w:rPr>
                <w:rFonts w:ascii="新細明體" w:eastAsia="新細明體" w:hAnsi="新細明體"/>
                <w:color w:val="0000FF"/>
                <w:u w:val="single"/>
              </w:rPr>
              <w:t>，</w:t>
            </w:r>
            <w:r w:rsidRPr="00717CAB">
              <w:rPr>
                <w:rFonts w:ascii="Times New Roman" w:hAnsi="Times New Roman"/>
                <w:color w:val="0000FF"/>
                <w:u w:val="single"/>
              </w:rPr>
              <w:t>不採核實申報</w:t>
            </w:r>
            <w:r w:rsidRPr="00717CAB">
              <w:rPr>
                <w:rFonts w:ascii="新細明體" w:eastAsia="新細明體" w:hAnsi="新細明體"/>
                <w:color w:val="0000FF"/>
                <w:u w:val="single"/>
              </w:rPr>
              <w:t>。</w:t>
            </w:r>
          </w:p>
          <w:p w:rsidR="00717CAB" w:rsidRPr="00717CAB" w:rsidRDefault="00717CAB" w:rsidP="00717CAB">
            <w:pPr>
              <w:pStyle w:val="af5"/>
              <w:ind w:left="254" w:hanging="283"/>
              <w:rPr>
                <w:rFonts w:ascii="Times New Roman" w:eastAsia="新細明體" w:hAnsi="Times New Roman"/>
                <w:color w:val="0000FF"/>
                <w:u w:val="single"/>
              </w:rPr>
            </w:pPr>
            <w:r w:rsidRPr="00717CAB">
              <w:rPr>
                <w:rFonts w:ascii="Times New Roman" w:eastAsia="新細明體" w:hAnsi="Times New Roman"/>
                <w:color w:val="0000FF"/>
                <w:u w:val="single"/>
              </w:rPr>
              <w:t>5.</w:t>
            </w:r>
            <w:r w:rsidRPr="00717CAB">
              <w:rPr>
                <w:rFonts w:ascii="Times New Roman" w:hAnsi="Times New Roman"/>
                <w:color w:val="0000FF"/>
                <w:u w:val="single"/>
              </w:rPr>
              <w:t>全新功能類別特材項目因使用數量不同或占率高且價差大得另行核實申報，項目內容如附表</w:t>
            </w:r>
            <w:r w:rsidRPr="00717CAB">
              <w:rPr>
                <w:rFonts w:ascii="Times New Roman" w:hAnsi="Times New Roman"/>
                <w:color w:val="0000FF"/>
                <w:u w:val="single"/>
              </w:rPr>
              <w:t>4</w:t>
            </w:r>
            <w:r w:rsidRPr="00717CAB">
              <w:rPr>
                <w:rFonts w:ascii="Times New Roman" w:hAnsi="Times New Roman"/>
                <w:color w:val="0000FF"/>
                <w:u w:val="single"/>
              </w:rPr>
              <w:t>。</w:t>
            </w:r>
          </w:p>
          <w:p w:rsidR="00717CAB" w:rsidRDefault="00717CAB" w:rsidP="00717CAB">
            <w:pPr>
              <w:pStyle w:val="af5"/>
              <w:ind w:left="254" w:hanging="283"/>
            </w:pPr>
            <w:r w:rsidRPr="00717CAB">
              <w:rPr>
                <w:rFonts w:ascii="Times New Roman" w:hAnsi="Times New Roman" w:hint="eastAsia"/>
                <w:color w:val="0000FF"/>
                <w:szCs w:val="28"/>
                <w:u w:val="single"/>
              </w:rPr>
              <w:t>6.</w:t>
            </w:r>
            <w:r w:rsidRPr="00717CAB">
              <w:rPr>
                <w:rFonts w:ascii="Times New Roman" w:hAnsi="Times New Roman"/>
                <w:color w:val="0000FF"/>
                <w:szCs w:val="28"/>
                <w:u w:val="single"/>
              </w:rPr>
              <w:t>上述醫令增列於住院醫療費用點數申報格式（三）醫令清單段</w:t>
            </w:r>
            <w:r w:rsidRPr="00717CAB">
              <w:rPr>
                <w:rFonts w:ascii="Times New Roman" w:hAnsi="Times New Roman"/>
                <w:color w:val="0000FF"/>
                <w:szCs w:val="28"/>
                <w:u w:val="single"/>
              </w:rPr>
              <w:t>ID</w:t>
            </w:r>
            <w:r w:rsidRPr="00717CAB">
              <w:rPr>
                <w:rFonts w:ascii="Times New Roman" w:hAnsi="Times New Roman"/>
                <w:color w:val="0000FF"/>
                <w:szCs w:val="28"/>
                <w:u w:val="single"/>
              </w:rPr>
              <w:t>：</w:t>
            </w:r>
            <w:r w:rsidRPr="00717CAB">
              <w:rPr>
                <w:rFonts w:ascii="Times New Roman" w:hAnsi="Times New Roman"/>
                <w:color w:val="0000FF"/>
                <w:szCs w:val="28"/>
                <w:u w:val="single"/>
              </w:rPr>
              <w:t>p2</w:t>
            </w:r>
            <w:r w:rsidRPr="00717CAB">
              <w:rPr>
                <w:rFonts w:ascii="Times New Roman" w:hAnsi="Times New Roman"/>
                <w:color w:val="0000FF"/>
                <w:szCs w:val="28"/>
                <w:u w:val="single"/>
              </w:rPr>
              <w:t>醫令類別「</w:t>
            </w:r>
            <w:r w:rsidRPr="00717CAB">
              <w:rPr>
                <w:rFonts w:ascii="Times New Roman" w:hAnsi="Times New Roman"/>
                <w:color w:val="0000FF"/>
                <w:szCs w:val="28"/>
                <w:u w:val="single"/>
              </w:rPr>
              <w:t>X</w:t>
            </w:r>
            <w:r w:rsidRPr="00717CAB">
              <w:rPr>
                <w:rFonts w:ascii="Times New Roman" w:hAnsi="Times New Roman"/>
                <w:color w:val="0000FF"/>
                <w:szCs w:val="28"/>
                <w:u w:val="single"/>
              </w:rPr>
              <w:t>」代碼。</w:t>
            </w:r>
          </w:p>
        </w:tc>
      </w:tr>
      <w:tr w:rsidR="00C404CB" w:rsidTr="004E7561">
        <w:trPr>
          <w:trHeight w:val="715"/>
        </w:trPr>
        <w:tc>
          <w:tcPr>
            <w:tcW w:w="142" w:type="dxa"/>
            <w:tcBorders>
              <w:right w:val="single" w:sz="4" w:space="0" w:color="000000"/>
            </w:tcBorders>
            <w:shd w:val="clear" w:color="auto" w:fill="auto"/>
          </w:tcPr>
          <w:p w:rsidR="00C404CB" w:rsidRDefault="00C404CB">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C404CB" w:rsidRDefault="00C404CB" w:rsidP="00C404CB">
            <w:pPr>
              <w:pStyle w:val="af5"/>
              <w:ind w:left="395" w:hanging="395"/>
              <w:rPr>
                <w:rStyle w:val="a4"/>
                <w:rFonts w:ascii="Times New Roman" w:hAnsi="Times New Roman"/>
              </w:rPr>
            </w:pPr>
            <w:r>
              <w:rPr>
                <w:rStyle w:val="a4"/>
                <w:rFonts w:ascii="Times New Roman" w:hAnsi="Times New Roman" w:hint="eastAsia"/>
              </w:rPr>
              <w:t>47.</w:t>
            </w:r>
            <w:r w:rsidRPr="00313507">
              <w:rPr>
                <w:szCs w:val="24"/>
              </w:rPr>
              <w:t>出院準備及追蹤管理費之申報</w:t>
            </w:r>
            <w:r w:rsidRPr="00313507">
              <w:rPr>
                <w:szCs w:val="24"/>
              </w:rPr>
              <w:lastRenderedPageBreak/>
              <w:t>方式</w:t>
            </w:r>
          </w:p>
        </w:tc>
        <w:tc>
          <w:tcPr>
            <w:tcW w:w="6662" w:type="dxa"/>
            <w:tcBorders>
              <w:top w:val="single" w:sz="4" w:space="0" w:color="000000"/>
              <w:bottom w:val="single" w:sz="4" w:space="0" w:color="000000"/>
              <w:right w:val="single" w:sz="4" w:space="0" w:color="000000"/>
            </w:tcBorders>
            <w:shd w:val="clear" w:color="auto" w:fill="auto"/>
          </w:tcPr>
          <w:p w:rsidR="00C404CB" w:rsidRPr="00313507" w:rsidRDefault="00C404CB" w:rsidP="00C404CB">
            <w:pPr>
              <w:pStyle w:val="af5"/>
              <w:ind w:left="254" w:hanging="252"/>
            </w:pPr>
            <w:r w:rsidRPr="00313507">
              <w:rPr>
                <w:rFonts w:ascii="Times New Roman" w:eastAsia="新細明體" w:hAnsi="Times New Roman"/>
                <w:szCs w:val="28"/>
              </w:rPr>
              <w:lastRenderedPageBreak/>
              <w:t>1.</w:t>
            </w:r>
            <w:r w:rsidRPr="00313507">
              <w:rPr>
                <w:rFonts w:ascii="新細明體" w:eastAsia="新細明體" w:hAnsi="新細明體"/>
                <w:szCs w:val="28"/>
              </w:rPr>
              <w:t>「</w:t>
            </w:r>
            <w:r w:rsidRPr="00313507">
              <w:rPr>
                <w:rFonts w:ascii="Times New Roman" w:hAnsi="Times New Roman"/>
                <w:szCs w:val="28"/>
              </w:rPr>
              <w:t>02025B</w:t>
            </w:r>
            <w:r w:rsidRPr="00313507">
              <w:rPr>
                <w:szCs w:val="24"/>
              </w:rPr>
              <w:t>出院準備及追蹤管理費</w:t>
            </w:r>
            <w:r w:rsidRPr="00313507">
              <w:rPr>
                <w:rFonts w:ascii="新細明體" w:eastAsia="新細明體" w:hAnsi="新細明體"/>
                <w:szCs w:val="24"/>
              </w:rPr>
              <w:t>」</w:t>
            </w:r>
            <w:r w:rsidRPr="00313507">
              <w:rPr>
                <w:rFonts w:ascii="Times New Roman" w:hAnsi="Times New Roman"/>
                <w:szCs w:val="28"/>
              </w:rPr>
              <w:t>係由醫院評估病</w:t>
            </w:r>
            <w:r w:rsidRPr="00313507">
              <w:rPr>
                <w:rFonts w:ascii="Times New Roman" w:hAnsi="Times New Roman"/>
                <w:szCs w:val="28"/>
              </w:rPr>
              <w:lastRenderedPageBreak/>
              <w:t>患後</w:t>
            </w:r>
            <w:r w:rsidRPr="00313507">
              <w:rPr>
                <w:rFonts w:ascii="標楷體" w:hAnsi="標楷體"/>
                <w:szCs w:val="28"/>
              </w:rPr>
              <w:t>，</w:t>
            </w:r>
            <w:r w:rsidRPr="00313507">
              <w:rPr>
                <w:szCs w:val="24"/>
              </w:rPr>
              <w:t>提供營養、復健、用藥、後續門診追踨、緊急就醫之醫療資源與途徑等資訊，提升病人及家屬居家自我照顧能力、提供生活適應訓練、社會經濟及心理層面諮詢等疾病相關之計畫及指導</w:t>
            </w:r>
            <w:r w:rsidRPr="00313507">
              <w:rPr>
                <w:rFonts w:ascii="Times New Roman" w:hAnsi="Times New Roman"/>
                <w:szCs w:val="28"/>
              </w:rPr>
              <w:t>，並非所有</w:t>
            </w:r>
            <w:r w:rsidRPr="00313507">
              <w:rPr>
                <w:rFonts w:ascii="Times New Roman" w:hAnsi="Times New Roman"/>
                <w:szCs w:val="28"/>
              </w:rPr>
              <w:t>DRG</w:t>
            </w:r>
            <w:r w:rsidRPr="00313507">
              <w:rPr>
                <w:rFonts w:ascii="Times New Roman" w:hAnsi="Times New Roman"/>
                <w:szCs w:val="28"/>
              </w:rPr>
              <w:t>個案均會使用本項服務</w:t>
            </w:r>
            <w:r w:rsidRPr="00313507">
              <w:rPr>
                <w:rFonts w:ascii="標楷體" w:hAnsi="標楷體"/>
                <w:szCs w:val="28"/>
              </w:rPr>
              <w:t>，</w:t>
            </w:r>
            <w:r w:rsidRPr="00313507">
              <w:rPr>
                <w:rFonts w:ascii="Times New Roman" w:hAnsi="Times New Roman"/>
                <w:szCs w:val="28"/>
              </w:rPr>
              <w:t>不含於</w:t>
            </w:r>
            <w:r w:rsidRPr="00313507">
              <w:rPr>
                <w:rFonts w:ascii="Times New Roman" w:hAnsi="Times New Roman"/>
                <w:szCs w:val="28"/>
              </w:rPr>
              <w:t>DRG</w:t>
            </w:r>
            <w:r w:rsidRPr="00313507">
              <w:rPr>
                <w:rFonts w:ascii="Times New Roman" w:hAnsi="Times New Roman"/>
                <w:szCs w:val="28"/>
              </w:rPr>
              <w:t>包裹支付中</w:t>
            </w:r>
            <w:r w:rsidRPr="00313507">
              <w:rPr>
                <w:rFonts w:ascii="新細明體" w:eastAsia="新細明體" w:hAnsi="新細明體"/>
                <w:szCs w:val="28"/>
              </w:rPr>
              <w:t>。</w:t>
            </w:r>
          </w:p>
          <w:p w:rsidR="00C404CB" w:rsidRDefault="00C404CB" w:rsidP="00C404CB">
            <w:pPr>
              <w:pStyle w:val="af5"/>
              <w:ind w:left="255" w:hanging="255"/>
              <w:rPr>
                <w:rStyle w:val="a4"/>
                <w:rFonts w:ascii="Times New Roman" w:hAnsi="Times New Roman"/>
              </w:rPr>
            </w:pPr>
            <w:r w:rsidRPr="00313507">
              <w:rPr>
                <w:rFonts w:ascii="Times New Roman" w:eastAsia="新細明體" w:hAnsi="Times New Roman"/>
                <w:szCs w:val="28"/>
              </w:rPr>
              <w:t>2.</w:t>
            </w:r>
            <w:r w:rsidRPr="00313507">
              <w:rPr>
                <w:rFonts w:ascii="Times New Roman" w:hAnsi="Times New Roman"/>
                <w:szCs w:val="28"/>
              </w:rPr>
              <w:t>自</w:t>
            </w:r>
            <w:r w:rsidRPr="00313507">
              <w:rPr>
                <w:rFonts w:ascii="Times New Roman" w:hAnsi="Times New Roman"/>
                <w:szCs w:val="28"/>
              </w:rPr>
              <w:t>105</w:t>
            </w:r>
            <w:r w:rsidRPr="00313507">
              <w:rPr>
                <w:rFonts w:ascii="Times New Roman" w:hAnsi="Times New Roman"/>
                <w:szCs w:val="28"/>
              </w:rPr>
              <w:t>年</w:t>
            </w:r>
            <w:r w:rsidRPr="00313507">
              <w:rPr>
                <w:rFonts w:ascii="Times New Roman" w:hAnsi="Times New Roman"/>
                <w:szCs w:val="28"/>
              </w:rPr>
              <w:t>4</w:t>
            </w:r>
            <w:r w:rsidRPr="00313507">
              <w:rPr>
                <w:rFonts w:ascii="Times New Roman" w:hAnsi="Times New Roman"/>
                <w:szCs w:val="28"/>
              </w:rPr>
              <w:t>月</w:t>
            </w:r>
            <w:r w:rsidRPr="00313507">
              <w:rPr>
                <w:rFonts w:ascii="Times New Roman" w:hAnsi="Times New Roman"/>
                <w:szCs w:val="28"/>
              </w:rPr>
              <w:t>1</w:t>
            </w:r>
            <w:r w:rsidRPr="00313507">
              <w:rPr>
                <w:rFonts w:ascii="Times New Roman" w:hAnsi="Times New Roman"/>
                <w:szCs w:val="28"/>
              </w:rPr>
              <w:t>日起，醫院提供</w:t>
            </w:r>
            <w:r w:rsidRPr="00313507">
              <w:rPr>
                <w:rFonts w:ascii="Times New Roman" w:hAnsi="Times New Roman"/>
                <w:szCs w:val="28"/>
              </w:rPr>
              <w:t>DRG</w:t>
            </w:r>
            <w:r w:rsidRPr="00313507">
              <w:rPr>
                <w:rFonts w:ascii="Times New Roman" w:hAnsi="Times New Roman"/>
                <w:szCs w:val="28"/>
              </w:rPr>
              <w:t>個案本項服務時，得另加計該申報項目：醫令清單之醫令類別請填寫「</w:t>
            </w:r>
            <w:r w:rsidRPr="00313507">
              <w:rPr>
                <w:rFonts w:ascii="Times New Roman" w:hAnsi="Times New Roman"/>
                <w:szCs w:val="28"/>
              </w:rPr>
              <w:t>X</w:t>
            </w:r>
            <w:r w:rsidRPr="00313507">
              <w:rPr>
                <w:rFonts w:ascii="Times New Roman" w:hAnsi="Times New Roman"/>
                <w:szCs w:val="28"/>
              </w:rPr>
              <w:t>」，醫令代碼請填寫「</w:t>
            </w:r>
            <w:r w:rsidRPr="00313507">
              <w:rPr>
                <w:rFonts w:ascii="Times New Roman" w:hAnsi="Times New Roman"/>
                <w:szCs w:val="28"/>
              </w:rPr>
              <w:t>02025B</w:t>
            </w:r>
            <w:r w:rsidRPr="00313507">
              <w:rPr>
                <w:rFonts w:ascii="Times New Roman" w:hAnsi="Times New Roman"/>
                <w:szCs w:val="28"/>
              </w:rPr>
              <w:t>」。</w:t>
            </w:r>
          </w:p>
        </w:tc>
      </w:tr>
      <w:tr w:rsidR="00C404CB" w:rsidTr="004E7561">
        <w:trPr>
          <w:trHeight w:val="715"/>
        </w:trPr>
        <w:tc>
          <w:tcPr>
            <w:tcW w:w="142" w:type="dxa"/>
            <w:tcBorders>
              <w:right w:val="single" w:sz="4" w:space="0" w:color="000000"/>
            </w:tcBorders>
            <w:shd w:val="clear" w:color="auto" w:fill="auto"/>
          </w:tcPr>
          <w:p w:rsidR="00C404CB" w:rsidRDefault="00C404CB">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C404CB" w:rsidRDefault="00C404CB">
            <w:pPr>
              <w:pStyle w:val="af5"/>
              <w:ind w:left="395" w:hanging="395"/>
              <w:rPr>
                <w:rStyle w:val="a4"/>
                <w:rFonts w:ascii="Times New Roman" w:hAnsi="Times New Roman" w:hint="eastAsia"/>
              </w:rPr>
            </w:pPr>
            <w:r>
              <w:rPr>
                <w:rStyle w:val="a4"/>
                <w:rFonts w:ascii="Times New Roman" w:hAnsi="Times New Roman" w:hint="eastAsia"/>
              </w:rPr>
              <w:t>48.</w:t>
            </w:r>
            <w:r w:rsidRPr="001653F5">
              <w:rPr>
                <w:rFonts w:ascii="Times New Roman" w:hAnsi="Times New Roman" w:hint="eastAsia"/>
              </w:rPr>
              <w:t xml:space="preserve"> DRG</w:t>
            </w:r>
            <w:r w:rsidRPr="001653F5">
              <w:rPr>
                <w:rFonts w:ascii="Times New Roman" w:hAnsi="Times New Roman" w:hint="eastAsia"/>
              </w:rPr>
              <w:t>案件使用自費特材</w:t>
            </w:r>
            <w:r w:rsidRPr="001653F5">
              <w:rPr>
                <w:rFonts w:ascii="標楷體" w:hAnsi="標楷體" w:hint="eastAsia"/>
              </w:rPr>
              <w:t>，</w:t>
            </w:r>
            <w:r w:rsidRPr="001653F5">
              <w:rPr>
                <w:rFonts w:ascii="Times New Roman" w:hAnsi="Times New Roman" w:hint="eastAsia"/>
              </w:rPr>
              <w:t>未依規定申報被替代健保給付特材品項之處理方式</w:t>
            </w:r>
            <w:r w:rsidRPr="001653F5">
              <w:rPr>
                <w:rFonts w:ascii="標楷體" w:hAnsi="標楷體" w:hint="eastAsia"/>
              </w:rPr>
              <w:t>？</w:t>
            </w:r>
          </w:p>
        </w:tc>
        <w:tc>
          <w:tcPr>
            <w:tcW w:w="6662" w:type="dxa"/>
            <w:tcBorders>
              <w:top w:val="single" w:sz="4" w:space="0" w:color="000000"/>
              <w:bottom w:val="single" w:sz="4" w:space="0" w:color="000000"/>
              <w:right w:val="single" w:sz="4" w:space="0" w:color="000000"/>
            </w:tcBorders>
            <w:shd w:val="clear" w:color="auto" w:fill="auto"/>
          </w:tcPr>
          <w:p w:rsidR="00C404CB" w:rsidRPr="001653F5" w:rsidRDefault="00C404CB" w:rsidP="00C404CB">
            <w:pPr>
              <w:pStyle w:val="af5"/>
              <w:ind w:left="254" w:hanging="252"/>
              <w:rPr>
                <w:rFonts w:ascii="Times New Roman" w:hAnsi="Times New Roman"/>
                <w:szCs w:val="28"/>
              </w:rPr>
            </w:pPr>
            <w:r w:rsidRPr="001653F5">
              <w:rPr>
                <w:rFonts w:ascii="Times New Roman" w:hAnsi="Times New Roman"/>
                <w:szCs w:val="28"/>
              </w:rPr>
              <w:t xml:space="preserve">1. </w:t>
            </w:r>
            <w:r w:rsidRPr="001653F5">
              <w:rPr>
                <w:rFonts w:ascii="Times New Roman" w:hAnsi="Times New Roman"/>
                <w:szCs w:val="28"/>
              </w:rPr>
              <w:t>依</w:t>
            </w:r>
            <w:r w:rsidRPr="001653F5">
              <w:rPr>
                <w:rFonts w:ascii="Times New Roman" w:hAnsi="Times New Roman"/>
                <w:szCs w:val="28"/>
              </w:rPr>
              <w:t>Tw-DRGs</w:t>
            </w:r>
            <w:r w:rsidRPr="001653F5">
              <w:rPr>
                <w:rFonts w:ascii="Times New Roman" w:hAnsi="Times New Roman"/>
                <w:szCs w:val="28"/>
              </w:rPr>
              <w:t>支付通則規定，</w:t>
            </w:r>
            <w:r w:rsidRPr="001653F5">
              <w:rPr>
                <w:rFonts w:ascii="Times New Roman" w:hAnsi="Times New Roman"/>
                <w:szCs w:val="28"/>
              </w:rPr>
              <w:t>DRG</w:t>
            </w:r>
            <w:r w:rsidRPr="001653F5">
              <w:rPr>
                <w:rFonts w:ascii="Times New Roman" w:hAnsi="Times New Roman"/>
                <w:szCs w:val="28"/>
              </w:rPr>
              <w:t>案件使用符合「全民健康保險保險醫事服務機構收取自費特材費用規範」之自費特材，</w:t>
            </w:r>
            <w:r w:rsidRPr="001653F5">
              <w:rPr>
                <w:rFonts w:ascii="Times New Roman" w:hAnsi="Times New Roman"/>
                <w:szCs w:val="28"/>
              </w:rPr>
              <w:t xml:space="preserve"> DRG</w:t>
            </w:r>
            <w:r w:rsidRPr="001653F5">
              <w:rPr>
                <w:rFonts w:ascii="Times New Roman" w:hAnsi="Times New Roman"/>
                <w:szCs w:val="28"/>
              </w:rPr>
              <w:t>支付點數需扣除自費特材替代之原健保給付特材品項之支付點數，替代之特材品項由保險醫事服務機構自行併同醫療費用申報。</w:t>
            </w:r>
          </w:p>
          <w:p w:rsidR="00C404CB" w:rsidRPr="001653F5" w:rsidRDefault="00C404CB" w:rsidP="00C404CB">
            <w:pPr>
              <w:pStyle w:val="af5"/>
              <w:ind w:left="254" w:hanging="252"/>
              <w:rPr>
                <w:rFonts w:ascii="Times New Roman" w:hAnsi="Times New Roman"/>
                <w:szCs w:val="28"/>
              </w:rPr>
            </w:pPr>
            <w:r w:rsidRPr="001653F5">
              <w:rPr>
                <w:rFonts w:ascii="Times New Roman" w:hAnsi="Times New Roman"/>
                <w:szCs w:val="28"/>
              </w:rPr>
              <w:t xml:space="preserve">2. </w:t>
            </w:r>
            <w:r w:rsidRPr="001653F5">
              <w:rPr>
                <w:rFonts w:ascii="Times New Roman" w:hAnsi="Times New Roman"/>
                <w:szCs w:val="28"/>
              </w:rPr>
              <w:t>為配合上述支付通則規定，本署已完成「人工膝關節及髖關節之自費醫材與被替代健保品項對照檔」，並將檔案建置本署全球資訊網</w:t>
            </w:r>
            <w:r w:rsidRPr="001653F5">
              <w:rPr>
                <w:rFonts w:ascii="Times New Roman" w:hAnsi="Times New Roman"/>
                <w:szCs w:val="28"/>
              </w:rPr>
              <w:t>(</w:t>
            </w:r>
            <w:r w:rsidRPr="001653F5">
              <w:rPr>
                <w:rFonts w:ascii="Times New Roman" w:hAnsi="Times New Roman"/>
                <w:szCs w:val="28"/>
              </w:rPr>
              <w:t>首頁</w:t>
            </w:r>
            <w:r w:rsidRPr="001653F5">
              <w:rPr>
                <w:rFonts w:ascii="Times New Roman" w:hAnsi="Times New Roman"/>
                <w:szCs w:val="28"/>
              </w:rPr>
              <w:t>/</w:t>
            </w:r>
            <w:r w:rsidRPr="001653F5">
              <w:rPr>
                <w:rFonts w:ascii="Times New Roman" w:hAnsi="Times New Roman"/>
                <w:szCs w:val="28"/>
              </w:rPr>
              <w:t>藥材專區</w:t>
            </w:r>
            <w:r w:rsidRPr="001653F5">
              <w:rPr>
                <w:rFonts w:ascii="Times New Roman" w:hAnsi="Times New Roman"/>
                <w:szCs w:val="28"/>
              </w:rPr>
              <w:t>/</w:t>
            </w:r>
            <w:r w:rsidRPr="001653F5">
              <w:rPr>
                <w:rFonts w:ascii="Times New Roman" w:hAnsi="Times New Roman"/>
                <w:szCs w:val="28"/>
              </w:rPr>
              <w:t>特殊材料</w:t>
            </w:r>
            <w:r w:rsidRPr="001653F5">
              <w:rPr>
                <w:rFonts w:ascii="Times New Roman" w:hAnsi="Times New Roman"/>
                <w:szCs w:val="28"/>
              </w:rPr>
              <w:t>/</w:t>
            </w:r>
            <w:r w:rsidRPr="001653F5">
              <w:rPr>
                <w:rFonts w:ascii="Times New Roman" w:hAnsi="Times New Roman"/>
                <w:szCs w:val="28"/>
              </w:rPr>
              <w:t>自費醫材健保替代品項對照檔</w:t>
            </w:r>
            <w:r w:rsidRPr="001653F5">
              <w:rPr>
                <w:rFonts w:ascii="Times New Roman" w:hAnsi="Times New Roman"/>
                <w:szCs w:val="28"/>
              </w:rPr>
              <w:t>http://www.nhi.gov.tw/webdata/webdata.aspx?menu=21&amp;menu_id=713&amp;WD_ID=850&amp;webdata_id=5422)</w:t>
            </w:r>
            <w:r w:rsidRPr="001653F5">
              <w:rPr>
                <w:rFonts w:ascii="標楷體" w:hAnsi="標楷體" w:hint="eastAsia"/>
                <w:szCs w:val="28"/>
              </w:rPr>
              <w:t>，</w:t>
            </w:r>
            <w:r w:rsidRPr="001653F5">
              <w:rPr>
                <w:rFonts w:ascii="Times New Roman" w:hAnsi="Times New Roman" w:hint="eastAsia"/>
                <w:szCs w:val="28"/>
              </w:rPr>
              <w:t>此對照檔自</w:t>
            </w:r>
            <w:r w:rsidRPr="001653F5">
              <w:rPr>
                <w:rFonts w:ascii="Times New Roman" w:hAnsi="Times New Roman"/>
                <w:szCs w:val="28"/>
              </w:rPr>
              <w:t>106</w:t>
            </w:r>
            <w:r w:rsidRPr="001653F5">
              <w:rPr>
                <w:rFonts w:ascii="Times New Roman" w:hAnsi="Times New Roman"/>
                <w:szCs w:val="28"/>
              </w:rPr>
              <w:t>年</w:t>
            </w:r>
            <w:r w:rsidRPr="001653F5">
              <w:rPr>
                <w:rFonts w:ascii="Times New Roman" w:hAnsi="Times New Roman"/>
                <w:szCs w:val="28"/>
              </w:rPr>
              <w:t>7</w:t>
            </w:r>
            <w:r w:rsidRPr="001653F5">
              <w:rPr>
                <w:rFonts w:ascii="Times New Roman" w:hAnsi="Times New Roman"/>
                <w:szCs w:val="28"/>
              </w:rPr>
              <w:t>月</w:t>
            </w:r>
            <w:r w:rsidRPr="001653F5">
              <w:rPr>
                <w:rFonts w:ascii="Times New Roman" w:hAnsi="Times New Roman"/>
                <w:szCs w:val="28"/>
              </w:rPr>
              <w:t>1</w:t>
            </w:r>
            <w:r w:rsidRPr="001653F5">
              <w:rPr>
                <w:rFonts w:ascii="Times New Roman" w:hAnsi="Times New Roman"/>
                <w:szCs w:val="28"/>
              </w:rPr>
              <w:t>日起列為審核不予支付作業</w:t>
            </w:r>
            <w:r w:rsidRPr="001653F5">
              <w:rPr>
                <w:rFonts w:ascii="Times New Roman" w:eastAsia="新細明體" w:hAnsi="Times New Roman"/>
                <w:szCs w:val="28"/>
              </w:rPr>
              <w:t>。</w:t>
            </w:r>
            <w:r w:rsidRPr="001653F5">
              <w:rPr>
                <w:rFonts w:ascii="Times New Roman" w:hAnsi="Times New Roman"/>
                <w:szCs w:val="28"/>
              </w:rPr>
              <w:t>請各醫療院所配合辦理</w:t>
            </w:r>
            <w:r w:rsidRPr="001653F5">
              <w:rPr>
                <w:rFonts w:ascii="Times New Roman" w:eastAsia="新細明體" w:hAnsi="Times New Roman"/>
                <w:szCs w:val="28"/>
              </w:rPr>
              <w:t>。</w:t>
            </w:r>
          </w:p>
          <w:p w:rsidR="00C404CB" w:rsidRPr="00313507" w:rsidRDefault="00C404CB" w:rsidP="00C404CB">
            <w:pPr>
              <w:pStyle w:val="af5"/>
              <w:ind w:left="254" w:hanging="252"/>
              <w:rPr>
                <w:rFonts w:ascii="Times New Roman" w:eastAsia="新細明體" w:hAnsi="Times New Roman"/>
                <w:szCs w:val="28"/>
              </w:rPr>
            </w:pPr>
            <w:r w:rsidRPr="001653F5">
              <w:rPr>
                <w:rFonts w:ascii="Times New Roman" w:hAnsi="Times New Roman" w:hint="eastAsia"/>
                <w:szCs w:val="28"/>
              </w:rPr>
              <w:t>3.</w:t>
            </w:r>
            <w:r w:rsidRPr="001653F5">
              <w:rPr>
                <w:rFonts w:ascii="Times New Roman" w:hAnsi="Times New Roman" w:hint="eastAsia"/>
                <w:szCs w:val="28"/>
              </w:rPr>
              <w:t>其餘特材項目</w:t>
            </w:r>
            <w:r w:rsidRPr="001653F5">
              <w:rPr>
                <w:rFonts w:ascii="標楷體" w:hAnsi="標楷體" w:hint="eastAsia"/>
                <w:szCs w:val="28"/>
              </w:rPr>
              <w:t>，</w:t>
            </w:r>
            <w:r w:rsidRPr="001653F5">
              <w:rPr>
                <w:rFonts w:ascii="Times New Roman" w:hAnsi="Times New Roman"/>
                <w:szCs w:val="28"/>
              </w:rPr>
              <w:t>醫院未依規定申報自費特材或被替</w:t>
            </w:r>
            <w:r w:rsidRPr="001653F5">
              <w:rPr>
                <w:rFonts w:ascii="Times New Roman" w:hAnsi="Times New Roman"/>
                <w:szCs w:val="28"/>
              </w:rPr>
              <w:lastRenderedPageBreak/>
              <w:t>代之健保特材，應依醫療費用申報與核付及醫療服務審查辦法及專業審查核定結果辦理。</w:t>
            </w:r>
          </w:p>
        </w:tc>
      </w:tr>
      <w:tr w:rsidR="00C404CB" w:rsidTr="004E7561">
        <w:trPr>
          <w:trHeight w:val="715"/>
        </w:trPr>
        <w:tc>
          <w:tcPr>
            <w:tcW w:w="142" w:type="dxa"/>
            <w:tcBorders>
              <w:right w:val="single" w:sz="4" w:space="0" w:color="000000"/>
            </w:tcBorders>
            <w:shd w:val="clear" w:color="auto" w:fill="auto"/>
          </w:tcPr>
          <w:p w:rsidR="00C404CB" w:rsidRDefault="00C404CB">
            <w:pPr>
              <w:pStyle w:val="a0"/>
              <w:widowControl/>
              <w:spacing w:line="280" w:lineRule="exact"/>
              <w:rPr>
                <w:rFonts w:ascii="Times New Roman" w:eastAsia="標楷體" w:hAnsi="Times New Roman"/>
                <w:kern w:val="0"/>
                <w:sz w:val="20"/>
                <w:szCs w:val="20"/>
              </w:rPr>
            </w:pPr>
          </w:p>
        </w:tc>
        <w:tc>
          <w:tcPr>
            <w:tcW w:w="4253" w:type="dxa"/>
            <w:tcBorders>
              <w:top w:val="single" w:sz="4" w:space="0" w:color="000000"/>
              <w:bottom w:val="single" w:sz="4" w:space="0" w:color="000000"/>
              <w:right w:val="single" w:sz="4" w:space="0" w:color="000000"/>
            </w:tcBorders>
            <w:shd w:val="clear" w:color="auto" w:fill="auto"/>
          </w:tcPr>
          <w:p w:rsidR="00C404CB" w:rsidRDefault="00C404CB" w:rsidP="00C404CB">
            <w:pPr>
              <w:pStyle w:val="af5"/>
              <w:ind w:left="395" w:hanging="395"/>
              <w:rPr>
                <w:rStyle w:val="a4"/>
                <w:rFonts w:ascii="Times New Roman" w:hAnsi="Times New Roman" w:hint="eastAsia"/>
              </w:rPr>
            </w:pPr>
            <w:r>
              <w:rPr>
                <w:rStyle w:val="a4"/>
                <w:rFonts w:ascii="Times New Roman" w:hAnsi="Times New Roman" w:hint="eastAsia"/>
              </w:rPr>
              <w:t>49</w:t>
            </w:r>
            <w:r w:rsidRPr="00C404CB">
              <w:rPr>
                <w:rStyle w:val="a4"/>
                <w:rFonts w:ascii="Times New Roman" w:hAnsi="Times New Roman" w:hint="eastAsia"/>
              </w:rPr>
              <w:t>.</w:t>
            </w:r>
            <w:r w:rsidRPr="00C404CB">
              <w:rPr>
                <w:rFonts w:ascii="標楷體" w:hAnsi="標楷體" w:hint="eastAsia"/>
                <w:szCs w:val="28"/>
              </w:rPr>
              <w:t>矯正機關收容對象戒護外醫住院案件之申報方式?</w:t>
            </w:r>
          </w:p>
        </w:tc>
        <w:tc>
          <w:tcPr>
            <w:tcW w:w="6662" w:type="dxa"/>
            <w:tcBorders>
              <w:top w:val="single" w:sz="4" w:space="0" w:color="000000"/>
              <w:bottom w:val="single" w:sz="4" w:space="0" w:color="000000"/>
              <w:right w:val="single" w:sz="4" w:space="0" w:color="000000"/>
            </w:tcBorders>
            <w:shd w:val="clear" w:color="auto" w:fill="auto"/>
          </w:tcPr>
          <w:p w:rsidR="00C404CB" w:rsidRPr="00C404CB" w:rsidRDefault="00C404CB" w:rsidP="00C404CB">
            <w:pPr>
              <w:pStyle w:val="af5"/>
              <w:ind w:left="254" w:hanging="254"/>
              <w:rPr>
                <w:rFonts w:ascii="Times New Roman" w:hAnsi="Times New Roman"/>
              </w:rPr>
            </w:pPr>
            <w:r w:rsidRPr="00C404CB">
              <w:rPr>
                <w:rFonts w:ascii="Times New Roman" w:hAnsi="Times New Roman"/>
              </w:rPr>
              <w:t>1.</w:t>
            </w:r>
            <w:r w:rsidRPr="00C404CB">
              <w:rPr>
                <w:rFonts w:ascii="標楷體" w:hAnsi="標楷體" w:hint="eastAsia"/>
                <w:szCs w:val="28"/>
              </w:rPr>
              <w:t>矯正機關收容對象戒護外醫住院案件</w:t>
            </w:r>
            <w:r w:rsidRPr="00C404CB">
              <w:rPr>
                <w:rFonts w:ascii="Times New Roman" w:hAnsi="Times New Roman"/>
              </w:rPr>
              <w:t>，為</w:t>
            </w:r>
            <w:r w:rsidRPr="00C404CB">
              <w:rPr>
                <w:rFonts w:ascii="Times New Roman" w:hAnsi="Times New Roman"/>
              </w:rPr>
              <w:t>DRG</w:t>
            </w:r>
            <w:r w:rsidRPr="00C404CB">
              <w:rPr>
                <w:rFonts w:ascii="Times New Roman" w:hAnsi="Times New Roman"/>
              </w:rPr>
              <w:t>支付通則三</w:t>
            </w:r>
            <w:r w:rsidRPr="00C404CB">
              <w:rPr>
                <w:rFonts w:ascii="Times New Roman" w:hAnsi="Times New Roman"/>
              </w:rPr>
              <w:t>(</w:t>
            </w:r>
            <w:r w:rsidRPr="00C404CB">
              <w:rPr>
                <w:rFonts w:ascii="Times New Roman" w:hAnsi="Times New Roman"/>
              </w:rPr>
              <w:t>不適用</w:t>
            </w:r>
            <w:r w:rsidRPr="00C404CB">
              <w:rPr>
                <w:rFonts w:ascii="Times New Roman" w:hAnsi="Times New Roman"/>
              </w:rPr>
              <w:t>Tw-DRGs</w:t>
            </w:r>
            <w:r w:rsidRPr="00C404CB">
              <w:rPr>
                <w:rFonts w:ascii="Times New Roman" w:hAnsi="Times New Roman"/>
              </w:rPr>
              <w:t>支付標準</w:t>
            </w:r>
            <w:r w:rsidRPr="00C404CB">
              <w:rPr>
                <w:rFonts w:ascii="Times New Roman" w:hAnsi="Times New Roman"/>
              </w:rPr>
              <w:t>)</w:t>
            </w:r>
            <w:r w:rsidRPr="00C404CB">
              <w:rPr>
                <w:rFonts w:ascii="Times New Roman" w:hAnsi="Times New Roman"/>
              </w:rPr>
              <w:t>中「其他非屬『醫院醫療給付費用總額』範圍之案件」。</w:t>
            </w:r>
          </w:p>
          <w:p w:rsidR="00C404CB" w:rsidRPr="001653F5" w:rsidRDefault="00C404CB" w:rsidP="00C404CB">
            <w:pPr>
              <w:pStyle w:val="af5"/>
              <w:ind w:left="254" w:hanging="252"/>
              <w:rPr>
                <w:rFonts w:ascii="Times New Roman" w:hAnsi="Times New Roman"/>
                <w:szCs w:val="28"/>
              </w:rPr>
            </w:pPr>
            <w:r w:rsidRPr="00C404CB">
              <w:rPr>
                <w:rFonts w:ascii="Times New Roman" w:eastAsia="微軟正黑體" w:hAnsi="Times New Roman"/>
              </w:rPr>
              <w:t>2.</w:t>
            </w:r>
            <w:r w:rsidRPr="00C404CB">
              <w:rPr>
                <w:rFonts w:ascii="Times New Roman" w:hAnsi="Times New Roman"/>
              </w:rPr>
              <w:t>不適用</w:t>
            </w:r>
            <w:r w:rsidRPr="00C404CB">
              <w:rPr>
                <w:rFonts w:ascii="Times New Roman" w:hAnsi="Times New Roman"/>
              </w:rPr>
              <w:t>Tw-DRGs</w:t>
            </w:r>
            <w:r w:rsidRPr="00C404CB">
              <w:rPr>
                <w:rFonts w:ascii="Times New Roman" w:hAnsi="Times New Roman"/>
              </w:rPr>
              <w:t>案件特殊註記填報：</w:t>
            </w:r>
            <w:r w:rsidRPr="00C404CB">
              <w:rPr>
                <w:rFonts w:ascii="Times New Roman" w:hAnsi="Times New Roman"/>
              </w:rPr>
              <w:t>B</w:t>
            </w:r>
            <w:r w:rsidRPr="00C404CB">
              <w:rPr>
                <w:rFonts w:ascii="Times New Roman" w:hAnsi="Times New Roman"/>
              </w:rPr>
              <w:t>（</w:t>
            </w:r>
            <w:r w:rsidRPr="00C404CB">
              <w:rPr>
                <w:rFonts w:ascii="標楷體" w:hAnsi="標楷體" w:hint="eastAsia"/>
              </w:rPr>
              <w:t>矯正機關戒護外醫住院案件</w:t>
            </w:r>
            <w:r w:rsidRPr="00C404CB">
              <w:rPr>
                <w:rFonts w:ascii="Times New Roman" w:hAnsi="Times New Roman"/>
              </w:rPr>
              <w:t>）</w:t>
            </w:r>
            <w:r w:rsidRPr="00C404CB">
              <w:rPr>
                <w:rFonts w:ascii="Times New Roman" w:hAnsi="Times New Roman"/>
                <w:szCs w:val="28"/>
              </w:rPr>
              <w:t>。</w:t>
            </w:r>
          </w:p>
        </w:tc>
      </w:tr>
    </w:tbl>
    <w:p w:rsidR="00C404CB" w:rsidRDefault="00C404CB">
      <w:pPr>
        <w:pStyle w:val="a0"/>
        <w:spacing w:line="480" w:lineRule="exact"/>
        <w:rPr>
          <w:rStyle w:val="a4"/>
          <w:rFonts w:ascii="微軟正黑體" w:eastAsia="微軟正黑體" w:hAnsi="微軟正黑體" w:hint="eastAsia"/>
          <w:color w:val="0000FF"/>
          <w:sz w:val="28"/>
          <w:szCs w:val="28"/>
        </w:rPr>
      </w:pPr>
    </w:p>
    <w:p w:rsidR="00C404CB" w:rsidRPr="00C404CB" w:rsidRDefault="00C404CB" w:rsidP="00C404CB">
      <w:pPr>
        <w:spacing w:line="0" w:lineRule="atLeast"/>
        <w:rPr>
          <w:rFonts w:ascii="Times New Roman" w:eastAsia="標楷體" w:hAnsi="Times New Roman"/>
          <w:b/>
        </w:rPr>
      </w:pPr>
      <w:r w:rsidRPr="00C404CB">
        <w:rPr>
          <w:rFonts w:ascii="Times New Roman" w:eastAsia="標楷體" w:hAnsi="Times New Roman"/>
          <w:b/>
          <w:sz w:val="28"/>
          <w:szCs w:val="28"/>
        </w:rPr>
        <w:t>附表</w:t>
      </w:r>
      <w:r w:rsidRPr="00C404CB">
        <w:rPr>
          <w:rFonts w:ascii="Times New Roman" w:eastAsia="標楷體" w:hAnsi="Times New Roman"/>
          <w:b/>
          <w:sz w:val="28"/>
          <w:szCs w:val="28"/>
        </w:rPr>
        <w:t>1</w:t>
      </w:r>
      <w:r w:rsidRPr="00C404CB">
        <w:rPr>
          <w:rFonts w:ascii="Times New Roman" w:eastAsia="標楷體" w:hAnsi="Times New Roman"/>
          <w:b/>
          <w:sz w:val="28"/>
          <w:szCs w:val="28"/>
        </w:rPr>
        <w:t>、屬化療之藥品代碼</w:t>
      </w:r>
      <w:r w:rsidRPr="00C404CB">
        <w:rPr>
          <w:rFonts w:ascii="Times New Roman" w:eastAsia="標楷體" w:hAnsi="Times New Roman"/>
          <w:b/>
          <w:sz w:val="28"/>
          <w:szCs w:val="28"/>
        </w:rPr>
        <w:t xml:space="preserve"> </w:t>
      </w:r>
      <w:r w:rsidRPr="00C404CB">
        <w:rPr>
          <w:rFonts w:ascii="Times New Roman" w:eastAsia="標楷體" w:hAnsi="Times New Roman"/>
          <w:b/>
        </w:rPr>
        <w:t xml:space="preserve">                                                </w:t>
      </w:r>
    </w:p>
    <w:tbl>
      <w:tblPr>
        <w:tblW w:w="10788" w:type="dxa"/>
        <w:tblInd w:w="13" w:type="dxa"/>
        <w:tblCellMar>
          <w:left w:w="10" w:type="dxa"/>
          <w:right w:w="10" w:type="dxa"/>
        </w:tblCellMar>
        <w:tblLook w:val="04A0" w:firstRow="1" w:lastRow="0" w:firstColumn="1" w:lastColumn="0" w:noHBand="0" w:noVBand="1"/>
      </w:tblPr>
      <w:tblGrid>
        <w:gridCol w:w="660"/>
        <w:gridCol w:w="1540"/>
        <w:gridCol w:w="5186"/>
        <w:gridCol w:w="1701"/>
        <w:gridCol w:w="1701"/>
      </w:tblGrid>
      <w:tr w:rsidR="00C404CB" w:rsidRPr="00C404CB" w:rsidTr="005F45D4">
        <w:trPr>
          <w:trHeight w:val="330"/>
          <w:tblHead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b/>
              </w:rPr>
            </w:pPr>
            <w:r w:rsidRPr="00C404CB">
              <w:rPr>
                <w:rFonts w:ascii="Times New Roman" w:eastAsia="標楷體" w:hAnsi="Times New Roman"/>
                <w:b/>
              </w:rPr>
              <w:t>序號</w:t>
            </w:r>
          </w:p>
        </w:tc>
        <w:tc>
          <w:tcPr>
            <w:tcW w:w="154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b/>
              </w:rPr>
            </w:pPr>
            <w:r w:rsidRPr="00C404CB">
              <w:rPr>
                <w:rFonts w:ascii="Times New Roman" w:eastAsia="標楷體" w:hAnsi="Times New Roman"/>
                <w:b/>
              </w:rPr>
              <w:t>CODE</w:t>
            </w:r>
          </w:p>
        </w:tc>
        <w:tc>
          <w:tcPr>
            <w:tcW w:w="518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b/>
              </w:rPr>
            </w:pPr>
            <w:r w:rsidRPr="00C404CB">
              <w:rPr>
                <w:rFonts w:ascii="Times New Roman" w:eastAsia="標楷體" w:hAnsi="Times New Roman"/>
                <w:b/>
              </w:rPr>
              <w:t>藥品名稱</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b/>
              </w:rPr>
            </w:pPr>
            <w:r w:rsidRPr="00C404CB">
              <w:rPr>
                <w:rFonts w:ascii="Times New Roman" w:eastAsia="標楷體" w:hAnsi="Times New Roman"/>
                <w:b/>
              </w:rPr>
              <w:t>ATC7</w:t>
            </w:r>
            <w:r w:rsidRPr="00C404CB">
              <w:rPr>
                <w:rFonts w:ascii="Times New Roman" w:eastAsia="標楷體" w:hAnsi="Times New Roman"/>
                <w:b/>
              </w:rPr>
              <w:t>碼</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b/>
              </w:rPr>
            </w:pPr>
            <w:r w:rsidRPr="00C404CB">
              <w:rPr>
                <w:rFonts w:ascii="Times New Roman" w:eastAsia="標楷體" w:hAnsi="Times New Roman"/>
                <w:b/>
              </w:rPr>
              <w:t>價格生效日</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KC00670282</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FILGRASTIM INJECTION M300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L03AA02</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2</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KC00711280</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FILGRASTIM INJECTION 150 μG/0.6ML</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L03AA02</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3</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KC00712266</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FILGRASTIM INJECTION 75 μG/0.3ML</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L03AA02</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4</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KC00756265</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GRANOCYTE 250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L03AA10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5</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KC00757255</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GRANOCYTE 100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L03AA10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6</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KC00700216</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ROFERON-A (SOLUTION FOR INJECTION)</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L03AB04</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104.04.01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7</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K000700220</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ROFERON-A (SOLUTION FOR INJECTION)</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L03AB04</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100.12.01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8</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K000700223</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ROFERON-A (SOLUTION FOR INJECTION)</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L03AB04</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100.12.01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9</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KC00589237</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INTRON A MULTIDOSE PEN 15MIU/ML 1.2ML</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L03AB05</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104.02.01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K000650237</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PROLEUKIN FOR INJECTION</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L03AC01</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104.04.01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11</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BC19924221</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PICIBANIL 5KE</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J01CE01</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104.04.01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12</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KC003692BC</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BCG IMMUNOTHERAPEUTIC IMMUCYST</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L03AX03</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104.02.01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13</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BC19316109</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KRESTIN</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L01XX</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104.01.01</w:t>
            </w:r>
          </w:p>
        </w:tc>
      </w:tr>
      <w:tr w:rsidR="00C404CB" w:rsidRPr="00C404CB" w:rsidTr="005F45D4">
        <w:trPr>
          <w:trHeight w:val="330"/>
        </w:trPr>
        <w:tc>
          <w:tcPr>
            <w:tcW w:w="66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14</w:t>
            </w:r>
          </w:p>
        </w:tc>
        <w:tc>
          <w:tcPr>
            <w:tcW w:w="15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AB48969100</w:t>
            </w:r>
          </w:p>
        </w:tc>
        <w:tc>
          <w:tcPr>
            <w:tcW w:w="518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rPr>
                <w:rFonts w:ascii="Times New Roman" w:eastAsia="標楷體" w:hAnsi="Times New Roman"/>
                <w:sz w:val="24"/>
                <w:szCs w:val="24"/>
              </w:rPr>
            </w:pPr>
            <w:r w:rsidRPr="00C404CB">
              <w:rPr>
                <w:rFonts w:ascii="Times New Roman" w:eastAsia="標楷體" w:hAnsi="Times New Roman"/>
                <w:sz w:val="24"/>
                <w:szCs w:val="24"/>
              </w:rPr>
              <w:t>THADO CAPSULES 50 MG</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L04AX02</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C404CB" w:rsidRDefault="00C404CB" w:rsidP="00C404CB">
            <w:pPr>
              <w:spacing w:line="0" w:lineRule="atLeast"/>
              <w:jc w:val="center"/>
              <w:rPr>
                <w:rFonts w:ascii="Times New Roman" w:eastAsia="標楷體" w:hAnsi="Times New Roman"/>
                <w:sz w:val="24"/>
                <w:szCs w:val="24"/>
              </w:rPr>
            </w:pPr>
            <w:r w:rsidRPr="00C404CB">
              <w:rPr>
                <w:rFonts w:ascii="Times New Roman" w:eastAsia="標楷體" w:hAnsi="Times New Roman"/>
                <w:sz w:val="24"/>
                <w:szCs w:val="24"/>
              </w:rPr>
              <w:t>104.04.01</w:t>
            </w:r>
          </w:p>
        </w:tc>
      </w:tr>
    </w:tbl>
    <w:p w:rsidR="00C404CB" w:rsidRDefault="00C404CB" w:rsidP="00C404CB">
      <w:pPr>
        <w:pStyle w:val="af4"/>
        <w:spacing w:line="0" w:lineRule="atLeast"/>
        <w:rPr>
          <w:rFonts w:ascii="Times New Roman" w:hAnsi="Times New Roman" w:hint="eastAsia"/>
          <w:sz w:val="20"/>
          <w:szCs w:val="20"/>
        </w:rPr>
      </w:pPr>
    </w:p>
    <w:p w:rsidR="00C404CB" w:rsidRPr="00C404CB" w:rsidRDefault="00C404CB" w:rsidP="00C404CB">
      <w:pPr>
        <w:pStyle w:val="af4"/>
        <w:spacing w:line="0" w:lineRule="atLeast"/>
        <w:rPr>
          <w:rFonts w:ascii="Times New Roman" w:hAnsi="Times New Roman"/>
          <w:b/>
          <w:sz w:val="28"/>
          <w:szCs w:val="28"/>
        </w:rPr>
      </w:pPr>
      <w:r w:rsidRPr="00C404CB">
        <w:rPr>
          <w:rFonts w:ascii="Times New Roman" w:hAnsi="Times New Roman"/>
          <w:b/>
          <w:sz w:val="28"/>
          <w:szCs w:val="28"/>
        </w:rPr>
        <w:t>附表</w:t>
      </w:r>
      <w:r w:rsidRPr="00C404CB">
        <w:rPr>
          <w:rFonts w:ascii="Times New Roman" w:hAnsi="Times New Roman"/>
          <w:b/>
          <w:sz w:val="28"/>
          <w:szCs w:val="28"/>
        </w:rPr>
        <w:t>2</w:t>
      </w:r>
      <w:r w:rsidRPr="00C404CB">
        <w:rPr>
          <w:rFonts w:ascii="Times New Roman" w:hAnsi="Times New Roman"/>
          <w:b/>
          <w:sz w:val="28"/>
          <w:szCs w:val="28"/>
        </w:rPr>
        <w:t>、核實申報新增診療項目</w:t>
      </w:r>
    </w:p>
    <w:tbl>
      <w:tblPr>
        <w:tblW w:w="10930" w:type="dxa"/>
        <w:tblInd w:w="13" w:type="dxa"/>
        <w:tblCellMar>
          <w:left w:w="10" w:type="dxa"/>
          <w:right w:w="10" w:type="dxa"/>
        </w:tblCellMar>
        <w:tblLook w:val="04A0" w:firstRow="1" w:lastRow="0" w:firstColumn="1" w:lastColumn="0" w:noHBand="0" w:noVBand="1"/>
      </w:tblPr>
      <w:tblGrid>
        <w:gridCol w:w="660"/>
        <w:gridCol w:w="1198"/>
        <w:gridCol w:w="4253"/>
        <w:gridCol w:w="1134"/>
        <w:gridCol w:w="1701"/>
        <w:gridCol w:w="1984"/>
      </w:tblGrid>
      <w:tr w:rsidR="00C404CB" w:rsidRPr="00C404CB" w:rsidTr="005F45D4">
        <w:trPr>
          <w:trHeight w:val="330"/>
        </w:trPr>
        <w:tc>
          <w:tcPr>
            <w:tcW w:w="660"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序號</w:t>
            </w:r>
          </w:p>
        </w:tc>
        <w:tc>
          <w:tcPr>
            <w:tcW w:w="1198"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醫令代碼</w:t>
            </w:r>
          </w:p>
        </w:tc>
        <w:tc>
          <w:tcPr>
            <w:tcW w:w="4253"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診療項目</w:t>
            </w:r>
          </w:p>
        </w:tc>
        <w:tc>
          <w:tcPr>
            <w:tcW w:w="1134"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支付點數</w:t>
            </w:r>
          </w:p>
        </w:tc>
        <w:tc>
          <w:tcPr>
            <w:tcW w:w="1701"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核實申報起日</w:t>
            </w:r>
          </w:p>
        </w:tc>
        <w:tc>
          <w:tcPr>
            <w:tcW w:w="1984"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核實申報迄日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33142B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膠囊內視鏡術</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18,317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105</w:t>
            </w:r>
            <w:r w:rsidRPr="005F45D4">
              <w:rPr>
                <w:rFonts w:ascii="Times New Roman" w:eastAsia="標楷體" w:hAnsi="Times New Roman"/>
                <w:color w:val="000000"/>
                <w:sz w:val="24"/>
                <w:szCs w:val="24"/>
              </w:rPr>
              <w:t>年</w:t>
            </w:r>
            <w:r w:rsidRPr="005F45D4">
              <w:rPr>
                <w:rFonts w:ascii="Times New Roman" w:eastAsia="標楷體" w:hAnsi="Times New Roman"/>
                <w:color w:val="000000"/>
                <w:sz w:val="24"/>
                <w:szCs w:val="24"/>
              </w:rPr>
              <w:t>1</w:t>
            </w:r>
            <w:r w:rsidRPr="005F45D4">
              <w:rPr>
                <w:rFonts w:ascii="Times New Roman" w:eastAsia="標楷體" w:hAnsi="Times New Roman"/>
                <w:color w:val="000000"/>
                <w:sz w:val="24"/>
                <w:szCs w:val="24"/>
              </w:rPr>
              <w:t>月</w:t>
            </w:r>
            <w:r w:rsidRPr="005F45D4">
              <w:rPr>
                <w:rFonts w:ascii="Times New Roman" w:eastAsia="標楷體" w:hAnsi="Times New Roman"/>
                <w:color w:val="000000"/>
                <w:sz w:val="24"/>
                <w:szCs w:val="24"/>
              </w:rPr>
              <w:t>1</w:t>
            </w:r>
            <w:r w:rsidRPr="005F45D4">
              <w:rPr>
                <w:rFonts w:ascii="Times New Roman" w:eastAsia="標楷體" w:hAnsi="Times New Roman"/>
                <w:color w:val="000000"/>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C404CB" w:rsidRPr="005F45D4" w:rsidRDefault="00C404CB" w:rsidP="005F45D4">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106</w:t>
            </w:r>
            <w:r w:rsidRPr="005F45D4">
              <w:rPr>
                <w:rFonts w:ascii="Times New Roman" w:eastAsia="標楷體" w:hAnsi="Times New Roman"/>
                <w:color w:val="000000"/>
                <w:sz w:val="24"/>
                <w:szCs w:val="24"/>
              </w:rPr>
              <w:t>年</w:t>
            </w:r>
            <w:r w:rsidRPr="005F45D4">
              <w:rPr>
                <w:rFonts w:ascii="Times New Roman" w:eastAsia="標楷體" w:hAnsi="Times New Roman"/>
                <w:color w:val="000000"/>
                <w:sz w:val="24"/>
                <w:szCs w:val="24"/>
              </w:rPr>
              <w:t>12</w:t>
            </w:r>
            <w:r w:rsidRPr="005F45D4">
              <w:rPr>
                <w:rFonts w:ascii="Times New Roman" w:eastAsia="標楷體" w:hAnsi="Times New Roman"/>
                <w:color w:val="000000"/>
                <w:sz w:val="24"/>
                <w:szCs w:val="24"/>
              </w:rPr>
              <w:t>月</w:t>
            </w:r>
            <w:r w:rsidRPr="005F45D4">
              <w:rPr>
                <w:rFonts w:ascii="Times New Roman" w:eastAsia="標楷體" w:hAnsi="Times New Roman"/>
                <w:color w:val="000000"/>
                <w:sz w:val="24"/>
                <w:szCs w:val="24"/>
              </w:rPr>
              <w:t>31</w:t>
            </w:r>
            <w:r w:rsidRPr="005F45D4">
              <w:rPr>
                <w:rFonts w:ascii="Times New Roman" w:eastAsia="標楷體" w:hAnsi="Times New Roman"/>
                <w:color w:val="000000"/>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2</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53034B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角膜處理費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15,897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106</w:t>
            </w:r>
            <w:r w:rsidRPr="005F45D4">
              <w:rPr>
                <w:rFonts w:ascii="Times New Roman" w:eastAsia="標楷體" w:hAnsi="Times New Roman"/>
                <w:color w:val="000000"/>
                <w:sz w:val="24"/>
                <w:szCs w:val="24"/>
              </w:rPr>
              <w:t>年</w:t>
            </w:r>
            <w:r w:rsidRPr="005F45D4">
              <w:rPr>
                <w:rFonts w:ascii="Times New Roman" w:eastAsia="標楷體" w:hAnsi="Times New Roman"/>
                <w:color w:val="000000"/>
                <w:sz w:val="24"/>
                <w:szCs w:val="24"/>
              </w:rPr>
              <w:t>1</w:t>
            </w:r>
            <w:r w:rsidRPr="005F45D4">
              <w:rPr>
                <w:rFonts w:ascii="Times New Roman" w:eastAsia="標楷體" w:hAnsi="Times New Roman"/>
                <w:color w:val="000000"/>
                <w:sz w:val="24"/>
                <w:szCs w:val="24"/>
              </w:rPr>
              <w:t>月</w:t>
            </w:r>
            <w:r w:rsidRPr="005F45D4">
              <w:rPr>
                <w:rFonts w:ascii="Times New Roman" w:eastAsia="標楷體" w:hAnsi="Times New Roman"/>
                <w:color w:val="000000"/>
                <w:sz w:val="24"/>
                <w:szCs w:val="24"/>
              </w:rPr>
              <w:t>1</w:t>
            </w:r>
            <w:r w:rsidRPr="005F45D4">
              <w:rPr>
                <w:rFonts w:ascii="Times New Roman" w:eastAsia="標楷體" w:hAnsi="Times New Roman"/>
                <w:color w:val="000000"/>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C404CB" w:rsidRPr="005F45D4" w:rsidRDefault="00C404CB" w:rsidP="005F45D4">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107</w:t>
            </w:r>
            <w:r w:rsidRPr="005F45D4">
              <w:rPr>
                <w:rFonts w:ascii="Times New Roman" w:eastAsia="標楷體" w:hAnsi="Times New Roman"/>
                <w:color w:val="000000"/>
                <w:sz w:val="24"/>
                <w:szCs w:val="24"/>
              </w:rPr>
              <w:t>年</w:t>
            </w:r>
            <w:r w:rsidRPr="005F45D4">
              <w:rPr>
                <w:rFonts w:ascii="Times New Roman" w:eastAsia="標楷體" w:hAnsi="Times New Roman"/>
                <w:color w:val="000000"/>
                <w:sz w:val="24"/>
                <w:szCs w:val="24"/>
              </w:rPr>
              <w:t>12</w:t>
            </w:r>
            <w:r w:rsidRPr="005F45D4">
              <w:rPr>
                <w:rFonts w:ascii="Times New Roman" w:eastAsia="標楷體" w:hAnsi="Times New Roman"/>
                <w:color w:val="000000"/>
                <w:sz w:val="24"/>
                <w:szCs w:val="24"/>
              </w:rPr>
              <w:t>月</w:t>
            </w:r>
            <w:r w:rsidRPr="005F45D4">
              <w:rPr>
                <w:rFonts w:ascii="Times New Roman" w:eastAsia="標楷體" w:hAnsi="Times New Roman"/>
                <w:color w:val="000000"/>
                <w:sz w:val="24"/>
                <w:szCs w:val="24"/>
              </w:rPr>
              <w:t>31</w:t>
            </w:r>
            <w:r w:rsidRPr="005F45D4">
              <w:rPr>
                <w:rFonts w:ascii="Times New Roman" w:eastAsia="標楷體" w:hAnsi="Times New Roman"/>
                <w:color w:val="000000"/>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47102B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心室輔助器置放後，第二天起之每日照護費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3,486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3</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30523B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多管腔食道內阻抗及酸鹼度測定</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13,848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3</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5</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13028B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困難梭狀桿菌抗原快速檢驗（</w:t>
            </w:r>
            <w:r w:rsidRPr="005F45D4">
              <w:rPr>
                <w:rFonts w:ascii="Times New Roman" w:eastAsia="標楷體" w:hAnsi="Times New Roman"/>
                <w:sz w:val="24"/>
                <w:szCs w:val="24"/>
              </w:rPr>
              <w:t>GDH</w:t>
            </w:r>
            <w:r w:rsidRPr="005F45D4">
              <w:rPr>
                <w:rFonts w:ascii="Times New Roman" w:eastAsia="標楷體"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402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3</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13029B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困難梭狀桿菌毒素</w:t>
            </w:r>
            <w:r w:rsidRPr="005F45D4">
              <w:rPr>
                <w:rFonts w:ascii="Times New Roman" w:eastAsia="標楷體" w:hAnsi="Times New Roman"/>
                <w:sz w:val="24"/>
                <w:szCs w:val="24"/>
              </w:rPr>
              <w:t>A</w:t>
            </w:r>
            <w:r w:rsidRPr="005F45D4">
              <w:rPr>
                <w:rFonts w:ascii="Times New Roman" w:eastAsia="標楷體" w:hAnsi="Times New Roman"/>
                <w:sz w:val="24"/>
                <w:szCs w:val="24"/>
              </w:rPr>
              <w:t>、</w:t>
            </w:r>
            <w:r w:rsidRPr="005F45D4">
              <w:rPr>
                <w:rFonts w:ascii="Times New Roman" w:eastAsia="標楷體" w:hAnsi="Times New Roman"/>
                <w:sz w:val="24"/>
                <w:szCs w:val="24"/>
              </w:rPr>
              <w:t>B</w:t>
            </w:r>
            <w:r w:rsidRPr="005F45D4">
              <w:rPr>
                <w:rFonts w:ascii="Times New Roman" w:eastAsia="標楷體" w:hAnsi="Times New Roman"/>
                <w:sz w:val="24"/>
                <w:szCs w:val="24"/>
              </w:rPr>
              <w:t>快速檢驗（</w:t>
            </w:r>
            <w:r w:rsidRPr="005F45D4">
              <w:rPr>
                <w:rFonts w:ascii="Times New Roman" w:eastAsia="標楷體" w:hAnsi="Times New Roman"/>
                <w:sz w:val="24"/>
                <w:szCs w:val="24"/>
              </w:rPr>
              <w:t>Toxin A/B</w:t>
            </w:r>
            <w:r w:rsidRPr="005F45D4">
              <w:rPr>
                <w:rFonts w:ascii="Times New Roman" w:eastAsia="標楷體"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402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3</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r w:rsidR="00C404CB" w:rsidRPr="00C404CB" w:rsidTr="005F45D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7</w:t>
            </w:r>
          </w:p>
        </w:tc>
        <w:tc>
          <w:tcPr>
            <w:tcW w:w="119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68040B</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經導管主動脈瓣膜置換術</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96,975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3</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404CB" w:rsidRPr="005F45D4" w:rsidRDefault="00C404CB" w:rsidP="005F45D4">
            <w:pPr>
              <w:spacing w:line="0" w:lineRule="atLeast"/>
              <w:rPr>
                <w:rFonts w:ascii="Times New Roman" w:eastAsia="標楷體" w:hAnsi="Times New Roman"/>
                <w:sz w:val="24"/>
                <w:szCs w:val="24"/>
              </w:rPr>
            </w:pPr>
            <w:r w:rsidRPr="005F45D4">
              <w:rPr>
                <w:rFonts w:ascii="Times New Roman" w:eastAsia="標楷體" w:hAnsi="Times New Roman"/>
                <w:sz w:val="24"/>
                <w:szCs w:val="24"/>
              </w:rPr>
              <w:t>107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bl>
    <w:p w:rsidR="00C404CB" w:rsidRDefault="00C404CB" w:rsidP="00C404CB">
      <w:pPr>
        <w:pStyle w:val="af4"/>
        <w:spacing w:line="0" w:lineRule="atLeast"/>
        <w:rPr>
          <w:rFonts w:ascii="Times New Roman" w:hAnsi="Times New Roman" w:hint="eastAsia"/>
          <w:b/>
          <w:sz w:val="28"/>
          <w:szCs w:val="28"/>
        </w:rPr>
      </w:pPr>
    </w:p>
    <w:p w:rsidR="00C404CB" w:rsidRPr="00C404CB" w:rsidRDefault="00C404CB" w:rsidP="00C404CB">
      <w:pPr>
        <w:pStyle w:val="af4"/>
        <w:spacing w:line="0" w:lineRule="atLeast"/>
        <w:rPr>
          <w:rFonts w:ascii="Times New Roman" w:hAnsi="Times New Roman"/>
          <w:b/>
          <w:sz w:val="28"/>
          <w:szCs w:val="28"/>
        </w:rPr>
      </w:pPr>
      <w:r w:rsidRPr="00C404CB">
        <w:rPr>
          <w:rFonts w:ascii="Times New Roman" w:hAnsi="Times New Roman"/>
          <w:b/>
          <w:sz w:val="28"/>
          <w:szCs w:val="28"/>
        </w:rPr>
        <w:t>附表</w:t>
      </w:r>
      <w:r w:rsidRPr="00C404CB">
        <w:rPr>
          <w:rFonts w:ascii="Times New Roman" w:hAnsi="Times New Roman"/>
          <w:b/>
          <w:sz w:val="28"/>
          <w:szCs w:val="28"/>
        </w:rPr>
        <w:t>3</w:t>
      </w:r>
      <w:r w:rsidRPr="00C404CB">
        <w:rPr>
          <w:rFonts w:ascii="Times New Roman" w:hAnsi="Times New Roman"/>
          <w:b/>
          <w:sz w:val="28"/>
          <w:szCs w:val="28"/>
        </w:rPr>
        <w:t>、核實申報既有品項之改良功能特材項目</w:t>
      </w:r>
    </w:p>
    <w:tbl>
      <w:tblPr>
        <w:tblW w:w="10930" w:type="dxa"/>
        <w:tblInd w:w="13" w:type="dxa"/>
        <w:tblCellMar>
          <w:left w:w="10" w:type="dxa"/>
          <w:right w:w="10" w:type="dxa"/>
        </w:tblCellMar>
        <w:tblLook w:val="04A0" w:firstRow="1" w:lastRow="0" w:firstColumn="1" w:lastColumn="0" w:noHBand="0" w:noVBand="1"/>
      </w:tblPr>
      <w:tblGrid>
        <w:gridCol w:w="582"/>
        <w:gridCol w:w="1857"/>
        <w:gridCol w:w="3672"/>
        <w:gridCol w:w="1134"/>
        <w:gridCol w:w="1701"/>
        <w:gridCol w:w="1984"/>
      </w:tblGrid>
      <w:tr w:rsidR="00C404CB" w:rsidRPr="00C404CB" w:rsidTr="005F45D4">
        <w:trPr>
          <w:trHeight w:val="330"/>
          <w:tblHead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序號</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特材代碼</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特材品項</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支付點數</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核實申報起日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核實申報迄日</w:t>
            </w:r>
          </w:p>
        </w:tc>
      </w:tr>
      <w:tr w:rsidR="00C404CB" w:rsidRPr="00C404CB" w:rsidTr="005F45D4">
        <w:trPr>
          <w:trHeight w:val="330"/>
        </w:trPr>
        <w:tc>
          <w:tcPr>
            <w:tcW w:w="58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w:t>
            </w:r>
          </w:p>
        </w:tc>
        <w:tc>
          <w:tcPr>
            <w:tcW w:w="185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SAU08030812C</w:t>
            </w:r>
          </w:p>
        </w:tc>
        <w:tc>
          <w:tcPr>
            <w:tcW w:w="367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柯惠</w:t>
            </w:r>
            <w:r w:rsidRPr="005F45D4">
              <w:rPr>
                <w:rFonts w:ascii="Times New Roman" w:eastAsia="標楷體" w:hAnsi="Times New Roman"/>
                <w:sz w:val="24"/>
                <w:szCs w:val="24"/>
              </w:rPr>
              <w:t xml:space="preserve">" </w:t>
            </w:r>
            <w:r w:rsidRPr="005F45D4">
              <w:rPr>
                <w:rFonts w:ascii="Times New Roman" w:eastAsia="標楷體" w:hAnsi="Times New Roman"/>
                <w:sz w:val="24"/>
                <w:szCs w:val="24"/>
              </w:rPr>
              <w:t>內視鏡</w:t>
            </w:r>
            <w:r w:rsidRPr="005F45D4">
              <w:rPr>
                <w:rFonts w:ascii="Times New Roman" w:eastAsia="標楷體" w:hAnsi="Times New Roman"/>
                <w:sz w:val="24"/>
                <w:szCs w:val="24"/>
              </w:rPr>
              <w:t>GIA</w:t>
            </w:r>
            <w:r w:rsidRPr="005F45D4">
              <w:rPr>
                <w:rFonts w:ascii="Times New Roman" w:eastAsia="標楷體" w:hAnsi="Times New Roman"/>
                <w:sz w:val="24"/>
                <w:szCs w:val="24"/>
              </w:rPr>
              <w:t>自動手術縫合器及縫合釘</w:t>
            </w:r>
            <w:r w:rsidRPr="005F45D4">
              <w:rPr>
                <w:rFonts w:ascii="Times New Roman" w:eastAsia="標楷體" w:hAnsi="Times New Roman"/>
                <w:sz w:val="24"/>
                <w:szCs w:val="24"/>
              </w:rPr>
              <w:t>-</w:t>
            </w:r>
            <w:r w:rsidRPr="005F45D4">
              <w:rPr>
                <w:rFonts w:ascii="Times New Roman" w:eastAsia="標楷體" w:hAnsi="Times New Roman"/>
                <w:sz w:val="24"/>
                <w:szCs w:val="24"/>
              </w:rPr>
              <w:t>縫合器</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C404C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00717CAB" w:rsidRPr="00717CAB">
              <w:rPr>
                <w:rFonts w:ascii="Times New Roman" w:eastAsia="標楷體" w:hAnsi="Times New Roman" w:hint="eastAsia"/>
                <w:color w:val="0000FF"/>
                <w:sz w:val="24"/>
                <w:szCs w:val="24"/>
                <w:u w:val="single"/>
              </w:rPr>
              <w:t>7</w:t>
            </w:r>
            <w:r w:rsidRPr="005F45D4">
              <w:rPr>
                <w:rFonts w:ascii="Times New Roman" w:eastAsia="標楷體" w:hAnsi="Times New Roman"/>
                <w:sz w:val="24"/>
                <w:szCs w:val="24"/>
              </w:rPr>
              <w:t>年</w:t>
            </w:r>
            <w:r w:rsidRPr="005F45D4">
              <w:rPr>
                <w:rFonts w:ascii="Times New Roman" w:eastAsia="標楷體" w:hAnsi="Times New Roman"/>
                <w:sz w:val="24"/>
                <w:szCs w:val="24"/>
              </w:rPr>
              <w:t>12</w:t>
            </w:r>
            <w:r w:rsidRPr="005F45D4">
              <w:rPr>
                <w:rFonts w:ascii="Times New Roman" w:eastAsia="標楷體" w:hAnsi="Times New Roman"/>
                <w:sz w:val="24"/>
                <w:szCs w:val="24"/>
              </w:rPr>
              <w:t>月</w:t>
            </w:r>
            <w:r w:rsidRPr="005F45D4">
              <w:rPr>
                <w:rFonts w:ascii="Times New Roman" w:eastAsia="標楷體" w:hAnsi="Times New Roman"/>
                <w:sz w:val="24"/>
                <w:szCs w:val="24"/>
              </w:rPr>
              <w:t>31</w:t>
            </w:r>
            <w:r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SAU08030442C</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柯惠</w:t>
            </w:r>
            <w:r w:rsidRPr="005F45D4">
              <w:rPr>
                <w:rFonts w:ascii="Times New Roman" w:eastAsia="標楷體" w:hAnsi="Times New Roman"/>
                <w:sz w:val="24"/>
                <w:szCs w:val="24"/>
              </w:rPr>
              <w:t>" GIA</w:t>
            </w:r>
            <w:r w:rsidRPr="005F45D4">
              <w:rPr>
                <w:rFonts w:ascii="Times New Roman" w:eastAsia="標楷體" w:hAnsi="Times New Roman"/>
                <w:sz w:val="24"/>
                <w:szCs w:val="24"/>
              </w:rPr>
              <w:t>內視鏡自動手術縫合器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SAU08UN1XL2C</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柯惠</w:t>
            </w:r>
            <w:r w:rsidRPr="005F45D4">
              <w:rPr>
                <w:rFonts w:ascii="Times New Roman" w:eastAsia="標楷體" w:hAnsi="Times New Roman"/>
                <w:sz w:val="24"/>
                <w:szCs w:val="24"/>
              </w:rPr>
              <w:t xml:space="preserve">" </w:t>
            </w:r>
            <w:r w:rsidRPr="005F45D4">
              <w:rPr>
                <w:rFonts w:ascii="Times New Roman" w:eastAsia="標楷體" w:hAnsi="Times New Roman"/>
                <w:sz w:val="24"/>
                <w:szCs w:val="24"/>
              </w:rPr>
              <w:t>內視鏡自動手術縫合器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SAU08ULTRA2C</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柯惠</w:t>
            </w:r>
            <w:r w:rsidRPr="005F45D4">
              <w:rPr>
                <w:rFonts w:ascii="Times New Roman" w:eastAsia="標楷體" w:hAnsi="Times New Roman"/>
                <w:sz w:val="24"/>
                <w:szCs w:val="24"/>
              </w:rPr>
              <w:t xml:space="preserve">" </w:t>
            </w:r>
            <w:r w:rsidRPr="005F45D4">
              <w:rPr>
                <w:rFonts w:ascii="Times New Roman" w:eastAsia="標楷體" w:hAnsi="Times New Roman"/>
                <w:sz w:val="24"/>
                <w:szCs w:val="24"/>
              </w:rPr>
              <w:t>內視鏡自動手術縫合槍及縫合釘</w:t>
            </w:r>
            <w:r w:rsidRPr="005F45D4">
              <w:rPr>
                <w:rFonts w:ascii="Times New Roman" w:eastAsia="標楷體" w:hAnsi="Times New Roman"/>
                <w:sz w:val="24"/>
                <w:szCs w:val="24"/>
              </w:rPr>
              <w:t>-</w:t>
            </w:r>
            <w:r w:rsidRPr="005F45D4">
              <w:rPr>
                <w:rFonts w:ascii="Times New Roman" w:eastAsia="標楷體" w:hAnsi="Times New Roman"/>
                <w:sz w:val="24"/>
                <w:szCs w:val="24"/>
              </w:rPr>
              <w:t>縫合槍</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5</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SAU08ETS45ET</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愛惜康</w:t>
            </w:r>
            <w:r w:rsidRPr="005F45D4">
              <w:rPr>
                <w:rFonts w:ascii="Times New Roman" w:eastAsia="標楷體" w:hAnsi="Times New Roman"/>
                <w:sz w:val="24"/>
                <w:szCs w:val="24"/>
              </w:rPr>
              <w:t>"</w:t>
            </w:r>
            <w:r w:rsidRPr="005F45D4">
              <w:rPr>
                <w:rFonts w:ascii="Times New Roman" w:eastAsia="標楷體" w:hAnsi="Times New Roman"/>
                <w:sz w:val="24"/>
                <w:szCs w:val="24"/>
              </w:rPr>
              <w:t>安德派思切割縫合器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SAU08EEC45ET</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愛惜康</w:t>
            </w:r>
            <w:r w:rsidRPr="005F45D4">
              <w:rPr>
                <w:rFonts w:ascii="Times New Roman" w:eastAsia="標楷體" w:hAnsi="Times New Roman"/>
                <w:sz w:val="24"/>
                <w:szCs w:val="24"/>
              </w:rPr>
              <w:t>"</w:t>
            </w:r>
            <w:r w:rsidRPr="005F45D4">
              <w:rPr>
                <w:rFonts w:ascii="Times New Roman" w:eastAsia="標楷體" w:hAnsi="Times New Roman"/>
                <w:sz w:val="24"/>
                <w:szCs w:val="24"/>
              </w:rPr>
              <w:t>愛喜龍</w:t>
            </w:r>
            <w:r w:rsidRPr="005F45D4">
              <w:rPr>
                <w:rFonts w:ascii="Times New Roman" w:eastAsia="標楷體" w:hAnsi="Times New Roman"/>
                <w:sz w:val="24"/>
                <w:szCs w:val="24"/>
              </w:rPr>
              <w:t xml:space="preserve"> 45 </w:t>
            </w:r>
            <w:r w:rsidRPr="005F45D4">
              <w:rPr>
                <w:rFonts w:ascii="Times New Roman" w:eastAsia="標楷體" w:hAnsi="Times New Roman"/>
                <w:sz w:val="24"/>
                <w:szCs w:val="24"/>
              </w:rPr>
              <w:t>安德派思縫合器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7</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SAU08EEC60ET</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愛惜康</w:t>
            </w:r>
            <w:r w:rsidRPr="005F45D4">
              <w:rPr>
                <w:rFonts w:ascii="Times New Roman" w:eastAsia="標楷體" w:hAnsi="Times New Roman"/>
                <w:sz w:val="24"/>
                <w:szCs w:val="24"/>
              </w:rPr>
              <w:t>"</w:t>
            </w:r>
            <w:r w:rsidRPr="005F45D4">
              <w:rPr>
                <w:rFonts w:ascii="Times New Roman" w:eastAsia="標楷體" w:hAnsi="Times New Roman"/>
                <w:sz w:val="24"/>
                <w:szCs w:val="24"/>
              </w:rPr>
              <w:t>愛喜龍安德派思縫合器</w:t>
            </w:r>
            <w:r w:rsidRPr="005F45D4">
              <w:rPr>
                <w:rFonts w:ascii="Times New Roman" w:eastAsia="標楷體" w:hAnsi="Times New Roman"/>
                <w:sz w:val="24"/>
                <w:szCs w:val="24"/>
              </w:rPr>
              <w:t>(60)</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8</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SAU08ECFLEET</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愛惜康</w:t>
            </w:r>
            <w:r w:rsidRPr="005F45D4">
              <w:rPr>
                <w:rFonts w:ascii="Times New Roman" w:eastAsia="標楷體" w:hAnsi="Times New Roman"/>
                <w:sz w:val="24"/>
                <w:szCs w:val="24"/>
              </w:rPr>
              <w:t>"</w:t>
            </w:r>
            <w:r w:rsidRPr="005F45D4">
              <w:rPr>
                <w:rFonts w:ascii="Times New Roman" w:eastAsia="標楷體" w:hAnsi="Times New Roman"/>
                <w:sz w:val="24"/>
                <w:szCs w:val="24"/>
              </w:rPr>
              <w:t>愛喜龍弗雷斯安德派思可彎式縫合器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9</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SAU08TA30S2C</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柯惠</w:t>
            </w:r>
            <w:r w:rsidRPr="005F45D4">
              <w:rPr>
                <w:rFonts w:ascii="Times New Roman" w:eastAsia="標楷體" w:hAnsi="Times New Roman"/>
                <w:sz w:val="24"/>
                <w:szCs w:val="24"/>
              </w:rPr>
              <w:t>"TA</w:t>
            </w:r>
            <w:r w:rsidRPr="005F45D4">
              <w:rPr>
                <w:rFonts w:ascii="Times New Roman" w:eastAsia="標楷體" w:hAnsi="Times New Roman"/>
                <w:sz w:val="24"/>
                <w:szCs w:val="24"/>
              </w:rPr>
              <w:t>自動手術縫合器及縫合釘</w:t>
            </w:r>
            <w:r w:rsidRPr="005F45D4">
              <w:rPr>
                <w:rFonts w:ascii="Times New Roman" w:eastAsia="標楷體" w:hAnsi="Times New Roman"/>
                <w:sz w:val="24"/>
                <w:szCs w:val="24"/>
              </w:rPr>
              <w:t>-</w:t>
            </w:r>
            <w:r w:rsidRPr="005F45D4">
              <w:rPr>
                <w:rFonts w:ascii="Times New Roman" w:eastAsia="標楷體" w:hAnsi="Times New Roman"/>
                <w:sz w:val="24"/>
                <w:szCs w:val="24"/>
              </w:rPr>
              <w:t>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6,589</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SAU08TX30VET</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愛惜康</w:t>
            </w:r>
            <w:r w:rsidRPr="005F45D4">
              <w:rPr>
                <w:rFonts w:ascii="Times New Roman" w:eastAsia="標楷體" w:hAnsi="Times New Roman"/>
                <w:sz w:val="24"/>
                <w:szCs w:val="24"/>
              </w:rPr>
              <w:t>"</w:t>
            </w:r>
            <w:r w:rsidRPr="005F45D4">
              <w:rPr>
                <w:rFonts w:ascii="Times New Roman" w:eastAsia="標楷體" w:hAnsi="Times New Roman"/>
                <w:sz w:val="24"/>
                <w:szCs w:val="24"/>
              </w:rPr>
              <w:t>普路善美縫合器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6,589</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105</w:t>
            </w:r>
            <w:r w:rsidRPr="005F45D4">
              <w:rPr>
                <w:rFonts w:ascii="Times New Roman" w:eastAsia="標楷體" w:hAnsi="Times New Roman"/>
                <w:sz w:val="24"/>
                <w:szCs w:val="24"/>
              </w:rPr>
              <w:t>年</w:t>
            </w:r>
            <w:r w:rsidRPr="005F45D4">
              <w:rPr>
                <w:rFonts w:ascii="Times New Roman" w:eastAsia="標楷體" w:hAnsi="Times New Roman"/>
                <w:sz w:val="24"/>
                <w:szCs w:val="24"/>
              </w:rPr>
              <w:t>4</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sz w:val="24"/>
                <w:szCs w:val="24"/>
              </w:rPr>
              <w:t>年</w:t>
            </w:r>
            <w:r w:rsidR="00C404CB" w:rsidRPr="005F45D4">
              <w:rPr>
                <w:rFonts w:ascii="Times New Roman" w:eastAsia="標楷體" w:hAnsi="Times New Roman"/>
                <w:sz w:val="24"/>
                <w:szCs w:val="24"/>
              </w:rPr>
              <w:t>12</w:t>
            </w:r>
            <w:r w:rsidR="00C404CB" w:rsidRPr="005F45D4">
              <w:rPr>
                <w:rFonts w:ascii="Times New Roman" w:eastAsia="標楷體" w:hAnsi="Times New Roman"/>
                <w:sz w:val="24"/>
                <w:szCs w:val="24"/>
              </w:rPr>
              <w:t>月</w:t>
            </w:r>
            <w:r w:rsidR="00C404CB" w:rsidRPr="005F45D4">
              <w:rPr>
                <w:rFonts w:ascii="Times New Roman" w:eastAsia="標楷體" w:hAnsi="Times New Roman"/>
                <w:sz w:val="24"/>
                <w:szCs w:val="24"/>
              </w:rPr>
              <w:t>31</w:t>
            </w:r>
            <w:r w:rsidR="00C404CB" w:rsidRPr="005F45D4">
              <w:rPr>
                <w:rFonts w:ascii="Times New Roman" w:eastAsia="標楷體" w:hAnsi="Times New Roman"/>
                <w:sz w:val="24"/>
                <w:szCs w:val="24"/>
              </w:rPr>
              <w:t>日</w:t>
            </w:r>
          </w:p>
        </w:tc>
      </w:tr>
      <w:tr w:rsidR="00C404CB" w:rsidRPr="00C404CB" w:rsidTr="005F45D4">
        <w:trPr>
          <w:trHeight w:val="33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11</w:t>
            </w:r>
          </w:p>
        </w:tc>
        <w:tc>
          <w:tcPr>
            <w:tcW w:w="185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SAU08MLCFNJ8</w:t>
            </w:r>
          </w:p>
        </w:tc>
        <w:tc>
          <w:tcPr>
            <w:tcW w:w="367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color w:val="000000"/>
                <w:sz w:val="24"/>
                <w:szCs w:val="24"/>
              </w:rPr>
            </w:pPr>
            <w:r w:rsidRPr="005F45D4">
              <w:rPr>
                <w:rFonts w:ascii="Times New Roman" w:eastAsia="標楷體" w:hAnsi="Times New Roman"/>
                <w:color w:val="000000"/>
                <w:sz w:val="24"/>
                <w:szCs w:val="24"/>
              </w:rPr>
              <w:t>“</w:t>
            </w:r>
            <w:r w:rsidRPr="005F45D4">
              <w:rPr>
                <w:rFonts w:ascii="Times New Roman" w:eastAsia="標楷體" w:hAnsi="Times New Roman"/>
                <w:color w:val="000000"/>
                <w:sz w:val="24"/>
                <w:szCs w:val="24"/>
              </w:rPr>
              <w:t>南京邁迪欣</w:t>
            </w:r>
            <w:r w:rsidRPr="005F45D4">
              <w:rPr>
                <w:rFonts w:ascii="Times New Roman" w:eastAsia="標楷體" w:hAnsi="Times New Roman"/>
                <w:color w:val="000000"/>
                <w:sz w:val="24"/>
                <w:szCs w:val="24"/>
              </w:rPr>
              <w:t>”</w:t>
            </w:r>
            <w:r w:rsidRPr="005F45D4">
              <w:rPr>
                <w:rFonts w:ascii="Times New Roman" w:eastAsia="標楷體" w:hAnsi="Times New Roman"/>
                <w:color w:val="000000"/>
                <w:sz w:val="24"/>
                <w:szCs w:val="24"/>
              </w:rPr>
              <w:t>一次性使用旋轉切割吻合器</w:t>
            </w:r>
          </w:p>
        </w:tc>
        <w:tc>
          <w:tcPr>
            <w:tcW w:w="113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1,0000</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color w:val="000000"/>
                <w:sz w:val="24"/>
                <w:szCs w:val="24"/>
              </w:rPr>
            </w:pPr>
            <w:r w:rsidRPr="005F45D4">
              <w:rPr>
                <w:rFonts w:ascii="Times New Roman" w:eastAsia="標楷體" w:hAnsi="Times New Roman"/>
                <w:color w:val="000000"/>
                <w:sz w:val="24"/>
                <w:szCs w:val="24"/>
              </w:rPr>
              <w:t>105</w:t>
            </w:r>
            <w:r w:rsidRPr="005F45D4">
              <w:rPr>
                <w:rFonts w:ascii="Times New Roman" w:eastAsia="標楷體" w:hAnsi="Times New Roman"/>
                <w:color w:val="000000"/>
                <w:sz w:val="24"/>
                <w:szCs w:val="24"/>
              </w:rPr>
              <w:t>年</w:t>
            </w:r>
            <w:r w:rsidRPr="005F45D4">
              <w:rPr>
                <w:rFonts w:ascii="Times New Roman" w:eastAsia="標楷體" w:hAnsi="Times New Roman"/>
                <w:color w:val="000000"/>
                <w:sz w:val="24"/>
                <w:szCs w:val="24"/>
              </w:rPr>
              <w:t>9</w:t>
            </w:r>
            <w:r w:rsidRPr="005F45D4">
              <w:rPr>
                <w:rFonts w:ascii="Times New Roman" w:eastAsia="標楷體" w:hAnsi="Times New Roman"/>
                <w:color w:val="000000"/>
                <w:sz w:val="24"/>
                <w:szCs w:val="24"/>
              </w:rPr>
              <w:t>月</w:t>
            </w:r>
            <w:r w:rsidRPr="005F45D4">
              <w:rPr>
                <w:rFonts w:ascii="Times New Roman" w:eastAsia="標楷體" w:hAnsi="Times New Roman"/>
                <w:color w:val="000000"/>
                <w:sz w:val="24"/>
                <w:szCs w:val="24"/>
              </w:rPr>
              <w:t>1</w:t>
            </w:r>
            <w:r w:rsidRPr="005F45D4">
              <w:rPr>
                <w:rFonts w:ascii="Times New Roman" w:eastAsia="標楷體" w:hAnsi="Times New Roman"/>
                <w:color w:val="000000"/>
                <w:sz w:val="24"/>
                <w:szCs w:val="24"/>
              </w:rPr>
              <w:t>日</w:t>
            </w:r>
          </w:p>
        </w:tc>
        <w:tc>
          <w:tcPr>
            <w:tcW w:w="19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04CB" w:rsidRPr="005F45D4" w:rsidRDefault="00717CAB" w:rsidP="005F45D4">
            <w:pPr>
              <w:spacing w:line="0" w:lineRule="atLeast"/>
              <w:jc w:val="center"/>
              <w:rPr>
                <w:rFonts w:ascii="Times New Roman" w:eastAsia="標楷體" w:hAnsi="Times New Roman"/>
                <w:color w:val="000000"/>
                <w:sz w:val="24"/>
                <w:szCs w:val="24"/>
              </w:rPr>
            </w:pPr>
            <w:r w:rsidRPr="00717CAB">
              <w:rPr>
                <w:rFonts w:ascii="Times New Roman" w:eastAsia="標楷體" w:hAnsi="Times New Roman"/>
                <w:color w:val="0000FF"/>
                <w:sz w:val="24"/>
                <w:szCs w:val="24"/>
                <w:u w:val="single"/>
              </w:rPr>
              <w:t>10</w:t>
            </w:r>
            <w:r w:rsidRPr="00717CAB">
              <w:rPr>
                <w:rFonts w:ascii="Times New Roman" w:eastAsia="標楷體" w:hAnsi="Times New Roman" w:hint="eastAsia"/>
                <w:color w:val="0000FF"/>
                <w:sz w:val="24"/>
                <w:szCs w:val="24"/>
                <w:u w:val="single"/>
              </w:rPr>
              <w:t>7</w:t>
            </w:r>
            <w:r w:rsidR="00C404CB" w:rsidRPr="005F45D4">
              <w:rPr>
                <w:rFonts w:ascii="Times New Roman" w:eastAsia="標楷體" w:hAnsi="Times New Roman"/>
                <w:color w:val="000000"/>
                <w:sz w:val="24"/>
                <w:szCs w:val="24"/>
              </w:rPr>
              <w:t>年</w:t>
            </w:r>
            <w:r w:rsidR="00C404CB" w:rsidRPr="005F45D4">
              <w:rPr>
                <w:rFonts w:ascii="Times New Roman" w:eastAsia="標楷體" w:hAnsi="Times New Roman"/>
                <w:color w:val="000000"/>
                <w:sz w:val="24"/>
                <w:szCs w:val="24"/>
              </w:rPr>
              <w:t>12</w:t>
            </w:r>
            <w:r w:rsidR="00C404CB" w:rsidRPr="005F45D4">
              <w:rPr>
                <w:rFonts w:ascii="Times New Roman" w:eastAsia="標楷體" w:hAnsi="Times New Roman"/>
                <w:color w:val="000000"/>
                <w:sz w:val="24"/>
                <w:szCs w:val="24"/>
              </w:rPr>
              <w:t>月</w:t>
            </w:r>
            <w:r w:rsidR="00C404CB" w:rsidRPr="005F45D4">
              <w:rPr>
                <w:rFonts w:ascii="Times New Roman" w:eastAsia="標楷體" w:hAnsi="Times New Roman"/>
                <w:color w:val="000000"/>
                <w:sz w:val="24"/>
                <w:szCs w:val="24"/>
              </w:rPr>
              <w:t>31</w:t>
            </w:r>
            <w:r w:rsidR="00C404CB" w:rsidRPr="005F45D4">
              <w:rPr>
                <w:rFonts w:ascii="Times New Roman" w:eastAsia="標楷體" w:hAnsi="Times New Roman"/>
                <w:color w:val="000000"/>
                <w:sz w:val="24"/>
                <w:szCs w:val="24"/>
              </w:rPr>
              <w:t>日</w:t>
            </w:r>
          </w:p>
        </w:tc>
      </w:tr>
    </w:tbl>
    <w:p w:rsidR="00C404CB" w:rsidRDefault="00C404CB" w:rsidP="00C404CB">
      <w:pPr>
        <w:pStyle w:val="af4"/>
        <w:spacing w:line="0" w:lineRule="atLeast"/>
        <w:rPr>
          <w:rFonts w:ascii="Times New Roman" w:hAnsi="Times New Roman" w:hint="eastAsia"/>
          <w:b/>
          <w:sz w:val="28"/>
          <w:szCs w:val="28"/>
        </w:rPr>
      </w:pPr>
    </w:p>
    <w:p w:rsidR="00C404CB" w:rsidRPr="00C404CB" w:rsidRDefault="00C404CB" w:rsidP="00C404CB">
      <w:pPr>
        <w:pStyle w:val="af4"/>
        <w:spacing w:line="0" w:lineRule="atLeast"/>
        <w:rPr>
          <w:rFonts w:ascii="Times New Roman" w:hAnsi="Times New Roman"/>
          <w:b/>
          <w:sz w:val="28"/>
          <w:szCs w:val="28"/>
        </w:rPr>
      </w:pPr>
      <w:r w:rsidRPr="00C404CB">
        <w:rPr>
          <w:rFonts w:ascii="Times New Roman" w:hAnsi="Times New Roman"/>
          <w:b/>
          <w:sz w:val="28"/>
          <w:szCs w:val="28"/>
        </w:rPr>
        <w:t>附表</w:t>
      </w:r>
      <w:r w:rsidRPr="00C404CB">
        <w:rPr>
          <w:rFonts w:ascii="Times New Roman" w:hAnsi="Times New Roman"/>
          <w:b/>
          <w:sz w:val="28"/>
          <w:szCs w:val="28"/>
        </w:rPr>
        <w:t>4</w:t>
      </w:r>
      <w:r w:rsidRPr="00C404CB">
        <w:rPr>
          <w:rFonts w:ascii="Times New Roman" w:hAnsi="Times New Roman"/>
          <w:b/>
          <w:sz w:val="28"/>
          <w:szCs w:val="28"/>
        </w:rPr>
        <w:t>、得另行核實申報特材項目</w:t>
      </w:r>
    </w:p>
    <w:tbl>
      <w:tblPr>
        <w:tblW w:w="10930" w:type="dxa"/>
        <w:tblInd w:w="13" w:type="dxa"/>
        <w:tblCellMar>
          <w:left w:w="10" w:type="dxa"/>
          <w:right w:w="10" w:type="dxa"/>
        </w:tblCellMar>
        <w:tblLook w:val="04A0" w:firstRow="1" w:lastRow="0" w:firstColumn="1" w:lastColumn="0" w:noHBand="0" w:noVBand="1"/>
      </w:tblPr>
      <w:tblGrid>
        <w:gridCol w:w="673"/>
        <w:gridCol w:w="1854"/>
        <w:gridCol w:w="5143"/>
        <w:gridCol w:w="1417"/>
        <w:gridCol w:w="1843"/>
      </w:tblGrid>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序號</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特材代碼</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特材品項</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支付點數</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核實申報起日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FEC01M10008M</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美樂迪</w:t>
            </w:r>
            <w:r w:rsidRPr="005F45D4">
              <w:rPr>
                <w:rFonts w:ascii="Times New Roman" w:eastAsia="標楷體" w:hAnsi="Times New Roman"/>
                <w:sz w:val="24"/>
                <w:szCs w:val="24"/>
              </w:rPr>
              <w:t>"</w:t>
            </w:r>
            <w:r w:rsidRPr="005F45D4">
              <w:rPr>
                <w:rFonts w:ascii="Times New Roman" w:eastAsia="標楷體" w:hAnsi="Times New Roman"/>
                <w:sz w:val="24"/>
                <w:szCs w:val="24"/>
              </w:rPr>
              <w:t>人工電子耳</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FEC02SPUS28M</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美樂迪</w:t>
            </w:r>
            <w:r w:rsidRPr="005F45D4">
              <w:rPr>
                <w:rFonts w:ascii="Times New Roman" w:eastAsia="標楷體" w:hAnsi="Times New Roman"/>
                <w:sz w:val="24"/>
                <w:szCs w:val="24"/>
              </w:rPr>
              <w:t>"</w:t>
            </w:r>
            <w:r w:rsidRPr="005F45D4">
              <w:rPr>
                <w:rFonts w:ascii="Times New Roman" w:eastAsia="標楷體" w:hAnsi="Times New Roman"/>
                <w:sz w:val="24"/>
                <w:szCs w:val="24"/>
              </w:rPr>
              <w:t>語音處理器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FEC01H901J4V</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艾德尼斯</w:t>
            </w:r>
            <w:r w:rsidRPr="005F45D4">
              <w:rPr>
                <w:rFonts w:ascii="Times New Roman" w:eastAsia="標楷體" w:hAnsi="Times New Roman"/>
                <w:sz w:val="24"/>
                <w:szCs w:val="24"/>
              </w:rPr>
              <w:t>"</w:t>
            </w:r>
            <w:r w:rsidRPr="005F45D4">
              <w:rPr>
                <w:rFonts w:ascii="Times New Roman" w:eastAsia="標楷體" w:hAnsi="Times New Roman"/>
                <w:sz w:val="24"/>
                <w:szCs w:val="24"/>
              </w:rPr>
              <w:t>人工電子耳</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4</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FEC01H90MS4V</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艾德尼斯</w:t>
            </w:r>
            <w:r w:rsidRPr="005F45D4">
              <w:rPr>
                <w:rFonts w:ascii="Times New Roman" w:eastAsia="標楷體" w:hAnsi="Times New Roman"/>
                <w:sz w:val="24"/>
                <w:szCs w:val="24"/>
              </w:rPr>
              <w:t>"</w:t>
            </w:r>
            <w:r w:rsidRPr="005F45D4">
              <w:rPr>
                <w:rFonts w:ascii="Times New Roman" w:eastAsia="標楷體" w:hAnsi="Times New Roman"/>
                <w:sz w:val="24"/>
                <w:szCs w:val="24"/>
              </w:rPr>
              <w:t>人工電子耳</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5</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FEC02C52454V</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艾德尼斯</w:t>
            </w:r>
            <w:r w:rsidRPr="005F45D4">
              <w:rPr>
                <w:rFonts w:ascii="Times New Roman" w:eastAsia="標楷體" w:hAnsi="Times New Roman"/>
                <w:sz w:val="24"/>
                <w:szCs w:val="24"/>
              </w:rPr>
              <w:t>"</w:t>
            </w:r>
            <w:r w:rsidRPr="005F45D4">
              <w:rPr>
                <w:rFonts w:ascii="Times New Roman" w:eastAsia="標楷體" w:hAnsi="Times New Roman"/>
                <w:sz w:val="24"/>
                <w:szCs w:val="24"/>
              </w:rPr>
              <w:t>聲音處理器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6</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FEC02C52404V</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艾德尼斯</w:t>
            </w:r>
            <w:r w:rsidRPr="005F45D4">
              <w:rPr>
                <w:rFonts w:ascii="Times New Roman" w:eastAsia="標楷體" w:hAnsi="Times New Roman"/>
                <w:sz w:val="24"/>
                <w:szCs w:val="24"/>
              </w:rPr>
              <w:t>"</w:t>
            </w:r>
            <w:r w:rsidRPr="005F45D4">
              <w:rPr>
                <w:rFonts w:ascii="Times New Roman" w:eastAsia="標楷體" w:hAnsi="Times New Roman"/>
                <w:sz w:val="24"/>
                <w:szCs w:val="24"/>
              </w:rPr>
              <w:t>尼普頓聲音處理器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7</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FEC01C24RE7C</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可立耳</w:t>
            </w:r>
            <w:r w:rsidRPr="005F45D4">
              <w:rPr>
                <w:rFonts w:ascii="Times New Roman" w:eastAsia="標楷體" w:hAnsi="Times New Roman"/>
                <w:sz w:val="24"/>
                <w:szCs w:val="24"/>
              </w:rPr>
              <w:t>"</w:t>
            </w:r>
            <w:r w:rsidRPr="005F45D4">
              <w:rPr>
                <w:rFonts w:ascii="Times New Roman" w:eastAsia="標楷體" w:hAnsi="Times New Roman"/>
                <w:sz w:val="24"/>
                <w:szCs w:val="24"/>
              </w:rPr>
              <w:t>人工耳蝸植入物</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8</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FEC01C42207C</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可立耳</w:t>
            </w:r>
            <w:r w:rsidRPr="005F45D4">
              <w:rPr>
                <w:rFonts w:ascii="Times New Roman" w:eastAsia="標楷體" w:hAnsi="Times New Roman"/>
                <w:sz w:val="24"/>
                <w:szCs w:val="24"/>
              </w:rPr>
              <w:t>"</w:t>
            </w:r>
            <w:r w:rsidRPr="005F45D4">
              <w:rPr>
                <w:rFonts w:ascii="Times New Roman" w:eastAsia="標楷體" w:hAnsi="Times New Roman"/>
                <w:sz w:val="24"/>
                <w:szCs w:val="24"/>
              </w:rPr>
              <w:t>人工耳蝸植入物</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9</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FEC02CP8107C</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可立耳</w:t>
            </w:r>
            <w:r w:rsidRPr="005F45D4">
              <w:rPr>
                <w:rFonts w:ascii="Times New Roman" w:eastAsia="標楷體" w:hAnsi="Times New Roman"/>
                <w:sz w:val="24"/>
                <w:szCs w:val="24"/>
              </w:rPr>
              <w:t>"</w:t>
            </w:r>
            <w:r w:rsidRPr="005F45D4">
              <w:rPr>
                <w:rFonts w:ascii="Times New Roman" w:eastAsia="標楷體" w:hAnsi="Times New Roman"/>
                <w:sz w:val="24"/>
                <w:szCs w:val="24"/>
              </w:rPr>
              <w:t>人工耳蝸植入系統</w:t>
            </w:r>
            <w:r w:rsidRPr="005F45D4">
              <w:rPr>
                <w:rFonts w:ascii="Times New Roman" w:eastAsia="標楷體" w:hAnsi="Times New Roman"/>
                <w:sz w:val="24"/>
                <w:szCs w:val="24"/>
              </w:rPr>
              <w:t>-</w:t>
            </w:r>
            <w:r w:rsidRPr="005F45D4">
              <w:rPr>
                <w:rFonts w:ascii="Times New Roman" w:eastAsia="標楷體" w:hAnsi="Times New Roman"/>
                <w:sz w:val="24"/>
                <w:szCs w:val="24"/>
              </w:rPr>
              <w:t>語言處理器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FEC01M12008M</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w:t>
            </w:r>
            <w:r w:rsidRPr="005F45D4">
              <w:rPr>
                <w:rFonts w:ascii="Times New Roman" w:eastAsia="標楷體" w:hAnsi="Times New Roman"/>
                <w:sz w:val="24"/>
                <w:szCs w:val="24"/>
              </w:rPr>
              <w:t>美樂迪</w:t>
            </w:r>
            <w:r w:rsidRPr="005F45D4">
              <w:rPr>
                <w:rFonts w:ascii="Times New Roman" w:eastAsia="標楷體" w:hAnsi="Times New Roman"/>
                <w:sz w:val="24"/>
                <w:szCs w:val="24"/>
              </w:rPr>
              <w:t>"</w:t>
            </w:r>
            <w:r w:rsidRPr="005F45D4">
              <w:rPr>
                <w:rFonts w:ascii="Times New Roman" w:eastAsia="標楷體" w:hAnsi="Times New Roman"/>
                <w:sz w:val="24"/>
                <w:szCs w:val="24"/>
              </w:rPr>
              <w:t>人工電子耳</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334,409</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11</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FEC02SNEAS8M</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美樂迪聲音處理器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r w:rsidR="00C404CB" w:rsidRPr="005F45D4" w:rsidTr="005F45D4">
        <w:trPr>
          <w:trHeight w:val="330"/>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12</w:t>
            </w:r>
          </w:p>
        </w:tc>
        <w:tc>
          <w:tcPr>
            <w:tcW w:w="185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FEC02RND008M</w:t>
            </w:r>
          </w:p>
        </w:tc>
        <w:tc>
          <w:tcPr>
            <w:tcW w:w="51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rPr>
                <w:rFonts w:ascii="Times New Roman" w:eastAsia="標楷體" w:hAnsi="Times New Roman"/>
                <w:sz w:val="24"/>
                <w:szCs w:val="24"/>
              </w:rPr>
            </w:pPr>
            <w:r w:rsidRPr="005F45D4">
              <w:rPr>
                <w:rFonts w:ascii="Times New Roman" w:eastAsia="標楷體" w:hAnsi="Times New Roman"/>
                <w:sz w:val="24"/>
                <w:szCs w:val="24"/>
              </w:rPr>
              <w:t>美樂迪聲音處理器</w:t>
            </w:r>
          </w:p>
        </w:tc>
        <w:tc>
          <w:tcPr>
            <w:tcW w:w="14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265,664</w:t>
            </w: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C404CB" w:rsidRPr="005F45D4" w:rsidRDefault="00C404CB" w:rsidP="00C404CB">
            <w:pPr>
              <w:spacing w:line="0" w:lineRule="atLeast"/>
              <w:jc w:val="center"/>
              <w:rPr>
                <w:rFonts w:ascii="Times New Roman" w:eastAsia="標楷體" w:hAnsi="Times New Roman"/>
                <w:sz w:val="24"/>
                <w:szCs w:val="24"/>
              </w:rPr>
            </w:pPr>
            <w:r w:rsidRPr="005F45D4">
              <w:rPr>
                <w:rFonts w:ascii="Times New Roman" w:eastAsia="標楷體" w:hAnsi="Times New Roman"/>
                <w:sz w:val="24"/>
                <w:szCs w:val="24"/>
              </w:rPr>
              <w:t>106</w:t>
            </w:r>
            <w:r w:rsidRPr="005F45D4">
              <w:rPr>
                <w:rFonts w:ascii="Times New Roman" w:eastAsia="標楷體" w:hAnsi="Times New Roman"/>
                <w:sz w:val="24"/>
                <w:szCs w:val="24"/>
              </w:rPr>
              <w:t>年</w:t>
            </w:r>
            <w:r w:rsidRPr="005F45D4">
              <w:rPr>
                <w:rFonts w:ascii="Times New Roman" w:eastAsia="標楷體" w:hAnsi="Times New Roman"/>
                <w:sz w:val="24"/>
                <w:szCs w:val="24"/>
              </w:rPr>
              <w:t>7</w:t>
            </w:r>
            <w:r w:rsidRPr="005F45D4">
              <w:rPr>
                <w:rFonts w:ascii="Times New Roman" w:eastAsia="標楷體" w:hAnsi="Times New Roman"/>
                <w:sz w:val="24"/>
                <w:szCs w:val="24"/>
              </w:rPr>
              <w:t>月</w:t>
            </w:r>
            <w:r w:rsidRPr="005F45D4">
              <w:rPr>
                <w:rFonts w:ascii="Times New Roman" w:eastAsia="標楷體" w:hAnsi="Times New Roman"/>
                <w:sz w:val="24"/>
                <w:szCs w:val="24"/>
              </w:rPr>
              <w:t>1</w:t>
            </w:r>
            <w:r w:rsidRPr="005F45D4">
              <w:rPr>
                <w:rFonts w:ascii="Times New Roman" w:eastAsia="標楷體" w:hAnsi="Times New Roman"/>
                <w:sz w:val="24"/>
                <w:szCs w:val="24"/>
              </w:rPr>
              <w:t>日</w:t>
            </w:r>
          </w:p>
        </w:tc>
      </w:tr>
    </w:tbl>
    <w:p w:rsidR="00867392" w:rsidRDefault="00867392" w:rsidP="00867392">
      <w:pPr>
        <w:pStyle w:val="af4"/>
        <w:rPr>
          <w:rFonts w:ascii="Times New Roman" w:hAnsi="Times New Roman" w:hint="eastAsia"/>
          <w:color w:val="0000FF"/>
          <w:sz w:val="28"/>
          <w:szCs w:val="28"/>
          <w:u w:val="single"/>
        </w:rPr>
      </w:pPr>
    </w:p>
    <w:p w:rsidR="00867392" w:rsidRDefault="00867392" w:rsidP="00867392">
      <w:pPr>
        <w:pStyle w:val="af4"/>
        <w:rPr>
          <w:rFonts w:ascii="Times New Roman" w:hAnsi="Times New Roman" w:hint="eastAsia"/>
          <w:color w:val="0000FF"/>
          <w:sz w:val="28"/>
          <w:szCs w:val="28"/>
          <w:u w:val="single"/>
        </w:rPr>
      </w:pPr>
    </w:p>
    <w:p w:rsidR="00867392" w:rsidRDefault="00867392" w:rsidP="00867392">
      <w:pPr>
        <w:pStyle w:val="af4"/>
        <w:rPr>
          <w:rFonts w:ascii="Times New Roman" w:hAnsi="Times New Roman" w:hint="eastAsia"/>
          <w:color w:val="0000FF"/>
          <w:sz w:val="28"/>
          <w:szCs w:val="28"/>
          <w:u w:val="single"/>
        </w:rPr>
      </w:pPr>
    </w:p>
    <w:p w:rsidR="00867392" w:rsidRDefault="00867392" w:rsidP="00867392">
      <w:pPr>
        <w:pStyle w:val="af4"/>
        <w:rPr>
          <w:rFonts w:ascii="Times New Roman" w:hAnsi="Times New Roman" w:hint="eastAsia"/>
          <w:color w:val="0000FF"/>
          <w:sz w:val="28"/>
          <w:szCs w:val="28"/>
          <w:u w:val="single"/>
        </w:rPr>
      </w:pPr>
    </w:p>
    <w:p w:rsidR="00867392" w:rsidRPr="00867392" w:rsidRDefault="00867392" w:rsidP="00867392">
      <w:pPr>
        <w:pStyle w:val="af4"/>
        <w:rPr>
          <w:rFonts w:ascii="Times New Roman" w:hAnsi="Times New Roman"/>
          <w:color w:val="0000FF"/>
          <w:sz w:val="28"/>
          <w:szCs w:val="28"/>
          <w:u w:val="single"/>
        </w:rPr>
      </w:pPr>
      <w:bookmarkStart w:id="39" w:name="_GoBack"/>
      <w:bookmarkEnd w:id="39"/>
      <w:r w:rsidRPr="00867392">
        <w:rPr>
          <w:rFonts w:ascii="Times New Roman" w:hAnsi="Times New Roman"/>
          <w:color w:val="0000FF"/>
          <w:sz w:val="28"/>
          <w:szCs w:val="28"/>
          <w:u w:val="single"/>
        </w:rPr>
        <w:lastRenderedPageBreak/>
        <w:t>附表</w:t>
      </w:r>
      <w:r w:rsidRPr="00867392">
        <w:rPr>
          <w:rFonts w:ascii="Times New Roman" w:hAnsi="Times New Roman"/>
          <w:color w:val="0000FF"/>
          <w:sz w:val="28"/>
          <w:szCs w:val="28"/>
          <w:u w:val="single"/>
        </w:rPr>
        <w:t>5</w:t>
      </w:r>
      <w:r w:rsidRPr="00867392">
        <w:rPr>
          <w:rFonts w:ascii="Times New Roman" w:hAnsi="Times New Roman"/>
          <w:color w:val="0000FF"/>
          <w:sz w:val="28"/>
          <w:szCs w:val="28"/>
          <w:u w:val="single"/>
        </w:rPr>
        <w:t>、生物製劑品項</w:t>
      </w:r>
    </w:p>
    <w:tbl>
      <w:tblPr>
        <w:tblW w:w="10860" w:type="dxa"/>
        <w:tblInd w:w="13" w:type="dxa"/>
        <w:tblCellMar>
          <w:left w:w="28" w:type="dxa"/>
          <w:right w:w="28" w:type="dxa"/>
        </w:tblCellMar>
        <w:tblLook w:val="04A0" w:firstRow="1" w:lastRow="0" w:firstColumn="1" w:lastColumn="0" w:noHBand="0" w:noVBand="1"/>
      </w:tblPr>
      <w:tblGrid>
        <w:gridCol w:w="520"/>
        <w:gridCol w:w="1280"/>
        <w:gridCol w:w="520"/>
        <w:gridCol w:w="1280"/>
        <w:gridCol w:w="520"/>
        <w:gridCol w:w="1340"/>
        <w:gridCol w:w="520"/>
        <w:gridCol w:w="1280"/>
        <w:gridCol w:w="520"/>
        <w:gridCol w:w="1280"/>
        <w:gridCol w:w="520"/>
        <w:gridCol w:w="1280"/>
      </w:tblGrid>
      <w:tr w:rsidR="00867392" w:rsidRPr="00867392" w:rsidTr="0083329D">
        <w:trPr>
          <w:trHeight w:val="324"/>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序號</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醫令代碼</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K000471221</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11</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KC00796229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21</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KC00776283</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31</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KC00308240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41</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KC00895263</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51</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KC00965248</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K000471229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12</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KC00796240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22</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KC00812248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32</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KC00911206</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42</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BC23291100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52</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KC00965255</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AC57915100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13</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KC00796248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23</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KC00835261</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33</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KC00920206</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43</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BC24027100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53</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KC00965263</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KC00846248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14</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KC00796255</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24</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KC00879205</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34</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BC24794100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44</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BC24834100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54</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KC00977208</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KC00841248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15</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KC00796263</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25</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KC008792FM</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35</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BC24800100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45</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KC00911209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55</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KC00775283</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6</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KC00841263</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16</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KC00957206</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26</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KC00928229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36</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BC24813100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46</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AC59272100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56</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KC010222FY</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7</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KC00672248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17</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KC00713240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27</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KC00928248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37</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KC00897265</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47</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KC01010206</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8</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KC00672255</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18</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BC26383100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28</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KC00907219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38</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KC00945258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48</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BB26613100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9</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KC00672263</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19</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AC58288100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29</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KC00907229</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39</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KC00895248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49</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BB26614100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r>
      <w:tr w:rsidR="00867392" w:rsidRPr="00867392" w:rsidTr="0083329D">
        <w:trPr>
          <w:trHeight w:val="324"/>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10</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KC00851240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20</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BC25317100</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30</w:t>
            </w:r>
          </w:p>
        </w:tc>
        <w:tc>
          <w:tcPr>
            <w:tcW w:w="134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KC00907238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40</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KC00895255</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50</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jc w:val="center"/>
              <w:rPr>
                <w:rFonts w:ascii="Times New Roman" w:eastAsia="標楷體" w:hAnsi="Times New Roman"/>
                <w:color w:val="0000FF"/>
                <w:u w:val="single"/>
              </w:rPr>
            </w:pPr>
            <w:r w:rsidRPr="00F70ACC">
              <w:rPr>
                <w:rFonts w:ascii="Times New Roman" w:eastAsia="標楷體" w:hAnsi="Times New Roman"/>
                <w:color w:val="0000FF"/>
                <w:u w:val="single"/>
              </w:rPr>
              <w:t>KC00990288</w:t>
            </w:r>
          </w:p>
        </w:tc>
        <w:tc>
          <w:tcPr>
            <w:tcW w:w="52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867392" w:rsidRPr="00F70ACC" w:rsidRDefault="00867392" w:rsidP="00867392">
            <w:pPr>
              <w:spacing w:line="0" w:lineRule="atLeast"/>
              <w:rPr>
                <w:rFonts w:ascii="Times New Roman" w:eastAsia="標楷體" w:hAnsi="Times New Roman"/>
                <w:color w:val="0000FF"/>
                <w:u w:val="single"/>
              </w:rPr>
            </w:pPr>
            <w:r w:rsidRPr="00F70ACC">
              <w:rPr>
                <w:rFonts w:ascii="Times New Roman" w:eastAsia="標楷體" w:hAnsi="Times New Roman"/>
                <w:color w:val="0000FF"/>
                <w:u w:val="single"/>
              </w:rPr>
              <w:t xml:space="preserve">　</w:t>
            </w:r>
          </w:p>
        </w:tc>
      </w:tr>
    </w:tbl>
    <w:p w:rsidR="00230528" w:rsidRDefault="00230528">
      <w:pPr>
        <w:pStyle w:val="af4"/>
      </w:pPr>
    </w:p>
    <w:sectPr w:rsidR="00230528" w:rsidSect="004E7561">
      <w:pgSz w:w="11906" w:h="16838"/>
      <w:pgMar w:top="851" w:right="720" w:bottom="851" w:left="720" w:header="720" w:footer="992" w:gutter="0"/>
      <w:pgNumType w:start="1"/>
      <w:cols w:space="720"/>
      <w:docGrid w:type="lines"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B3" w:rsidRDefault="008F29B3">
      <w:r>
        <w:separator/>
      </w:r>
    </w:p>
  </w:endnote>
  <w:endnote w:type="continuationSeparator" w:id="0">
    <w:p w:rsidR="008F29B3" w:rsidRDefault="008F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28" w:rsidRDefault="00230528">
    <w:pPr>
      <w:pStyle w:val="af3"/>
      <w:jc w:val="center"/>
    </w:pPr>
    <w:r>
      <w:rPr>
        <w:rStyle w:val="a4"/>
        <w:lang w:val="zh-TW"/>
      </w:rPr>
      <w:fldChar w:fldCharType="begin"/>
    </w:r>
    <w:r>
      <w:rPr>
        <w:rStyle w:val="a4"/>
        <w:lang w:val="zh-TW"/>
      </w:rPr>
      <w:instrText xml:space="preserve"> PAGE </w:instrText>
    </w:r>
    <w:r>
      <w:rPr>
        <w:rStyle w:val="a4"/>
        <w:lang w:val="zh-TW"/>
      </w:rPr>
      <w:fldChar w:fldCharType="separate"/>
    </w:r>
    <w:r w:rsidR="00867392">
      <w:rPr>
        <w:rStyle w:val="a4"/>
        <w:noProof/>
        <w:lang w:val="zh-TW"/>
      </w:rPr>
      <w:t>1</w:t>
    </w:r>
    <w:r>
      <w:rPr>
        <w:rStyle w:val="a4"/>
        <w:lang w:val="zh-TW"/>
      </w:rPr>
      <w:fldChar w:fldCharType="end"/>
    </w:r>
  </w:p>
  <w:p w:rsidR="00230528" w:rsidRDefault="0023052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B3" w:rsidRDefault="008F29B3">
      <w:r>
        <w:separator/>
      </w:r>
    </w:p>
  </w:footnote>
  <w:footnote w:type="continuationSeparator" w:id="0">
    <w:p w:rsidR="008F29B3" w:rsidRDefault="008F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nsid w:val="00000003"/>
    <w:multiLevelType w:val="multilevel"/>
    <w:tmpl w:val="FCD29022"/>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nsid w:val="00000004"/>
    <w:multiLevelType w:val="multilevel"/>
    <w:tmpl w:val="3D52F46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nsid w:val="00000005"/>
    <w:multiLevelType w:val="multilevel"/>
    <w:tmpl w:val="00000005"/>
    <w:lvl w:ilvl="0">
      <w:start w:val="1"/>
      <w:numFmt w:val="decimal"/>
      <w:lvlText w:val="(%1)"/>
      <w:lvlJc w:val="left"/>
      <w:pPr>
        <w:tabs>
          <w:tab w:val="num" w:pos="720"/>
        </w:tabs>
        <w:ind w:left="720" w:hanging="72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5">
    <w:nsid w:val="00000006"/>
    <w:multiLevelType w:val="multilevel"/>
    <w:tmpl w:val="00000006"/>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6">
    <w:nsid w:val="00000007"/>
    <w:multiLevelType w:val="multilevel"/>
    <w:tmpl w:val="E52EBB2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7">
    <w:nsid w:val="00000008"/>
    <w:multiLevelType w:val="multilevel"/>
    <w:tmpl w:val="00000008"/>
    <w:lvl w:ilvl="0">
      <w:start w:val="1"/>
      <w:numFmt w:val="decimal"/>
      <w:lvlText w:val="(%1)"/>
      <w:lvlJc w:val="left"/>
      <w:pPr>
        <w:tabs>
          <w:tab w:val="num" w:pos="720"/>
        </w:tabs>
        <w:ind w:left="720" w:hanging="72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8">
    <w:nsid w:val="00000009"/>
    <w:multiLevelType w:val="multilevel"/>
    <w:tmpl w:val="00000009"/>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9">
    <w:nsid w:val="0000000A"/>
    <w:multiLevelType w:val="multilevel"/>
    <w:tmpl w:val="B9F47102"/>
    <w:lvl w:ilvl="0">
      <w:start w:val="1"/>
      <w:numFmt w:val="decimal"/>
      <w:lvlText w:val="(%1)"/>
      <w:lvlJc w:val="left"/>
      <w:pPr>
        <w:tabs>
          <w:tab w:val="num" w:pos="720"/>
        </w:tabs>
        <w:ind w:left="720" w:hanging="720"/>
      </w:pPr>
      <w:rPr>
        <w:rFonts w:ascii="Times New Roman" w:hAnsi="Times New Roman" w:cs="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0">
    <w:nsid w:val="0000000B"/>
    <w:multiLevelType w:val="multilevel"/>
    <w:tmpl w:val="AB24F48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1">
    <w:nsid w:val="0000000C"/>
    <w:multiLevelType w:val="multilevel"/>
    <w:tmpl w:val="0000000C"/>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61"/>
    <w:rsid w:val="000241CB"/>
    <w:rsid w:val="001938F3"/>
    <w:rsid w:val="00230528"/>
    <w:rsid w:val="004E7561"/>
    <w:rsid w:val="005F45D4"/>
    <w:rsid w:val="00717CAB"/>
    <w:rsid w:val="00867392"/>
    <w:rsid w:val="008F29B3"/>
    <w:rsid w:val="00965639"/>
    <w:rsid w:val="00AE30C5"/>
    <w:rsid w:val="00C404CB"/>
    <w:rsid w:val="00D004CF"/>
    <w:rsid w:val="00DD7659"/>
    <w:rsid w:val="00ED483B"/>
    <w:rsid w:val="00EF7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rPr>
  </w:style>
  <w:style w:type="paragraph" w:styleId="1">
    <w:name w:val="heading 1"/>
    <w:basedOn w:val="a0"/>
    <w:next w:val="a0"/>
    <w:qFormat/>
    <w:pPr>
      <w:keepNext/>
      <w:numPr>
        <w:numId w:val="1"/>
      </w:numPr>
      <w:spacing w:before="180" w:after="180" w:line="720" w:lineRule="auto"/>
      <w:outlineLvl w:val="0"/>
    </w:pPr>
    <w:rPr>
      <w:rFonts w:ascii="Cambria" w:hAnsi="Cambria"/>
      <w:b/>
      <w:bCs/>
      <w:sz w:val="52"/>
      <w:szCs w:val="52"/>
    </w:rPr>
  </w:style>
  <w:style w:type="paragraph" w:styleId="2">
    <w:name w:val="heading 2"/>
    <w:basedOn w:val="a0"/>
    <w:next w:val="a0"/>
    <w:qFormat/>
    <w:pPr>
      <w:keepNext/>
      <w:numPr>
        <w:ilvl w:val="1"/>
        <w:numId w:val="1"/>
      </w:numPr>
      <w:spacing w:line="720" w:lineRule="auto"/>
      <w:outlineLvl w:val="1"/>
    </w:pPr>
    <w:rPr>
      <w:rFonts w:ascii="Cambria" w:hAnsi="Cambria"/>
      <w:b/>
      <w:bCs/>
      <w:sz w:val="48"/>
      <w:szCs w:val="48"/>
    </w:rPr>
  </w:style>
  <w:style w:type="paragraph" w:styleId="3">
    <w:name w:val="heading 3"/>
    <w:basedOn w:val="a0"/>
    <w:next w:val="a0"/>
    <w:qFormat/>
    <w:pPr>
      <w:keepNext/>
      <w:numPr>
        <w:ilvl w:val="2"/>
        <w:numId w:val="1"/>
      </w:numPr>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10">
    <w:name w:val="標題 1 字元"/>
    <w:rPr>
      <w:rFonts w:ascii="Cambria" w:eastAsia="新細明體" w:hAnsi="Cambria" w:cs="Times New Roman"/>
      <w:b/>
      <w:bCs/>
      <w:kern w:val="1"/>
      <w:sz w:val="52"/>
      <w:szCs w:val="52"/>
    </w:rPr>
  </w:style>
  <w:style w:type="character" w:customStyle="1" w:styleId="20">
    <w:name w:val="標題 2 字元"/>
    <w:rPr>
      <w:rFonts w:ascii="Cambria" w:eastAsia="新細明體" w:hAnsi="Cambria" w:cs="Times New Roman"/>
      <w:b/>
      <w:bCs/>
      <w:kern w:val="1"/>
      <w:sz w:val="48"/>
      <w:szCs w:val="48"/>
    </w:rPr>
  </w:style>
  <w:style w:type="character" w:customStyle="1" w:styleId="30">
    <w:name w:val="標題 3 字元"/>
    <w:rPr>
      <w:rFonts w:ascii="Cambria" w:eastAsia="新細明體" w:hAnsi="Cambria" w:cs="Times New Roman"/>
      <w:b/>
      <w:bCs/>
      <w:kern w:val="1"/>
      <w:sz w:val="36"/>
      <w:szCs w:val="36"/>
    </w:rPr>
  </w:style>
  <w:style w:type="character" w:styleId="a5">
    <w:name w:val="Hyperlink"/>
    <w:rPr>
      <w:color w:val="0000FF"/>
      <w:u w:val="single"/>
    </w:rPr>
  </w:style>
  <w:style w:type="character" w:customStyle="1" w:styleId="a6">
    <w:name w:val="頁首 字元"/>
    <w:rPr>
      <w:kern w:val="1"/>
    </w:rPr>
  </w:style>
  <w:style w:type="character" w:customStyle="1" w:styleId="a7">
    <w:name w:val="頁尾 字元"/>
    <w:rPr>
      <w:kern w:val="1"/>
    </w:rPr>
  </w:style>
  <w:style w:type="character" w:styleId="a8">
    <w:name w:val="annotation reference"/>
    <w:rPr>
      <w:sz w:val="18"/>
      <w:szCs w:val="18"/>
    </w:rPr>
  </w:style>
  <w:style w:type="character" w:customStyle="1" w:styleId="a9">
    <w:name w:val="註解文字 字元"/>
    <w:rPr>
      <w:kern w:val="1"/>
      <w:sz w:val="24"/>
      <w:szCs w:val="22"/>
    </w:rPr>
  </w:style>
  <w:style w:type="character" w:customStyle="1" w:styleId="aa">
    <w:name w:val="註解主旨 字元"/>
    <w:rPr>
      <w:b/>
      <w:bCs/>
      <w:kern w:val="1"/>
      <w:sz w:val="24"/>
      <w:szCs w:val="22"/>
    </w:rPr>
  </w:style>
  <w:style w:type="character" w:customStyle="1" w:styleId="ab">
    <w:name w:val="註解方塊文字 字元"/>
    <w:rPr>
      <w:rFonts w:ascii="Cambria" w:eastAsia="新細明體" w:hAnsi="Cambria" w:cs="Times New Roman"/>
      <w:kern w:val="1"/>
      <w:sz w:val="18"/>
      <w:szCs w:val="18"/>
    </w:rPr>
  </w:style>
  <w:style w:type="character" w:customStyle="1" w:styleId="ac">
    <w:name w:val="純文字 字元"/>
    <w:rPr>
      <w:rFonts w:ascii="細明體" w:eastAsia="細明體" w:hAnsi="細明體"/>
      <w:kern w:val="1"/>
      <w:sz w:val="24"/>
    </w:rPr>
  </w:style>
  <w:style w:type="character" w:styleId="ad">
    <w:name w:val="FollowedHyperlink"/>
    <w:rPr>
      <w:color w:val="800080"/>
      <w:u w:val="single"/>
    </w:rPr>
  </w:style>
  <w:style w:type="character" w:customStyle="1" w:styleId="WWCharLFO2LVL1">
    <w:name w:val="WW_CharLFO2LVL1"/>
    <w:rPr>
      <w:strike w:val="0"/>
      <w:dstrike w:val="0"/>
      <w:u w:val="single"/>
    </w:rPr>
  </w:style>
  <w:style w:type="character" w:customStyle="1" w:styleId="WWCharLFO12LVL1">
    <w:name w:val="WW_CharLFO12LVL1"/>
    <w:rPr>
      <w:rFonts w:ascii="標楷體" w:eastAsia="標楷體" w:hAnsi="標楷體" w:cs="新細明體"/>
      <w:color w:val="000000"/>
      <w:sz w:val="28"/>
    </w:rPr>
  </w:style>
  <w:style w:type="character" w:customStyle="1" w:styleId="WWCharLFO17LVL1">
    <w:name w:val="WW_CharLFO17LVL1"/>
    <w:rPr>
      <w:rFonts w:ascii="標楷體" w:hAnsi="標楷體" w:cs="新細明體"/>
      <w:color w:val="000000"/>
    </w:rPr>
  </w:style>
  <w:style w:type="character" w:customStyle="1" w:styleId="WWCharLFO30LVL1">
    <w:name w:val="WW_CharLFO30LVL1"/>
    <w:rPr>
      <w:rFonts w:ascii="Wingdings" w:hAnsi="Wingdings"/>
    </w:rPr>
  </w:style>
  <w:style w:type="character" w:customStyle="1" w:styleId="WWCharLFO30LVL2">
    <w:name w:val="WW_CharLFO30LVL2"/>
    <w:rPr>
      <w:rFonts w:ascii="Wingdings" w:hAnsi="Wingdings"/>
    </w:rPr>
  </w:style>
  <w:style w:type="character" w:customStyle="1" w:styleId="WWCharLFO30LVL3">
    <w:name w:val="WW_CharLFO30LVL3"/>
    <w:rPr>
      <w:rFonts w:ascii="Wingdings" w:hAnsi="Wingdings"/>
    </w:rPr>
  </w:style>
  <w:style w:type="character" w:customStyle="1" w:styleId="WWCharLFO30LVL4">
    <w:name w:val="WW_CharLFO30LVL4"/>
    <w:rPr>
      <w:rFonts w:ascii="Wingdings" w:hAnsi="Wingdings"/>
    </w:rPr>
  </w:style>
  <w:style w:type="character" w:customStyle="1" w:styleId="WWCharLFO30LVL5">
    <w:name w:val="WW_CharLFO30LVL5"/>
    <w:rPr>
      <w:rFonts w:ascii="Wingdings" w:hAnsi="Wingdings"/>
    </w:rPr>
  </w:style>
  <w:style w:type="character" w:customStyle="1" w:styleId="WWCharLFO30LVL6">
    <w:name w:val="WW_CharLFO30LVL6"/>
    <w:rPr>
      <w:rFonts w:ascii="Wingdings" w:hAnsi="Wingdings"/>
    </w:rPr>
  </w:style>
  <w:style w:type="character" w:customStyle="1" w:styleId="WWCharLFO30LVL7">
    <w:name w:val="WW_CharLFO30LVL7"/>
    <w:rPr>
      <w:rFonts w:ascii="Wingdings" w:hAnsi="Wingdings"/>
    </w:rPr>
  </w:style>
  <w:style w:type="character" w:customStyle="1" w:styleId="WWCharLFO30LVL8">
    <w:name w:val="WW_CharLFO30LVL8"/>
    <w:rPr>
      <w:rFonts w:ascii="Wingdings" w:hAnsi="Wingdings"/>
    </w:rPr>
  </w:style>
  <w:style w:type="character" w:customStyle="1" w:styleId="WWCharLFO30LVL9">
    <w:name w:val="WW_CharLFO30LVL9"/>
    <w:rPr>
      <w:rFonts w:ascii="Wingdings" w:hAnsi="Wingdings"/>
    </w:rPr>
  </w:style>
  <w:style w:type="character" w:customStyle="1" w:styleId="WWCharLFO31LVL1">
    <w:name w:val="WW_CharLFO31LVL1"/>
    <w:rPr>
      <w:strike w:val="0"/>
      <w:dstrike w:val="0"/>
      <w:color w:val="000000"/>
    </w:rPr>
  </w:style>
  <w:style w:type="character" w:customStyle="1" w:styleId="WWCharLFO32LVL1">
    <w:name w:val="WW_CharLFO32LVL1"/>
    <w:rPr>
      <w:color w:val="auto"/>
      <w:u w:val="none"/>
    </w:rPr>
  </w:style>
  <w:style w:type="character" w:customStyle="1" w:styleId="WWCharLFO33LVL1">
    <w:name w:val="WW_CharLFO33LVL1"/>
    <w:rPr>
      <w:color w:val="auto"/>
      <w:u w:val="none"/>
    </w:rPr>
  </w:style>
  <w:style w:type="character" w:customStyle="1" w:styleId="WWCharLFO40LVL1">
    <w:name w:val="WW_CharLFO40LVL1"/>
    <w:rPr>
      <w:rFonts w:ascii="微軟正黑體" w:eastAsia="微軟正黑體" w:hAnsi="微軟正黑體"/>
      <w:sz w:val="28"/>
      <w:szCs w:val="28"/>
    </w:rPr>
  </w:style>
  <w:style w:type="character" w:customStyle="1" w:styleId="WWCharLFO41LVL1">
    <w:name w:val="WW_CharLFO41LVL1"/>
    <w:rPr>
      <w:rFonts w:ascii="Times New Roman" w:eastAsia="標楷體" w:hAnsi="Times New Roman" w:cs="Times New Roman"/>
      <w:sz w:val="24"/>
      <w:szCs w:val="24"/>
    </w:rPr>
  </w:style>
  <w:style w:type="character" w:customStyle="1" w:styleId="WWCharLFO42LVL1">
    <w:name w:val="WW_CharLFO42LVL1"/>
    <w:rPr>
      <w:rFonts w:ascii="Arial" w:hAnsi="Arial"/>
    </w:rPr>
  </w:style>
  <w:style w:type="character" w:customStyle="1" w:styleId="WWCharLFO42LVL2">
    <w:name w:val="WW_CharLFO42LVL2"/>
    <w:rPr>
      <w:rFonts w:ascii="Arial" w:hAnsi="Arial"/>
    </w:rPr>
  </w:style>
  <w:style w:type="character" w:customStyle="1" w:styleId="WWCharLFO42LVL3">
    <w:name w:val="WW_CharLFO42LVL3"/>
    <w:rPr>
      <w:rFonts w:ascii="Arial" w:hAnsi="Arial"/>
    </w:rPr>
  </w:style>
  <w:style w:type="character" w:customStyle="1" w:styleId="WWCharLFO42LVL4">
    <w:name w:val="WW_CharLFO42LVL4"/>
    <w:rPr>
      <w:rFonts w:ascii="Arial" w:hAnsi="Arial"/>
    </w:rPr>
  </w:style>
  <w:style w:type="character" w:customStyle="1" w:styleId="WWCharLFO42LVL5">
    <w:name w:val="WW_CharLFO42LVL5"/>
    <w:rPr>
      <w:rFonts w:ascii="Arial" w:hAnsi="Arial"/>
    </w:rPr>
  </w:style>
  <w:style w:type="character" w:customStyle="1" w:styleId="WWCharLFO42LVL6">
    <w:name w:val="WW_CharLFO42LVL6"/>
    <w:rPr>
      <w:rFonts w:ascii="Arial" w:hAnsi="Arial"/>
    </w:rPr>
  </w:style>
  <w:style w:type="character" w:customStyle="1" w:styleId="WWCharLFO42LVL7">
    <w:name w:val="WW_CharLFO42LVL7"/>
    <w:rPr>
      <w:rFonts w:ascii="Arial" w:hAnsi="Arial"/>
    </w:rPr>
  </w:style>
  <w:style w:type="character" w:customStyle="1" w:styleId="WWCharLFO42LVL8">
    <w:name w:val="WW_CharLFO42LVL8"/>
    <w:rPr>
      <w:rFonts w:ascii="Arial" w:hAnsi="Arial"/>
    </w:rPr>
  </w:style>
  <w:style w:type="character" w:customStyle="1" w:styleId="WWCharLFO42LVL9">
    <w:name w:val="WW_CharLFO42LVL9"/>
    <w:rPr>
      <w:rFonts w:ascii="Arial" w:hAnsi="Arial"/>
    </w:rPr>
  </w:style>
  <w:style w:type="character" w:customStyle="1" w:styleId="WWCharLFO43LVL1">
    <w:name w:val="WW_CharLFO43LVL1"/>
    <w:rPr>
      <w:rFonts w:ascii="Arial" w:hAnsi="Arial"/>
    </w:rPr>
  </w:style>
  <w:style w:type="character" w:customStyle="1" w:styleId="WWCharLFO43LVL2">
    <w:name w:val="WW_CharLFO43LVL2"/>
    <w:rPr>
      <w:rFonts w:ascii="Arial" w:hAnsi="Arial"/>
    </w:rPr>
  </w:style>
  <w:style w:type="character" w:customStyle="1" w:styleId="WWCharLFO43LVL3">
    <w:name w:val="WW_CharLFO43LVL3"/>
    <w:rPr>
      <w:rFonts w:ascii="Arial" w:hAnsi="Arial"/>
    </w:rPr>
  </w:style>
  <w:style w:type="character" w:customStyle="1" w:styleId="WWCharLFO43LVL4">
    <w:name w:val="WW_CharLFO43LVL4"/>
    <w:rPr>
      <w:rFonts w:ascii="Arial" w:hAnsi="Arial"/>
    </w:rPr>
  </w:style>
  <w:style w:type="character" w:customStyle="1" w:styleId="WWCharLFO43LVL5">
    <w:name w:val="WW_CharLFO43LVL5"/>
    <w:rPr>
      <w:rFonts w:ascii="Arial" w:hAnsi="Arial"/>
    </w:rPr>
  </w:style>
  <w:style w:type="character" w:customStyle="1" w:styleId="WWCharLFO43LVL6">
    <w:name w:val="WW_CharLFO43LVL6"/>
    <w:rPr>
      <w:rFonts w:ascii="Arial" w:hAnsi="Arial"/>
    </w:rPr>
  </w:style>
  <w:style w:type="character" w:customStyle="1" w:styleId="WWCharLFO43LVL7">
    <w:name w:val="WW_CharLFO43LVL7"/>
    <w:rPr>
      <w:rFonts w:ascii="Arial" w:hAnsi="Arial"/>
    </w:rPr>
  </w:style>
  <w:style w:type="character" w:customStyle="1" w:styleId="WWCharLFO43LVL8">
    <w:name w:val="WW_CharLFO43LVL8"/>
    <w:rPr>
      <w:rFonts w:ascii="Arial" w:hAnsi="Arial"/>
    </w:rPr>
  </w:style>
  <w:style w:type="character" w:customStyle="1" w:styleId="WWCharLFO43LVL9">
    <w:name w:val="WW_CharLFO43LVL9"/>
    <w:rPr>
      <w:rFonts w:ascii="Arial" w:hAnsi="Arial"/>
    </w:rPr>
  </w:style>
  <w:style w:type="character" w:customStyle="1" w:styleId="WWCharLFO45LVL1">
    <w:name w:val="WW_CharLFO45LVL1"/>
    <w:rPr>
      <w:rFonts w:ascii="Arial" w:hAnsi="Arial"/>
    </w:rPr>
  </w:style>
  <w:style w:type="character" w:customStyle="1" w:styleId="WWCharLFO45LVL2">
    <w:name w:val="WW_CharLFO45LVL2"/>
    <w:rPr>
      <w:rFonts w:ascii="Arial" w:hAnsi="Arial"/>
    </w:rPr>
  </w:style>
  <w:style w:type="character" w:customStyle="1" w:styleId="WWCharLFO45LVL3">
    <w:name w:val="WW_CharLFO45LVL3"/>
    <w:rPr>
      <w:rFonts w:ascii="Arial" w:hAnsi="Arial"/>
    </w:rPr>
  </w:style>
  <w:style w:type="character" w:customStyle="1" w:styleId="WWCharLFO45LVL4">
    <w:name w:val="WW_CharLFO45LVL4"/>
    <w:rPr>
      <w:rFonts w:ascii="Arial" w:hAnsi="Arial"/>
    </w:rPr>
  </w:style>
  <w:style w:type="character" w:customStyle="1" w:styleId="WWCharLFO45LVL5">
    <w:name w:val="WW_CharLFO45LVL5"/>
    <w:rPr>
      <w:rFonts w:ascii="Arial" w:hAnsi="Arial"/>
    </w:rPr>
  </w:style>
  <w:style w:type="character" w:customStyle="1" w:styleId="WWCharLFO45LVL6">
    <w:name w:val="WW_CharLFO45LVL6"/>
    <w:rPr>
      <w:rFonts w:ascii="Arial" w:hAnsi="Arial"/>
    </w:rPr>
  </w:style>
  <w:style w:type="character" w:customStyle="1" w:styleId="WWCharLFO45LVL7">
    <w:name w:val="WW_CharLFO45LVL7"/>
    <w:rPr>
      <w:rFonts w:ascii="Arial" w:hAnsi="Arial"/>
    </w:rPr>
  </w:style>
  <w:style w:type="character" w:customStyle="1" w:styleId="WWCharLFO45LVL8">
    <w:name w:val="WW_CharLFO45LVL8"/>
    <w:rPr>
      <w:rFonts w:ascii="Arial" w:hAnsi="Arial"/>
    </w:rPr>
  </w:style>
  <w:style w:type="character" w:customStyle="1" w:styleId="WWCharLFO45LVL9">
    <w:name w:val="WW_CharLFO45LVL9"/>
    <w:rPr>
      <w:rFonts w:ascii="Arial" w:hAnsi="Arial"/>
    </w:rPr>
  </w:style>
  <w:style w:type="character" w:customStyle="1" w:styleId="WWCharLFO47LVL1">
    <w:name w:val="WW_CharLFO47LVL1"/>
    <w:rPr>
      <w:rFonts w:ascii="Arial" w:hAnsi="Arial"/>
    </w:rPr>
  </w:style>
  <w:style w:type="character" w:customStyle="1" w:styleId="WWCharLFO47LVL2">
    <w:name w:val="WW_CharLFO47LVL2"/>
    <w:rPr>
      <w:rFonts w:ascii="Arial" w:hAnsi="Arial"/>
    </w:rPr>
  </w:style>
  <w:style w:type="character" w:customStyle="1" w:styleId="WWCharLFO47LVL3">
    <w:name w:val="WW_CharLFO47LVL3"/>
    <w:rPr>
      <w:rFonts w:ascii="Arial" w:hAnsi="Arial"/>
    </w:rPr>
  </w:style>
  <w:style w:type="character" w:customStyle="1" w:styleId="WWCharLFO47LVL4">
    <w:name w:val="WW_CharLFO47LVL4"/>
    <w:rPr>
      <w:rFonts w:ascii="Arial" w:hAnsi="Arial"/>
    </w:rPr>
  </w:style>
  <w:style w:type="character" w:customStyle="1" w:styleId="WWCharLFO47LVL5">
    <w:name w:val="WW_CharLFO47LVL5"/>
    <w:rPr>
      <w:rFonts w:ascii="Arial" w:hAnsi="Arial"/>
    </w:rPr>
  </w:style>
  <w:style w:type="character" w:customStyle="1" w:styleId="WWCharLFO47LVL6">
    <w:name w:val="WW_CharLFO47LVL6"/>
    <w:rPr>
      <w:rFonts w:ascii="Arial" w:hAnsi="Arial"/>
    </w:rPr>
  </w:style>
  <w:style w:type="character" w:customStyle="1" w:styleId="WWCharLFO47LVL7">
    <w:name w:val="WW_CharLFO47LVL7"/>
    <w:rPr>
      <w:rFonts w:ascii="Arial" w:hAnsi="Arial"/>
    </w:rPr>
  </w:style>
  <w:style w:type="character" w:customStyle="1" w:styleId="WWCharLFO47LVL8">
    <w:name w:val="WW_CharLFO47LVL8"/>
    <w:rPr>
      <w:rFonts w:ascii="Arial" w:hAnsi="Arial"/>
    </w:rPr>
  </w:style>
  <w:style w:type="character" w:customStyle="1" w:styleId="WWCharLFO47LVL9">
    <w:name w:val="WW_CharLFO47LVL9"/>
    <w:rPr>
      <w:rFonts w:ascii="Arial" w:hAnsi="Arial"/>
    </w:rPr>
  </w:style>
  <w:style w:type="character" w:customStyle="1" w:styleId="WWCharLFO48LVL1">
    <w:name w:val="WW_CharLFO48LVL1"/>
    <w:rPr>
      <w:color w:val="0000FF"/>
    </w:rPr>
  </w:style>
  <w:style w:type="character" w:customStyle="1" w:styleId="WWCharLFO49LVL1">
    <w:name w:val="WW_CharLFO49LVL1"/>
    <w:rPr>
      <w:rFonts w:ascii="Arial" w:hAnsi="Arial"/>
    </w:rPr>
  </w:style>
  <w:style w:type="character" w:customStyle="1" w:styleId="WWCharLFO49LVL2">
    <w:name w:val="WW_CharLFO49LVL2"/>
    <w:rPr>
      <w:rFonts w:ascii="Arial" w:hAnsi="Arial"/>
    </w:rPr>
  </w:style>
  <w:style w:type="character" w:customStyle="1" w:styleId="WWCharLFO49LVL3">
    <w:name w:val="WW_CharLFO49LVL3"/>
    <w:rPr>
      <w:rFonts w:ascii="Arial" w:hAnsi="Arial"/>
    </w:rPr>
  </w:style>
  <w:style w:type="character" w:customStyle="1" w:styleId="WWCharLFO49LVL4">
    <w:name w:val="WW_CharLFO49LVL4"/>
    <w:rPr>
      <w:rFonts w:ascii="Arial" w:hAnsi="Arial"/>
    </w:rPr>
  </w:style>
  <w:style w:type="character" w:customStyle="1" w:styleId="WWCharLFO49LVL5">
    <w:name w:val="WW_CharLFO49LVL5"/>
    <w:rPr>
      <w:rFonts w:ascii="Arial" w:hAnsi="Arial"/>
    </w:rPr>
  </w:style>
  <w:style w:type="character" w:customStyle="1" w:styleId="WWCharLFO49LVL6">
    <w:name w:val="WW_CharLFO49LVL6"/>
    <w:rPr>
      <w:rFonts w:ascii="Arial" w:hAnsi="Arial"/>
    </w:rPr>
  </w:style>
  <w:style w:type="character" w:customStyle="1" w:styleId="WWCharLFO49LVL7">
    <w:name w:val="WW_CharLFO49LVL7"/>
    <w:rPr>
      <w:rFonts w:ascii="Arial" w:hAnsi="Arial"/>
    </w:rPr>
  </w:style>
  <w:style w:type="character" w:customStyle="1" w:styleId="WWCharLFO49LVL8">
    <w:name w:val="WW_CharLFO49LVL8"/>
    <w:rPr>
      <w:rFonts w:ascii="Arial" w:hAnsi="Arial"/>
    </w:rPr>
  </w:style>
  <w:style w:type="character" w:customStyle="1" w:styleId="WWCharLFO49LVL9">
    <w:name w:val="WW_CharLFO49LVL9"/>
    <w:rPr>
      <w:rFonts w:ascii="Arial" w:hAnsi="Arial"/>
    </w:rPr>
  </w:style>
  <w:style w:type="character" w:styleId="ae">
    <w:name w:val="Hyperlink"/>
    <w:rPr>
      <w:color w:val="000080"/>
      <w:u w:val="single"/>
      <w:lang/>
    </w:rPr>
  </w:style>
  <w:style w:type="paragraph" w:styleId="af">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1"/>
      <w:sz w:val="24"/>
      <w:szCs w:val="22"/>
    </w:rPr>
  </w:style>
  <w:style w:type="paragraph" w:styleId="11">
    <w:name w:val="toc 1"/>
    <w:basedOn w:val="a0"/>
    <w:next w:val="a0"/>
    <w:autoRedefine/>
    <w:pPr>
      <w:widowControl/>
      <w:tabs>
        <w:tab w:val="left" w:pos="720"/>
        <w:tab w:val="right" w:leader="dot" w:pos="10206"/>
      </w:tabs>
      <w:spacing w:after="100" w:line="520" w:lineRule="exact"/>
      <w:ind w:left="300" w:hanging="180"/>
      <w:jc w:val="center"/>
    </w:pPr>
    <w:rPr>
      <w:rFonts w:ascii="Times New Roman" w:eastAsia="標楷體" w:hAnsi="Times New Roman"/>
      <w:b/>
      <w:kern w:val="0"/>
      <w:sz w:val="36"/>
      <w:szCs w:val="36"/>
    </w:rPr>
  </w:style>
  <w:style w:type="paragraph" w:styleId="21">
    <w:name w:val="toc 2"/>
    <w:basedOn w:val="a0"/>
    <w:next w:val="a0"/>
    <w:autoRedefine/>
    <w:rsid w:val="00EF753B"/>
    <w:pPr>
      <w:widowControl/>
      <w:tabs>
        <w:tab w:val="right" w:leader="dot" w:pos="10490"/>
      </w:tabs>
      <w:snapToGrid w:val="0"/>
      <w:spacing w:after="100" w:line="520" w:lineRule="exact"/>
      <w:ind w:leftChars="-1" w:left="284" w:rightChars="-12" w:right="-24" w:hanging="286"/>
    </w:pPr>
    <w:rPr>
      <w:rFonts w:ascii="Times New Roman" w:eastAsia="標楷體" w:hAnsi="Times New Roman"/>
      <w:kern w:val="0"/>
      <w:sz w:val="32"/>
      <w:szCs w:val="32"/>
    </w:rPr>
  </w:style>
  <w:style w:type="paragraph" w:styleId="31">
    <w:name w:val="toc 3"/>
    <w:basedOn w:val="a0"/>
    <w:next w:val="a0"/>
    <w:autoRedefine/>
    <w:pPr>
      <w:widowControl/>
      <w:spacing w:after="100" w:line="276" w:lineRule="auto"/>
      <w:ind w:left="440"/>
    </w:pPr>
    <w:rPr>
      <w:kern w:val="0"/>
      <w:sz w:val="22"/>
    </w:rPr>
  </w:style>
  <w:style w:type="paragraph" w:styleId="af0">
    <w:name w:val="List Paragraph"/>
    <w:basedOn w:val="a0"/>
    <w:qFormat/>
    <w:pPr>
      <w:ind w:left="480"/>
    </w:pPr>
  </w:style>
  <w:style w:type="paragraph" w:styleId="af1">
    <w:name w:val="TOC Heading"/>
    <w:basedOn w:val="1"/>
    <w:next w:val="a0"/>
    <w:qFormat/>
    <w:pPr>
      <w:keepLines/>
      <w:widowControl/>
      <w:numPr>
        <w:numId w:val="0"/>
      </w:numPr>
      <w:spacing w:before="480" w:after="0" w:line="276" w:lineRule="auto"/>
    </w:pPr>
    <w:rPr>
      <w:color w:val="365F91"/>
      <w:kern w:val="0"/>
      <w:sz w:val="28"/>
      <w:szCs w:val="28"/>
    </w:rPr>
  </w:style>
  <w:style w:type="paragraph" w:styleId="af2">
    <w:name w:val="header"/>
    <w:basedOn w:val="a0"/>
    <w:pPr>
      <w:tabs>
        <w:tab w:val="center" w:pos="4153"/>
        <w:tab w:val="right" w:pos="8306"/>
      </w:tabs>
      <w:snapToGrid w:val="0"/>
    </w:pPr>
    <w:rPr>
      <w:sz w:val="20"/>
      <w:szCs w:val="20"/>
    </w:rPr>
  </w:style>
  <w:style w:type="paragraph" w:styleId="af3">
    <w:name w:val="footer"/>
    <w:basedOn w:val="a0"/>
    <w:pPr>
      <w:tabs>
        <w:tab w:val="center" w:pos="4153"/>
        <w:tab w:val="right" w:pos="8306"/>
      </w:tabs>
      <w:snapToGrid w:val="0"/>
    </w:pPr>
    <w:rPr>
      <w:sz w:val="20"/>
      <w:szCs w:val="20"/>
    </w:rPr>
  </w:style>
  <w:style w:type="paragraph" w:customStyle="1" w:styleId="af4">
    <w:name w:val="目錄一"/>
    <w:basedOn w:val="a0"/>
    <w:rPr>
      <w:rFonts w:eastAsia="標楷體"/>
      <w:sz w:val="32"/>
    </w:rPr>
  </w:style>
  <w:style w:type="paragraph" w:customStyle="1" w:styleId="af5">
    <w:name w:val="目錄二"/>
    <w:basedOn w:val="2"/>
    <w:pPr>
      <w:numPr>
        <w:ilvl w:val="0"/>
        <w:numId w:val="0"/>
      </w:numPr>
      <w:spacing w:line="560" w:lineRule="exact"/>
      <w:ind w:left="80" w:hanging="80"/>
    </w:pPr>
    <w:rPr>
      <w:rFonts w:eastAsia="標楷體"/>
      <w:b w:val="0"/>
      <w:kern w:val="0"/>
      <w:sz w:val="28"/>
    </w:rPr>
  </w:style>
  <w:style w:type="paragraph" w:customStyle="1" w:styleId="12">
    <w:name w:val="樣式1"/>
    <w:basedOn w:val="af5"/>
    <w:pPr>
      <w:spacing w:line="520" w:lineRule="exact"/>
    </w:pPr>
  </w:style>
  <w:style w:type="paragraph" w:customStyle="1" w:styleId="22">
    <w:name w:val="樣式2"/>
    <w:basedOn w:val="12"/>
    <w:rPr>
      <w:b/>
    </w:rPr>
  </w:style>
  <w:style w:type="paragraph" w:styleId="af6">
    <w:name w:val="annotation text"/>
    <w:basedOn w:val="a0"/>
  </w:style>
  <w:style w:type="paragraph" w:styleId="af7">
    <w:name w:val="annotation subject"/>
    <w:basedOn w:val="af6"/>
    <w:next w:val="af6"/>
    <w:rPr>
      <w:b/>
      <w:bCs/>
    </w:rPr>
  </w:style>
  <w:style w:type="paragraph" w:styleId="af8">
    <w:name w:val="Balloon Text"/>
    <w:basedOn w:val="a0"/>
    <w:rPr>
      <w:rFonts w:ascii="Cambria" w:hAnsi="Cambria"/>
      <w:sz w:val="18"/>
      <w:szCs w:val="18"/>
    </w:rPr>
  </w:style>
  <w:style w:type="paragraph" w:styleId="af9">
    <w:name w:val="Plain Text"/>
    <w:basedOn w:val="a0"/>
    <w:rPr>
      <w:rFonts w:ascii="細明體" w:eastAsia="細明體" w:hAnsi="細明體"/>
      <w:szCs w:val="20"/>
    </w:rPr>
  </w:style>
  <w:style w:type="paragraph" w:customStyle="1" w:styleId="font5">
    <w:name w:val="font5"/>
    <w:basedOn w:val="a0"/>
    <w:pPr>
      <w:widowControl/>
      <w:spacing w:before="100" w:after="100"/>
    </w:pPr>
    <w:rPr>
      <w:rFonts w:ascii="新細明體" w:hAnsi="新細明體" w:cs="新細明體"/>
      <w:kern w:val="0"/>
      <w:sz w:val="18"/>
      <w:szCs w:val="18"/>
    </w:rPr>
  </w:style>
  <w:style w:type="paragraph" w:customStyle="1" w:styleId="xl66">
    <w:name w:val="xl66"/>
    <w:basedOn w:val="a0"/>
    <w:pPr>
      <w:widowControl/>
      <w:spacing w:before="100" w:after="100"/>
      <w:textAlignment w:val="top"/>
    </w:pPr>
    <w:rPr>
      <w:rFonts w:ascii="新細明體" w:hAnsi="新細明體" w:cs="新細明體"/>
      <w:kern w:val="0"/>
      <w:szCs w:val="24"/>
    </w:rPr>
  </w:style>
  <w:style w:type="paragraph" w:customStyle="1" w:styleId="xl67">
    <w:name w:val="xl67"/>
    <w:basedOn w:val="a0"/>
    <w:pPr>
      <w:widowControl/>
      <w:pBdr>
        <w:top w:val="single" w:sz="4" w:space="0" w:color="000000"/>
        <w:bottom w:val="single" w:sz="4" w:space="0" w:color="000000"/>
      </w:pBdr>
      <w:spacing w:before="100" w:after="100"/>
      <w:jc w:val="center"/>
      <w:textAlignment w:val="top"/>
    </w:pPr>
    <w:rPr>
      <w:rFonts w:ascii="新細明體" w:hAnsi="新細明體" w:cs="新細明體"/>
      <w:kern w:val="0"/>
      <w:szCs w:val="24"/>
    </w:rPr>
  </w:style>
  <w:style w:type="paragraph" w:customStyle="1" w:styleId="xl68">
    <w:name w:val="xl68"/>
    <w:basedOn w:val="a0"/>
    <w:pPr>
      <w:widowControl/>
      <w:spacing w:before="100" w:after="100"/>
      <w:textAlignment w:val="top"/>
    </w:pPr>
    <w:rPr>
      <w:rFonts w:ascii="新細明體" w:hAnsi="新細明體" w:cs="新細明體"/>
      <w:kern w:val="0"/>
      <w:szCs w:val="24"/>
    </w:rPr>
  </w:style>
  <w:style w:type="paragraph" w:customStyle="1" w:styleId="xl69">
    <w:name w:val="xl69"/>
    <w:basedOn w:val="a0"/>
    <w:pPr>
      <w:widowControl/>
      <w:pBdr>
        <w:top w:val="single" w:sz="4" w:space="0" w:color="000000"/>
        <w:bottom w:val="single" w:sz="4" w:space="0" w:color="000000"/>
      </w:pBdr>
      <w:spacing w:before="100" w:after="100"/>
      <w:textAlignment w:val="top"/>
    </w:pPr>
    <w:rPr>
      <w:rFonts w:ascii="新細明體" w:hAnsi="新細明體" w:cs="新細明體"/>
      <w:kern w:val="0"/>
      <w:szCs w:val="24"/>
    </w:rPr>
  </w:style>
  <w:style w:type="paragraph" w:customStyle="1" w:styleId="xl70">
    <w:name w:val="xl70"/>
    <w:basedOn w:val="a0"/>
    <w:pPr>
      <w:widowControl/>
      <w:pBdr>
        <w:top w:val="single" w:sz="4" w:space="0" w:color="000000"/>
        <w:bottom w:val="single" w:sz="4" w:space="0" w:color="000000"/>
      </w:pBdr>
      <w:spacing w:before="100" w:after="100"/>
      <w:textAlignment w:val="top"/>
    </w:pPr>
    <w:rPr>
      <w:rFonts w:ascii="新細明體" w:hAnsi="新細明體" w:cs="新細明體"/>
      <w:kern w:val="0"/>
      <w:szCs w:val="24"/>
    </w:rPr>
  </w:style>
  <w:style w:type="paragraph" w:customStyle="1" w:styleId="xl71">
    <w:name w:val="xl71"/>
    <w:basedOn w:val="a0"/>
    <w:pPr>
      <w:widowControl/>
      <w:spacing w:before="100" w:after="100"/>
      <w:jc w:val="center"/>
      <w:textAlignment w:val="top"/>
    </w:pPr>
    <w:rPr>
      <w:rFonts w:ascii="新細明體" w:hAnsi="新細明體" w:cs="新細明體"/>
      <w:kern w:val="0"/>
      <w:szCs w:val="24"/>
    </w:rPr>
  </w:style>
  <w:style w:type="paragraph" w:customStyle="1" w:styleId="xl72">
    <w:name w:val="xl72"/>
    <w:basedOn w:val="a0"/>
    <w:pPr>
      <w:widowControl/>
      <w:spacing w:before="100" w:after="100"/>
      <w:textAlignment w:val="top"/>
    </w:pPr>
    <w:rPr>
      <w:rFonts w:ascii="新細明體" w:hAnsi="新細明體" w:cs="新細明體"/>
      <w:kern w:val="0"/>
      <w:szCs w:val="24"/>
    </w:rPr>
  </w:style>
  <w:style w:type="paragraph" w:customStyle="1" w:styleId="xl73">
    <w:name w:val="xl73"/>
    <w:basedOn w:val="a0"/>
    <w:pPr>
      <w:widowControl/>
      <w:spacing w:before="100" w:after="100"/>
      <w:textAlignment w:val="top"/>
    </w:pPr>
    <w:rPr>
      <w:rFonts w:ascii="新細明體" w:hAnsi="新細明體" w:cs="新細明體"/>
      <w:kern w:val="0"/>
      <w:szCs w:val="24"/>
    </w:rPr>
  </w:style>
  <w:style w:type="paragraph" w:customStyle="1" w:styleId="xl74">
    <w:name w:val="xl74"/>
    <w:basedOn w:val="a0"/>
    <w:pPr>
      <w:widowControl/>
      <w:pBdr>
        <w:bottom w:val="single" w:sz="4" w:space="0" w:color="000000"/>
      </w:pBdr>
      <w:spacing w:before="100" w:after="100"/>
      <w:jc w:val="center"/>
      <w:textAlignment w:val="top"/>
    </w:pPr>
    <w:rPr>
      <w:rFonts w:ascii="新細明體" w:hAnsi="新細明體" w:cs="新細明體"/>
      <w:kern w:val="0"/>
      <w:szCs w:val="24"/>
    </w:rPr>
  </w:style>
  <w:style w:type="paragraph" w:customStyle="1" w:styleId="xl75">
    <w:name w:val="xl75"/>
    <w:basedOn w:val="a0"/>
    <w:pPr>
      <w:widowControl/>
      <w:pBdr>
        <w:bottom w:val="single" w:sz="4" w:space="0" w:color="000000"/>
      </w:pBdr>
      <w:spacing w:before="100" w:after="100"/>
      <w:textAlignment w:val="top"/>
    </w:pPr>
    <w:rPr>
      <w:rFonts w:ascii="新細明體" w:hAnsi="新細明體" w:cs="新細明體"/>
      <w:kern w:val="0"/>
      <w:szCs w:val="24"/>
    </w:rPr>
  </w:style>
  <w:style w:type="paragraph" w:customStyle="1" w:styleId="xl76">
    <w:name w:val="xl76"/>
    <w:basedOn w:val="a0"/>
    <w:pPr>
      <w:widowControl/>
      <w:pBdr>
        <w:bottom w:val="single" w:sz="4" w:space="0" w:color="000000"/>
      </w:pBdr>
      <w:spacing w:before="100" w:after="100"/>
      <w:textAlignment w:val="top"/>
    </w:pPr>
    <w:rPr>
      <w:rFonts w:ascii="新細明體" w:hAnsi="新細明體" w:cs="新細明體"/>
      <w:kern w:val="0"/>
      <w:szCs w:val="24"/>
    </w:rPr>
  </w:style>
  <w:style w:type="paragraph" w:styleId="Web">
    <w:name w:val="Normal (Web)"/>
    <w:basedOn w:val="a0"/>
    <w:pPr>
      <w:widowControl/>
      <w:spacing w:before="100" w:after="100"/>
    </w:pPr>
    <w:rPr>
      <w:rFonts w:ascii="新細明體" w:hAnsi="新細明體" w:cs="新細明體"/>
      <w:kern w:val="0"/>
      <w:szCs w:val="24"/>
    </w:rPr>
  </w:style>
  <w:style w:type="paragraph" w:customStyle="1" w:styleId="afa">
    <w:name w:val="表格內容"/>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rPr>
  </w:style>
  <w:style w:type="paragraph" w:styleId="1">
    <w:name w:val="heading 1"/>
    <w:basedOn w:val="a0"/>
    <w:next w:val="a0"/>
    <w:qFormat/>
    <w:pPr>
      <w:keepNext/>
      <w:numPr>
        <w:numId w:val="1"/>
      </w:numPr>
      <w:spacing w:before="180" w:after="180" w:line="720" w:lineRule="auto"/>
      <w:outlineLvl w:val="0"/>
    </w:pPr>
    <w:rPr>
      <w:rFonts w:ascii="Cambria" w:hAnsi="Cambria"/>
      <w:b/>
      <w:bCs/>
      <w:sz w:val="52"/>
      <w:szCs w:val="52"/>
    </w:rPr>
  </w:style>
  <w:style w:type="paragraph" w:styleId="2">
    <w:name w:val="heading 2"/>
    <w:basedOn w:val="a0"/>
    <w:next w:val="a0"/>
    <w:qFormat/>
    <w:pPr>
      <w:keepNext/>
      <w:numPr>
        <w:ilvl w:val="1"/>
        <w:numId w:val="1"/>
      </w:numPr>
      <w:spacing w:line="720" w:lineRule="auto"/>
      <w:outlineLvl w:val="1"/>
    </w:pPr>
    <w:rPr>
      <w:rFonts w:ascii="Cambria" w:hAnsi="Cambria"/>
      <w:b/>
      <w:bCs/>
      <w:sz w:val="48"/>
      <w:szCs w:val="48"/>
    </w:rPr>
  </w:style>
  <w:style w:type="paragraph" w:styleId="3">
    <w:name w:val="heading 3"/>
    <w:basedOn w:val="a0"/>
    <w:next w:val="a0"/>
    <w:qFormat/>
    <w:pPr>
      <w:keepNext/>
      <w:numPr>
        <w:ilvl w:val="2"/>
        <w:numId w:val="1"/>
      </w:numPr>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10">
    <w:name w:val="標題 1 字元"/>
    <w:rPr>
      <w:rFonts w:ascii="Cambria" w:eastAsia="新細明體" w:hAnsi="Cambria" w:cs="Times New Roman"/>
      <w:b/>
      <w:bCs/>
      <w:kern w:val="1"/>
      <w:sz w:val="52"/>
      <w:szCs w:val="52"/>
    </w:rPr>
  </w:style>
  <w:style w:type="character" w:customStyle="1" w:styleId="20">
    <w:name w:val="標題 2 字元"/>
    <w:rPr>
      <w:rFonts w:ascii="Cambria" w:eastAsia="新細明體" w:hAnsi="Cambria" w:cs="Times New Roman"/>
      <w:b/>
      <w:bCs/>
      <w:kern w:val="1"/>
      <w:sz w:val="48"/>
      <w:szCs w:val="48"/>
    </w:rPr>
  </w:style>
  <w:style w:type="character" w:customStyle="1" w:styleId="30">
    <w:name w:val="標題 3 字元"/>
    <w:rPr>
      <w:rFonts w:ascii="Cambria" w:eastAsia="新細明體" w:hAnsi="Cambria" w:cs="Times New Roman"/>
      <w:b/>
      <w:bCs/>
      <w:kern w:val="1"/>
      <w:sz w:val="36"/>
      <w:szCs w:val="36"/>
    </w:rPr>
  </w:style>
  <w:style w:type="character" w:styleId="a5">
    <w:name w:val="Hyperlink"/>
    <w:rPr>
      <w:color w:val="0000FF"/>
      <w:u w:val="single"/>
    </w:rPr>
  </w:style>
  <w:style w:type="character" w:customStyle="1" w:styleId="a6">
    <w:name w:val="頁首 字元"/>
    <w:rPr>
      <w:kern w:val="1"/>
    </w:rPr>
  </w:style>
  <w:style w:type="character" w:customStyle="1" w:styleId="a7">
    <w:name w:val="頁尾 字元"/>
    <w:rPr>
      <w:kern w:val="1"/>
    </w:rPr>
  </w:style>
  <w:style w:type="character" w:styleId="a8">
    <w:name w:val="annotation reference"/>
    <w:rPr>
      <w:sz w:val="18"/>
      <w:szCs w:val="18"/>
    </w:rPr>
  </w:style>
  <w:style w:type="character" w:customStyle="1" w:styleId="a9">
    <w:name w:val="註解文字 字元"/>
    <w:rPr>
      <w:kern w:val="1"/>
      <w:sz w:val="24"/>
      <w:szCs w:val="22"/>
    </w:rPr>
  </w:style>
  <w:style w:type="character" w:customStyle="1" w:styleId="aa">
    <w:name w:val="註解主旨 字元"/>
    <w:rPr>
      <w:b/>
      <w:bCs/>
      <w:kern w:val="1"/>
      <w:sz w:val="24"/>
      <w:szCs w:val="22"/>
    </w:rPr>
  </w:style>
  <w:style w:type="character" w:customStyle="1" w:styleId="ab">
    <w:name w:val="註解方塊文字 字元"/>
    <w:rPr>
      <w:rFonts w:ascii="Cambria" w:eastAsia="新細明體" w:hAnsi="Cambria" w:cs="Times New Roman"/>
      <w:kern w:val="1"/>
      <w:sz w:val="18"/>
      <w:szCs w:val="18"/>
    </w:rPr>
  </w:style>
  <w:style w:type="character" w:customStyle="1" w:styleId="ac">
    <w:name w:val="純文字 字元"/>
    <w:rPr>
      <w:rFonts w:ascii="細明體" w:eastAsia="細明體" w:hAnsi="細明體"/>
      <w:kern w:val="1"/>
      <w:sz w:val="24"/>
    </w:rPr>
  </w:style>
  <w:style w:type="character" w:styleId="ad">
    <w:name w:val="FollowedHyperlink"/>
    <w:rPr>
      <w:color w:val="800080"/>
      <w:u w:val="single"/>
    </w:rPr>
  </w:style>
  <w:style w:type="character" w:customStyle="1" w:styleId="WWCharLFO2LVL1">
    <w:name w:val="WW_CharLFO2LVL1"/>
    <w:rPr>
      <w:strike w:val="0"/>
      <w:dstrike w:val="0"/>
      <w:u w:val="single"/>
    </w:rPr>
  </w:style>
  <w:style w:type="character" w:customStyle="1" w:styleId="WWCharLFO12LVL1">
    <w:name w:val="WW_CharLFO12LVL1"/>
    <w:rPr>
      <w:rFonts w:ascii="標楷體" w:eastAsia="標楷體" w:hAnsi="標楷體" w:cs="新細明體"/>
      <w:color w:val="000000"/>
      <w:sz w:val="28"/>
    </w:rPr>
  </w:style>
  <w:style w:type="character" w:customStyle="1" w:styleId="WWCharLFO17LVL1">
    <w:name w:val="WW_CharLFO17LVL1"/>
    <w:rPr>
      <w:rFonts w:ascii="標楷體" w:hAnsi="標楷體" w:cs="新細明體"/>
      <w:color w:val="000000"/>
    </w:rPr>
  </w:style>
  <w:style w:type="character" w:customStyle="1" w:styleId="WWCharLFO30LVL1">
    <w:name w:val="WW_CharLFO30LVL1"/>
    <w:rPr>
      <w:rFonts w:ascii="Wingdings" w:hAnsi="Wingdings"/>
    </w:rPr>
  </w:style>
  <w:style w:type="character" w:customStyle="1" w:styleId="WWCharLFO30LVL2">
    <w:name w:val="WW_CharLFO30LVL2"/>
    <w:rPr>
      <w:rFonts w:ascii="Wingdings" w:hAnsi="Wingdings"/>
    </w:rPr>
  </w:style>
  <w:style w:type="character" w:customStyle="1" w:styleId="WWCharLFO30LVL3">
    <w:name w:val="WW_CharLFO30LVL3"/>
    <w:rPr>
      <w:rFonts w:ascii="Wingdings" w:hAnsi="Wingdings"/>
    </w:rPr>
  </w:style>
  <w:style w:type="character" w:customStyle="1" w:styleId="WWCharLFO30LVL4">
    <w:name w:val="WW_CharLFO30LVL4"/>
    <w:rPr>
      <w:rFonts w:ascii="Wingdings" w:hAnsi="Wingdings"/>
    </w:rPr>
  </w:style>
  <w:style w:type="character" w:customStyle="1" w:styleId="WWCharLFO30LVL5">
    <w:name w:val="WW_CharLFO30LVL5"/>
    <w:rPr>
      <w:rFonts w:ascii="Wingdings" w:hAnsi="Wingdings"/>
    </w:rPr>
  </w:style>
  <w:style w:type="character" w:customStyle="1" w:styleId="WWCharLFO30LVL6">
    <w:name w:val="WW_CharLFO30LVL6"/>
    <w:rPr>
      <w:rFonts w:ascii="Wingdings" w:hAnsi="Wingdings"/>
    </w:rPr>
  </w:style>
  <w:style w:type="character" w:customStyle="1" w:styleId="WWCharLFO30LVL7">
    <w:name w:val="WW_CharLFO30LVL7"/>
    <w:rPr>
      <w:rFonts w:ascii="Wingdings" w:hAnsi="Wingdings"/>
    </w:rPr>
  </w:style>
  <w:style w:type="character" w:customStyle="1" w:styleId="WWCharLFO30LVL8">
    <w:name w:val="WW_CharLFO30LVL8"/>
    <w:rPr>
      <w:rFonts w:ascii="Wingdings" w:hAnsi="Wingdings"/>
    </w:rPr>
  </w:style>
  <w:style w:type="character" w:customStyle="1" w:styleId="WWCharLFO30LVL9">
    <w:name w:val="WW_CharLFO30LVL9"/>
    <w:rPr>
      <w:rFonts w:ascii="Wingdings" w:hAnsi="Wingdings"/>
    </w:rPr>
  </w:style>
  <w:style w:type="character" w:customStyle="1" w:styleId="WWCharLFO31LVL1">
    <w:name w:val="WW_CharLFO31LVL1"/>
    <w:rPr>
      <w:strike w:val="0"/>
      <w:dstrike w:val="0"/>
      <w:color w:val="000000"/>
    </w:rPr>
  </w:style>
  <w:style w:type="character" w:customStyle="1" w:styleId="WWCharLFO32LVL1">
    <w:name w:val="WW_CharLFO32LVL1"/>
    <w:rPr>
      <w:color w:val="auto"/>
      <w:u w:val="none"/>
    </w:rPr>
  </w:style>
  <w:style w:type="character" w:customStyle="1" w:styleId="WWCharLFO33LVL1">
    <w:name w:val="WW_CharLFO33LVL1"/>
    <w:rPr>
      <w:color w:val="auto"/>
      <w:u w:val="none"/>
    </w:rPr>
  </w:style>
  <w:style w:type="character" w:customStyle="1" w:styleId="WWCharLFO40LVL1">
    <w:name w:val="WW_CharLFO40LVL1"/>
    <w:rPr>
      <w:rFonts w:ascii="微軟正黑體" w:eastAsia="微軟正黑體" w:hAnsi="微軟正黑體"/>
      <w:sz w:val="28"/>
      <w:szCs w:val="28"/>
    </w:rPr>
  </w:style>
  <w:style w:type="character" w:customStyle="1" w:styleId="WWCharLFO41LVL1">
    <w:name w:val="WW_CharLFO41LVL1"/>
    <w:rPr>
      <w:rFonts w:ascii="Times New Roman" w:eastAsia="標楷體" w:hAnsi="Times New Roman" w:cs="Times New Roman"/>
      <w:sz w:val="24"/>
      <w:szCs w:val="24"/>
    </w:rPr>
  </w:style>
  <w:style w:type="character" w:customStyle="1" w:styleId="WWCharLFO42LVL1">
    <w:name w:val="WW_CharLFO42LVL1"/>
    <w:rPr>
      <w:rFonts w:ascii="Arial" w:hAnsi="Arial"/>
    </w:rPr>
  </w:style>
  <w:style w:type="character" w:customStyle="1" w:styleId="WWCharLFO42LVL2">
    <w:name w:val="WW_CharLFO42LVL2"/>
    <w:rPr>
      <w:rFonts w:ascii="Arial" w:hAnsi="Arial"/>
    </w:rPr>
  </w:style>
  <w:style w:type="character" w:customStyle="1" w:styleId="WWCharLFO42LVL3">
    <w:name w:val="WW_CharLFO42LVL3"/>
    <w:rPr>
      <w:rFonts w:ascii="Arial" w:hAnsi="Arial"/>
    </w:rPr>
  </w:style>
  <w:style w:type="character" w:customStyle="1" w:styleId="WWCharLFO42LVL4">
    <w:name w:val="WW_CharLFO42LVL4"/>
    <w:rPr>
      <w:rFonts w:ascii="Arial" w:hAnsi="Arial"/>
    </w:rPr>
  </w:style>
  <w:style w:type="character" w:customStyle="1" w:styleId="WWCharLFO42LVL5">
    <w:name w:val="WW_CharLFO42LVL5"/>
    <w:rPr>
      <w:rFonts w:ascii="Arial" w:hAnsi="Arial"/>
    </w:rPr>
  </w:style>
  <w:style w:type="character" w:customStyle="1" w:styleId="WWCharLFO42LVL6">
    <w:name w:val="WW_CharLFO42LVL6"/>
    <w:rPr>
      <w:rFonts w:ascii="Arial" w:hAnsi="Arial"/>
    </w:rPr>
  </w:style>
  <w:style w:type="character" w:customStyle="1" w:styleId="WWCharLFO42LVL7">
    <w:name w:val="WW_CharLFO42LVL7"/>
    <w:rPr>
      <w:rFonts w:ascii="Arial" w:hAnsi="Arial"/>
    </w:rPr>
  </w:style>
  <w:style w:type="character" w:customStyle="1" w:styleId="WWCharLFO42LVL8">
    <w:name w:val="WW_CharLFO42LVL8"/>
    <w:rPr>
      <w:rFonts w:ascii="Arial" w:hAnsi="Arial"/>
    </w:rPr>
  </w:style>
  <w:style w:type="character" w:customStyle="1" w:styleId="WWCharLFO42LVL9">
    <w:name w:val="WW_CharLFO42LVL9"/>
    <w:rPr>
      <w:rFonts w:ascii="Arial" w:hAnsi="Arial"/>
    </w:rPr>
  </w:style>
  <w:style w:type="character" w:customStyle="1" w:styleId="WWCharLFO43LVL1">
    <w:name w:val="WW_CharLFO43LVL1"/>
    <w:rPr>
      <w:rFonts w:ascii="Arial" w:hAnsi="Arial"/>
    </w:rPr>
  </w:style>
  <w:style w:type="character" w:customStyle="1" w:styleId="WWCharLFO43LVL2">
    <w:name w:val="WW_CharLFO43LVL2"/>
    <w:rPr>
      <w:rFonts w:ascii="Arial" w:hAnsi="Arial"/>
    </w:rPr>
  </w:style>
  <w:style w:type="character" w:customStyle="1" w:styleId="WWCharLFO43LVL3">
    <w:name w:val="WW_CharLFO43LVL3"/>
    <w:rPr>
      <w:rFonts w:ascii="Arial" w:hAnsi="Arial"/>
    </w:rPr>
  </w:style>
  <w:style w:type="character" w:customStyle="1" w:styleId="WWCharLFO43LVL4">
    <w:name w:val="WW_CharLFO43LVL4"/>
    <w:rPr>
      <w:rFonts w:ascii="Arial" w:hAnsi="Arial"/>
    </w:rPr>
  </w:style>
  <w:style w:type="character" w:customStyle="1" w:styleId="WWCharLFO43LVL5">
    <w:name w:val="WW_CharLFO43LVL5"/>
    <w:rPr>
      <w:rFonts w:ascii="Arial" w:hAnsi="Arial"/>
    </w:rPr>
  </w:style>
  <w:style w:type="character" w:customStyle="1" w:styleId="WWCharLFO43LVL6">
    <w:name w:val="WW_CharLFO43LVL6"/>
    <w:rPr>
      <w:rFonts w:ascii="Arial" w:hAnsi="Arial"/>
    </w:rPr>
  </w:style>
  <w:style w:type="character" w:customStyle="1" w:styleId="WWCharLFO43LVL7">
    <w:name w:val="WW_CharLFO43LVL7"/>
    <w:rPr>
      <w:rFonts w:ascii="Arial" w:hAnsi="Arial"/>
    </w:rPr>
  </w:style>
  <w:style w:type="character" w:customStyle="1" w:styleId="WWCharLFO43LVL8">
    <w:name w:val="WW_CharLFO43LVL8"/>
    <w:rPr>
      <w:rFonts w:ascii="Arial" w:hAnsi="Arial"/>
    </w:rPr>
  </w:style>
  <w:style w:type="character" w:customStyle="1" w:styleId="WWCharLFO43LVL9">
    <w:name w:val="WW_CharLFO43LVL9"/>
    <w:rPr>
      <w:rFonts w:ascii="Arial" w:hAnsi="Arial"/>
    </w:rPr>
  </w:style>
  <w:style w:type="character" w:customStyle="1" w:styleId="WWCharLFO45LVL1">
    <w:name w:val="WW_CharLFO45LVL1"/>
    <w:rPr>
      <w:rFonts w:ascii="Arial" w:hAnsi="Arial"/>
    </w:rPr>
  </w:style>
  <w:style w:type="character" w:customStyle="1" w:styleId="WWCharLFO45LVL2">
    <w:name w:val="WW_CharLFO45LVL2"/>
    <w:rPr>
      <w:rFonts w:ascii="Arial" w:hAnsi="Arial"/>
    </w:rPr>
  </w:style>
  <w:style w:type="character" w:customStyle="1" w:styleId="WWCharLFO45LVL3">
    <w:name w:val="WW_CharLFO45LVL3"/>
    <w:rPr>
      <w:rFonts w:ascii="Arial" w:hAnsi="Arial"/>
    </w:rPr>
  </w:style>
  <w:style w:type="character" w:customStyle="1" w:styleId="WWCharLFO45LVL4">
    <w:name w:val="WW_CharLFO45LVL4"/>
    <w:rPr>
      <w:rFonts w:ascii="Arial" w:hAnsi="Arial"/>
    </w:rPr>
  </w:style>
  <w:style w:type="character" w:customStyle="1" w:styleId="WWCharLFO45LVL5">
    <w:name w:val="WW_CharLFO45LVL5"/>
    <w:rPr>
      <w:rFonts w:ascii="Arial" w:hAnsi="Arial"/>
    </w:rPr>
  </w:style>
  <w:style w:type="character" w:customStyle="1" w:styleId="WWCharLFO45LVL6">
    <w:name w:val="WW_CharLFO45LVL6"/>
    <w:rPr>
      <w:rFonts w:ascii="Arial" w:hAnsi="Arial"/>
    </w:rPr>
  </w:style>
  <w:style w:type="character" w:customStyle="1" w:styleId="WWCharLFO45LVL7">
    <w:name w:val="WW_CharLFO45LVL7"/>
    <w:rPr>
      <w:rFonts w:ascii="Arial" w:hAnsi="Arial"/>
    </w:rPr>
  </w:style>
  <w:style w:type="character" w:customStyle="1" w:styleId="WWCharLFO45LVL8">
    <w:name w:val="WW_CharLFO45LVL8"/>
    <w:rPr>
      <w:rFonts w:ascii="Arial" w:hAnsi="Arial"/>
    </w:rPr>
  </w:style>
  <w:style w:type="character" w:customStyle="1" w:styleId="WWCharLFO45LVL9">
    <w:name w:val="WW_CharLFO45LVL9"/>
    <w:rPr>
      <w:rFonts w:ascii="Arial" w:hAnsi="Arial"/>
    </w:rPr>
  </w:style>
  <w:style w:type="character" w:customStyle="1" w:styleId="WWCharLFO47LVL1">
    <w:name w:val="WW_CharLFO47LVL1"/>
    <w:rPr>
      <w:rFonts w:ascii="Arial" w:hAnsi="Arial"/>
    </w:rPr>
  </w:style>
  <w:style w:type="character" w:customStyle="1" w:styleId="WWCharLFO47LVL2">
    <w:name w:val="WW_CharLFO47LVL2"/>
    <w:rPr>
      <w:rFonts w:ascii="Arial" w:hAnsi="Arial"/>
    </w:rPr>
  </w:style>
  <w:style w:type="character" w:customStyle="1" w:styleId="WWCharLFO47LVL3">
    <w:name w:val="WW_CharLFO47LVL3"/>
    <w:rPr>
      <w:rFonts w:ascii="Arial" w:hAnsi="Arial"/>
    </w:rPr>
  </w:style>
  <w:style w:type="character" w:customStyle="1" w:styleId="WWCharLFO47LVL4">
    <w:name w:val="WW_CharLFO47LVL4"/>
    <w:rPr>
      <w:rFonts w:ascii="Arial" w:hAnsi="Arial"/>
    </w:rPr>
  </w:style>
  <w:style w:type="character" w:customStyle="1" w:styleId="WWCharLFO47LVL5">
    <w:name w:val="WW_CharLFO47LVL5"/>
    <w:rPr>
      <w:rFonts w:ascii="Arial" w:hAnsi="Arial"/>
    </w:rPr>
  </w:style>
  <w:style w:type="character" w:customStyle="1" w:styleId="WWCharLFO47LVL6">
    <w:name w:val="WW_CharLFO47LVL6"/>
    <w:rPr>
      <w:rFonts w:ascii="Arial" w:hAnsi="Arial"/>
    </w:rPr>
  </w:style>
  <w:style w:type="character" w:customStyle="1" w:styleId="WWCharLFO47LVL7">
    <w:name w:val="WW_CharLFO47LVL7"/>
    <w:rPr>
      <w:rFonts w:ascii="Arial" w:hAnsi="Arial"/>
    </w:rPr>
  </w:style>
  <w:style w:type="character" w:customStyle="1" w:styleId="WWCharLFO47LVL8">
    <w:name w:val="WW_CharLFO47LVL8"/>
    <w:rPr>
      <w:rFonts w:ascii="Arial" w:hAnsi="Arial"/>
    </w:rPr>
  </w:style>
  <w:style w:type="character" w:customStyle="1" w:styleId="WWCharLFO47LVL9">
    <w:name w:val="WW_CharLFO47LVL9"/>
    <w:rPr>
      <w:rFonts w:ascii="Arial" w:hAnsi="Arial"/>
    </w:rPr>
  </w:style>
  <w:style w:type="character" w:customStyle="1" w:styleId="WWCharLFO48LVL1">
    <w:name w:val="WW_CharLFO48LVL1"/>
    <w:rPr>
      <w:color w:val="0000FF"/>
    </w:rPr>
  </w:style>
  <w:style w:type="character" w:customStyle="1" w:styleId="WWCharLFO49LVL1">
    <w:name w:val="WW_CharLFO49LVL1"/>
    <w:rPr>
      <w:rFonts w:ascii="Arial" w:hAnsi="Arial"/>
    </w:rPr>
  </w:style>
  <w:style w:type="character" w:customStyle="1" w:styleId="WWCharLFO49LVL2">
    <w:name w:val="WW_CharLFO49LVL2"/>
    <w:rPr>
      <w:rFonts w:ascii="Arial" w:hAnsi="Arial"/>
    </w:rPr>
  </w:style>
  <w:style w:type="character" w:customStyle="1" w:styleId="WWCharLFO49LVL3">
    <w:name w:val="WW_CharLFO49LVL3"/>
    <w:rPr>
      <w:rFonts w:ascii="Arial" w:hAnsi="Arial"/>
    </w:rPr>
  </w:style>
  <w:style w:type="character" w:customStyle="1" w:styleId="WWCharLFO49LVL4">
    <w:name w:val="WW_CharLFO49LVL4"/>
    <w:rPr>
      <w:rFonts w:ascii="Arial" w:hAnsi="Arial"/>
    </w:rPr>
  </w:style>
  <w:style w:type="character" w:customStyle="1" w:styleId="WWCharLFO49LVL5">
    <w:name w:val="WW_CharLFO49LVL5"/>
    <w:rPr>
      <w:rFonts w:ascii="Arial" w:hAnsi="Arial"/>
    </w:rPr>
  </w:style>
  <w:style w:type="character" w:customStyle="1" w:styleId="WWCharLFO49LVL6">
    <w:name w:val="WW_CharLFO49LVL6"/>
    <w:rPr>
      <w:rFonts w:ascii="Arial" w:hAnsi="Arial"/>
    </w:rPr>
  </w:style>
  <w:style w:type="character" w:customStyle="1" w:styleId="WWCharLFO49LVL7">
    <w:name w:val="WW_CharLFO49LVL7"/>
    <w:rPr>
      <w:rFonts w:ascii="Arial" w:hAnsi="Arial"/>
    </w:rPr>
  </w:style>
  <w:style w:type="character" w:customStyle="1" w:styleId="WWCharLFO49LVL8">
    <w:name w:val="WW_CharLFO49LVL8"/>
    <w:rPr>
      <w:rFonts w:ascii="Arial" w:hAnsi="Arial"/>
    </w:rPr>
  </w:style>
  <w:style w:type="character" w:customStyle="1" w:styleId="WWCharLFO49LVL9">
    <w:name w:val="WW_CharLFO49LVL9"/>
    <w:rPr>
      <w:rFonts w:ascii="Arial" w:hAnsi="Arial"/>
    </w:rPr>
  </w:style>
  <w:style w:type="character" w:styleId="ae">
    <w:name w:val="Hyperlink"/>
    <w:rPr>
      <w:color w:val="000080"/>
      <w:u w:val="single"/>
      <w:lang/>
    </w:rPr>
  </w:style>
  <w:style w:type="paragraph" w:styleId="af">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1"/>
      <w:sz w:val="24"/>
      <w:szCs w:val="22"/>
    </w:rPr>
  </w:style>
  <w:style w:type="paragraph" w:styleId="11">
    <w:name w:val="toc 1"/>
    <w:basedOn w:val="a0"/>
    <w:next w:val="a0"/>
    <w:autoRedefine/>
    <w:pPr>
      <w:widowControl/>
      <w:tabs>
        <w:tab w:val="left" w:pos="720"/>
        <w:tab w:val="right" w:leader="dot" w:pos="10206"/>
      </w:tabs>
      <w:spacing w:after="100" w:line="520" w:lineRule="exact"/>
      <w:ind w:left="300" w:hanging="180"/>
      <w:jc w:val="center"/>
    </w:pPr>
    <w:rPr>
      <w:rFonts w:ascii="Times New Roman" w:eastAsia="標楷體" w:hAnsi="Times New Roman"/>
      <w:b/>
      <w:kern w:val="0"/>
      <w:sz w:val="36"/>
      <w:szCs w:val="36"/>
    </w:rPr>
  </w:style>
  <w:style w:type="paragraph" w:styleId="21">
    <w:name w:val="toc 2"/>
    <w:basedOn w:val="a0"/>
    <w:next w:val="a0"/>
    <w:autoRedefine/>
    <w:rsid w:val="00EF753B"/>
    <w:pPr>
      <w:widowControl/>
      <w:tabs>
        <w:tab w:val="right" w:leader="dot" w:pos="10490"/>
      </w:tabs>
      <w:snapToGrid w:val="0"/>
      <w:spacing w:after="100" w:line="520" w:lineRule="exact"/>
      <w:ind w:leftChars="-1" w:left="284" w:rightChars="-12" w:right="-24" w:hanging="286"/>
    </w:pPr>
    <w:rPr>
      <w:rFonts w:ascii="Times New Roman" w:eastAsia="標楷體" w:hAnsi="Times New Roman"/>
      <w:kern w:val="0"/>
      <w:sz w:val="32"/>
      <w:szCs w:val="32"/>
    </w:rPr>
  </w:style>
  <w:style w:type="paragraph" w:styleId="31">
    <w:name w:val="toc 3"/>
    <w:basedOn w:val="a0"/>
    <w:next w:val="a0"/>
    <w:autoRedefine/>
    <w:pPr>
      <w:widowControl/>
      <w:spacing w:after="100" w:line="276" w:lineRule="auto"/>
      <w:ind w:left="440"/>
    </w:pPr>
    <w:rPr>
      <w:kern w:val="0"/>
      <w:sz w:val="22"/>
    </w:rPr>
  </w:style>
  <w:style w:type="paragraph" w:styleId="af0">
    <w:name w:val="List Paragraph"/>
    <w:basedOn w:val="a0"/>
    <w:qFormat/>
    <w:pPr>
      <w:ind w:left="480"/>
    </w:pPr>
  </w:style>
  <w:style w:type="paragraph" w:styleId="af1">
    <w:name w:val="TOC Heading"/>
    <w:basedOn w:val="1"/>
    <w:next w:val="a0"/>
    <w:qFormat/>
    <w:pPr>
      <w:keepLines/>
      <w:widowControl/>
      <w:numPr>
        <w:numId w:val="0"/>
      </w:numPr>
      <w:spacing w:before="480" w:after="0" w:line="276" w:lineRule="auto"/>
    </w:pPr>
    <w:rPr>
      <w:color w:val="365F91"/>
      <w:kern w:val="0"/>
      <w:sz w:val="28"/>
      <w:szCs w:val="28"/>
    </w:rPr>
  </w:style>
  <w:style w:type="paragraph" w:styleId="af2">
    <w:name w:val="header"/>
    <w:basedOn w:val="a0"/>
    <w:pPr>
      <w:tabs>
        <w:tab w:val="center" w:pos="4153"/>
        <w:tab w:val="right" w:pos="8306"/>
      </w:tabs>
      <w:snapToGrid w:val="0"/>
    </w:pPr>
    <w:rPr>
      <w:sz w:val="20"/>
      <w:szCs w:val="20"/>
    </w:rPr>
  </w:style>
  <w:style w:type="paragraph" w:styleId="af3">
    <w:name w:val="footer"/>
    <w:basedOn w:val="a0"/>
    <w:pPr>
      <w:tabs>
        <w:tab w:val="center" w:pos="4153"/>
        <w:tab w:val="right" w:pos="8306"/>
      </w:tabs>
      <w:snapToGrid w:val="0"/>
    </w:pPr>
    <w:rPr>
      <w:sz w:val="20"/>
      <w:szCs w:val="20"/>
    </w:rPr>
  </w:style>
  <w:style w:type="paragraph" w:customStyle="1" w:styleId="af4">
    <w:name w:val="目錄一"/>
    <w:basedOn w:val="a0"/>
    <w:rPr>
      <w:rFonts w:eastAsia="標楷體"/>
      <w:sz w:val="32"/>
    </w:rPr>
  </w:style>
  <w:style w:type="paragraph" w:customStyle="1" w:styleId="af5">
    <w:name w:val="目錄二"/>
    <w:basedOn w:val="2"/>
    <w:pPr>
      <w:numPr>
        <w:ilvl w:val="0"/>
        <w:numId w:val="0"/>
      </w:numPr>
      <w:spacing w:line="560" w:lineRule="exact"/>
      <w:ind w:left="80" w:hanging="80"/>
    </w:pPr>
    <w:rPr>
      <w:rFonts w:eastAsia="標楷體"/>
      <w:b w:val="0"/>
      <w:kern w:val="0"/>
      <w:sz w:val="28"/>
    </w:rPr>
  </w:style>
  <w:style w:type="paragraph" w:customStyle="1" w:styleId="12">
    <w:name w:val="樣式1"/>
    <w:basedOn w:val="af5"/>
    <w:pPr>
      <w:spacing w:line="520" w:lineRule="exact"/>
    </w:pPr>
  </w:style>
  <w:style w:type="paragraph" w:customStyle="1" w:styleId="22">
    <w:name w:val="樣式2"/>
    <w:basedOn w:val="12"/>
    <w:rPr>
      <w:b/>
    </w:rPr>
  </w:style>
  <w:style w:type="paragraph" w:styleId="af6">
    <w:name w:val="annotation text"/>
    <w:basedOn w:val="a0"/>
  </w:style>
  <w:style w:type="paragraph" w:styleId="af7">
    <w:name w:val="annotation subject"/>
    <w:basedOn w:val="af6"/>
    <w:next w:val="af6"/>
    <w:rPr>
      <w:b/>
      <w:bCs/>
    </w:rPr>
  </w:style>
  <w:style w:type="paragraph" w:styleId="af8">
    <w:name w:val="Balloon Text"/>
    <w:basedOn w:val="a0"/>
    <w:rPr>
      <w:rFonts w:ascii="Cambria" w:hAnsi="Cambria"/>
      <w:sz w:val="18"/>
      <w:szCs w:val="18"/>
    </w:rPr>
  </w:style>
  <w:style w:type="paragraph" w:styleId="af9">
    <w:name w:val="Plain Text"/>
    <w:basedOn w:val="a0"/>
    <w:rPr>
      <w:rFonts w:ascii="細明體" w:eastAsia="細明體" w:hAnsi="細明體"/>
      <w:szCs w:val="20"/>
    </w:rPr>
  </w:style>
  <w:style w:type="paragraph" w:customStyle="1" w:styleId="font5">
    <w:name w:val="font5"/>
    <w:basedOn w:val="a0"/>
    <w:pPr>
      <w:widowControl/>
      <w:spacing w:before="100" w:after="100"/>
    </w:pPr>
    <w:rPr>
      <w:rFonts w:ascii="新細明體" w:hAnsi="新細明體" w:cs="新細明體"/>
      <w:kern w:val="0"/>
      <w:sz w:val="18"/>
      <w:szCs w:val="18"/>
    </w:rPr>
  </w:style>
  <w:style w:type="paragraph" w:customStyle="1" w:styleId="xl66">
    <w:name w:val="xl66"/>
    <w:basedOn w:val="a0"/>
    <w:pPr>
      <w:widowControl/>
      <w:spacing w:before="100" w:after="100"/>
      <w:textAlignment w:val="top"/>
    </w:pPr>
    <w:rPr>
      <w:rFonts w:ascii="新細明體" w:hAnsi="新細明體" w:cs="新細明體"/>
      <w:kern w:val="0"/>
      <w:szCs w:val="24"/>
    </w:rPr>
  </w:style>
  <w:style w:type="paragraph" w:customStyle="1" w:styleId="xl67">
    <w:name w:val="xl67"/>
    <w:basedOn w:val="a0"/>
    <w:pPr>
      <w:widowControl/>
      <w:pBdr>
        <w:top w:val="single" w:sz="4" w:space="0" w:color="000000"/>
        <w:bottom w:val="single" w:sz="4" w:space="0" w:color="000000"/>
      </w:pBdr>
      <w:spacing w:before="100" w:after="100"/>
      <w:jc w:val="center"/>
      <w:textAlignment w:val="top"/>
    </w:pPr>
    <w:rPr>
      <w:rFonts w:ascii="新細明體" w:hAnsi="新細明體" w:cs="新細明體"/>
      <w:kern w:val="0"/>
      <w:szCs w:val="24"/>
    </w:rPr>
  </w:style>
  <w:style w:type="paragraph" w:customStyle="1" w:styleId="xl68">
    <w:name w:val="xl68"/>
    <w:basedOn w:val="a0"/>
    <w:pPr>
      <w:widowControl/>
      <w:spacing w:before="100" w:after="100"/>
      <w:textAlignment w:val="top"/>
    </w:pPr>
    <w:rPr>
      <w:rFonts w:ascii="新細明體" w:hAnsi="新細明體" w:cs="新細明體"/>
      <w:kern w:val="0"/>
      <w:szCs w:val="24"/>
    </w:rPr>
  </w:style>
  <w:style w:type="paragraph" w:customStyle="1" w:styleId="xl69">
    <w:name w:val="xl69"/>
    <w:basedOn w:val="a0"/>
    <w:pPr>
      <w:widowControl/>
      <w:pBdr>
        <w:top w:val="single" w:sz="4" w:space="0" w:color="000000"/>
        <w:bottom w:val="single" w:sz="4" w:space="0" w:color="000000"/>
      </w:pBdr>
      <w:spacing w:before="100" w:after="100"/>
      <w:textAlignment w:val="top"/>
    </w:pPr>
    <w:rPr>
      <w:rFonts w:ascii="新細明體" w:hAnsi="新細明體" w:cs="新細明體"/>
      <w:kern w:val="0"/>
      <w:szCs w:val="24"/>
    </w:rPr>
  </w:style>
  <w:style w:type="paragraph" w:customStyle="1" w:styleId="xl70">
    <w:name w:val="xl70"/>
    <w:basedOn w:val="a0"/>
    <w:pPr>
      <w:widowControl/>
      <w:pBdr>
        <w:top w:val="single" w:sz="4" w:space="0" w:color="000000"/>
        <w:bottom w:val="single" w:sz="4" w:space="0" w:color="000000"/>
      </w:pBdr>
      <w:spacing w:before="100" w:after="100"/>
      <w:textAlignment w:val="top"/>
    </w:pPr>
    <w:rPr>
      <w:rFonts w:ascii="新細明體" w:hAnsi="新細明體" w:cs="新細明體"/>
      <w:kern w:val="0"/>
      <w:szCs w:val="24"/>
    </w:rPr>
  </w:style>
  <w:style w:type="paragraph" w:customStyle="1" w:styleId="xl71">
    <w:name w:val="xl71"/>
    <w:basedOn w:val="a0"/>
    <w:pPr>
      <w:widowControl/>
      <w:spacing w:before="100" w:after="100"/>
      <w:jc w:val="center"/>
      <w:textAlignment w:val="top"/>
    </w:pPr>
    <w:rPr>
      <w:rFonts w:ascii="新細明體" w:hAnsi="新細明體" w:cs="新細明體"/>
      <w:kern w:val="0"/>
      <w:szCs w:val="24"/>
    </w:rPr>
  </w:style>
  <w:style w:type="paragraph" w:customStyle="1" w:styleId="xl72">
    <w:name w:val="xl72"/>
    <w:basedOn w:val="a0"/>
    <w:pPr>
      <w:widowControl/>
      <w:spacing w:before="100" w:after="100"/>
      <w:textAlignment w:val="top"/>
    </w:pPr>
    <w:rPr>
      <w:rFonts w:ascii="新細明體" w:hAnsi="新細明體" w:cs="新細明體"/>
      <w:kern w:val="0"/>
      <w:szCs w:val="24"/>
    </w:rPr>
  </w:style>
  <w:style w:type="paragraph" w:customStyle="1" w:styleId="xl73">
    <w:name w:val="xl73"/>
    <w:basedOn w:val="a0"/>
    <w:pPr>
      <w:widowControl/>
      <w:spacing w:before="100" w:after="100"/>
      <w:textAlignment w:val="top"/>
    </w:pPr>
    <w:rPr>
      <w:rFonts w:ascii="新細明體" w:hAnsi="新細明體" w:cs="新細明體"/>
      <w:kern w:val="0"/>
      <w:szCs w:val="24"/>
    </w:rPr>
  </w:style>
  <w:style w:type="paragraph" w:customStyle="1" w:styleId="xl74">
    <w:name w:val="xl74"/>
    <w:basedOn w:val="a0"/>
    <w:pPr>
      <w:widowControl/>
      <w:pBdr>
        <w:bottom w:val="single" w:sz="4" w:space="0" w:color="000000"/>
      </w:pBdr>
      <w:spacing w:before="100" w:after="100"/>
      <w:jc w:val="center"/>
      <w:textAlignment w:val="top"/>
    </w:pPr>
    <w:rPr>
      <w:rFonts w:ascii="新細明體" w:hAnsi="新細明體" w:cs="新細明體"/>
      <w:kern w:val="0"/>
      <w:szCs w:val="24"/>
    </w:rPr>
  </w:style>
  <w:style w:type="paragraph" w:customStyle="1" w:styleId="xl75">
    <w:name w:val="xl75"/>
    <w:basedOn w:val="a0"/>
    <w:pPr>
      <w:widowControl/>
      <w:pBdr>
        <w:bottom w:val="single" w:sz="4" w:space="0" w:color="000000"/>
      </w:pBdr>
      <w:spacing w:before="100" w:after="100"/>
      <w:textAlignment w:val="top"/>
    </w:pPr>
    <w:rPr>
      <w:rFonts w:ascii="新細明體" w:hAnsi="新細明體" w:cs="新細明體"/>
      <w:kern w:val="0"/>
      <w:szCs w:val="24"/>
    </w:rPr>
  </w:style>
  <w:style w:type="paragraph" w:customStyle="1" w:styleId="xl76">
    <w:name w:val="xl76"/>
    <w:basedOn w:val="a0"/>
    <w:pPr>
      <w:widowControl/>
      <w:pBdr>
        <w:bottom w:val="single" w:sz="4" w:space="0" w:color="000000"/>
      </w:pBdr>
      <w:spacing w:before="100" w:after="100"/>
      <w:textAlignment w:val="top"/>
    </w:pPr>
    <w:rPr>
      <w:rFonts w:ascii="新細明體" w:hAnsi="新細明體" w:cs="新細明體"/>
      <w:kern w:val="0"/>
      <w:szCs w:val="24"/>
    </w:rPr>
  </w:style>
  <w:style w:type="paragraph" w:styleId="Web">
    <w:name w:val="Normal (Web)"/>
    <w:basedOn w:val="a0"/>
    <w:pPr>
      <w:widowControl/>
      <w:spacing w:before="100" w:after="100"/>
    </w:pPr>
    <w:rPr>
      <w:rFonts w:ascii="新細明體" w:hAnsi="新細明體" w:cs="新細明體"/>
      <w:kern w:val="0"/>
      <w:szCs w:val="24"/>
    </w:rPr>
  </w:style>
  <w:style w:type="paragraph" w:customStyle="1" w:styleId="afa">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_top" TargetMode="External"/><Relationship Id="rId18" Type="http://schemas.openxmlformats.org/officeDocument/2006/relationships/hyperlink" Target="_top" TargetMode="External"/><Relationship Id="rId26" Type="http://schemas.openxmlformats.org/officeDocument/2006/relationships/hyperlink" Target="_top" TargetMode="External"/><Relationship Id="rId39" Type="http://schemas.openxmlformats.org/officeDocument/2006/relationships/hyperlink" Target="_top" TargetMode="External"/><Relationship Id="rId21" Type="http://schemas.openxmlformats.org/officeDocument/2006/relationships/hyperlink" Target="_top" TargetMode="External"/><Relationship Id="rId34" Type="http://schemas.openxmlformats.org/officeDocument/2006/relationships/hyperlink" Target="_top" TargetMode="External"/><Relationship Id="rId42" Type="http://schemas.openxmlformats.org/officeDocument/2006/relationships/hyperlink" Target="_top"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_top" TargetMode="External"/><Relationship Id="rId29" Type="http://schemas.openxmlformats.org/officeDocument/2006/relationships/hyperlink" Target="_top" TargetMode="External"/><Relationship Id="rId11" Type="http://schemas.openxmlformats.org/officeDocument/2006/relationships/hyperlink" Target="_top" TargetMode="External"/><Relationship Id="rId24" Type="http://schemas.openxmlformats.org/officeDocument/2006/relationships/hyperlink" Target="_top" TargetMode="External"/><Relationship Id="rId32" Type="http://schemas.openxmlformats.org/officeDocument/2006/relationships/hyperlink" Target="_top" TargetMode="External"/><Relationship Id="rId37" Type="http://schemas.openxmlformats.org/officeDocument/2006/relationships/hyperlink" Target="_top" TargetMode="External"/><Relationship Id="rId40" Type="http://schemas.openxmlformats.org/officeDocument/2006/relationships/hyperlink" Target="_top" TargetMode="External"/><Relationship Id="rId45" Type="http://schemas.openxmlformats.org/officeDocument/2006/relationships/hyperlink" Target="_top" TargetMode="External"/><Relationship Id="rId5" Type="http://schemas.openxmlformats.org/officeDocument/2006/relationships/webSettings" Target="webSettings.xml"/><Relationship Id="rId15" Type="http://schemas.openxmlformats.org/officeDocument/2006/relationships/hyperlink" Target="_top" TargetMode="External"/><Relationship Id="rId23" Type="http://schemas.openxmlformats.org/officeDocument/2006/relationships/hyperlink" Target="_top" TargetMode="External"/><Relationship Id="rId28" Type="http://schemas.openxmlformats.org/officeDocument/2006/relationships/hyperlink" Target="_top" TargetMode="External"/><Relationship Id="rId36" Type="http://schemas.openxmlformats.org/officeDocument/2006/relationships/hyperlink" Target="_top" TargetMode="External"/><Relationship Id="rId49" Type="http://schemas.openxmlformats.org/officeDocument/2006/relationships/theme" Target="theme/theme1.xml"/><Relationship Id="rId10" Type="http://schemas.openxmlformats.org/officeDocument/2006/relationships/hyperlink" Target="_top" TargetMode="External"/><Relationship Id="rId19" Type="http://schemas.openxmlformats.org/officeDocument/2006/relationships/hyperlink" Target="_top" TargetMode="External"/><Relationship Id="rId31" Type="http://schemas.openxmlformats.org/officeDocument/2006/relationships/hyperlink" Target="_top" TargetMode="External"/><Relationship Id="rId44" Type="http://schemas.openxmlformats.org/officeDocument/2006/relationships/hyperlink" Target="_top" TargetMode="External"/><Relationship Id="rId4" Type="http://schemas.openxmlformats.org/officeDocument/2006/relationships/settings" Target="settings.xml"/><Relationship Id="rId9" Type="http://schemas.openxmlformats.org/officeDocument/2006/relationships/hyperlink" Target="_top" TargetMode="External"/><Relationship Id="rId14" Type="http://schemas.openxmlformats.org/officeDocument/2006/relationships/hyperlink" Target="_top" TargetMode="External"/><Relationship Id="rId22" Type="http://schemas.openxmlformats.org/officeDocument/2006/relationships/hyperlink" Target="_top" TargetMode="External"/><Relationship Id="rId27" Type="http://schemas.openxmlformats.org/officeDocument/2006/relationships/hyperlink" Target="_top" TargetMode="External"/><Relationship Id="rId30" Type="http://schemas.openxmlformats.org/officeDocument/2006/relationships/hyperlink" Target="_top" TargetMode="External"/><Relationship Id="rId35" Type="http://schemas.openxmlformats.org/officeDocument/2006/relationships/hyperlink" Target="_top" TargetMode="External"/><Relationship Id="rId43" Type="http://schemas.openxmlformats.org/officeDocument/2006/relationships/hyperlink" Target="_top" TargetMode="External"/><Relationship Id="rId48" Type="http://schemas.openxmlformats.org/officeDocument/2006/relationships/fontTable" Target="fontTable.xml"/><Relationship Id="rId8" Type="http://schemas.openxmlformats.org/officeDocument/2006/relationships/hyperlink" Target="_top" TargetMode="External"/><Relationship Id="rId3" Type="http://schemas.microsoft.com/office/2007/relationships/stylesWithEffects" Target="stylesWithEffects.xml"/><Relationship Id="rId12" Type="http://schemas.openxmlformats.org/officeDocument/2006/relationships/hyperlink" Target="_top" TargetMode="External"/><Relationship Id="rId17" Type="http://schemas.openxmlformats.org/officeDocument/2006/relationships/hyperlink" Target="_top" TargetMode="External"/><Relationship Id="rId25" Type="http://schemas.openxmlformats.org/officeDocument/2006/relationships/hyperlink" Target="_top" TargetMode="External"/><Relationship Id="rId33" Type="http://schemas.openxmlformats.org/officeDocument/2006/relationships/hyperlink" Target="_top" TargetMode="External"/><Relationship Id="rId38" Type="http://schemas.openxmlformats.org/officeDocument/2006/relationships/hyperlink" Target="_top" TargetMode="External"/><Relationship Id="rId46" Type="http://schemas.openxmlformats.org/officeDocument/2006/relationships/hyperlink" Target="_top" TargetMode="External"/><Relationship Id="rId20" Type="http://schemas.openxmlformats.org/officeDocument/2006/relationships/hyperlink" Target="_top" TargetMode="External"/><Relationship Id="rId41" Type="http://schemas.openxmlformats.org/officeDocument/2006/relationships/hyperlink" Target="_top"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3249</Words>
  <Characters>18523</Characters>
  <Application>Microsoft Office Word</Application>
  <DocSecurity>0</DocSecurity>
  <Lines>154</Lines>
  <Paragraphs>43</Paragraphs>
  <ScaleCrop>false</ScaleCrop>
  <Company/>
  <LinksUpToDate>false</LinksUpToDate>
  <CharactersWithSpaces>21729</CharactersWithSpaces>
  <SharedDoc>false</SharedDoc>
  <HLinks>
    <vt:vector size="234" baseType="variant">
      <vt:variant>
        <vt:i4>2031677</vt:i4>
      </vt:variant>
      <vt:variant>
        <vt:i4>116</vt:i4>
      </vt:variant>
      <vt:variant>
        <vt:i4>0</vt:i4>
      </vt:variant>
      <vt:variant>
        <vt:i4>5</vt:i4>
      </vt:variant>
      <vt:variant>
        <vt:lpwstr/>
      </vt:variant>
      <vt:variant>
        <vt:lpwstr>_Toc392256952</vt:lpwstr>
      </vt:variant>
      <vt:variant>
        <vt:i4>2031677</vt:i4>
      </vt:variant>
      <vt:variant>
        <vt:i4>113</vt:i4>
      </vt:variant>
      <vt:variant>
        <vt:i4>0</vt:i4>
      </vt:variant>
      <vt:variant>
        <vt:i4>5</vt:i4>
      </vt:variant>
      <vt:variant>
        <vt:lpwstr/>
      </vt:variant>
      <vt:variant>
        <vt:lpwstr>_Toc392256951</vt:lpwstr>
      </vt:variant>
      <vt:variant>
        <vt:i4>2031677</vt:i4>
      </vt:variant>
      <vt:variant>
        <vt:i4>110</vt:i4>
      </vt:variant>
      <vt:variant>
        <vt:i4>0</vt:i4>
      </vt:variant>
      <vt:variant>
        <vt:i4>5</vt:i4>
      </vt:variant>
      <vt:variant>
        <vt:lpwstr/>
      </vt:variant>
      <vt:variant>
        <vt:lpwstr>_Toc392256951</vt:lpwstr>
      </vt:variant>
      <vt:variant>
        <vt:i4>2031677</vt:i4>
      </vt:variant>
      <vt:variant>
        <vt:i4>107</vt:i4>
      </vt:variant>
      <vt:variant>
        <vt:i4>0</vt:i4>
      </vt:variant>
      <vt:variant>
        <vt:i4>5</vt:i4>
      </vt:variant>
      <vt:variant>
        <vt:lpwstr/>
      </vt:variant>
      <vt:variant>
        <vt:lpwstr>_Toc392256950</vt:lpwstr>
      </vt:variant>
      <vt:variant>
        <vt:i4>1966141</vt:i4>
      </vt:variant>
      <vt:variant>
        <vt:i4>104</vt:i4>
      </vt:variant>
      <vt:variant>
        <vt:i4>0</vt:i4>
      </vt:variant>
      <vt:variant>
        <vt:i4>5</vt:i4>
      </vt:variant>
      <vt:variant>
        <vt:lpwstr/>
      </vt:variant>
      <vt:variant>
        <vt:lpwstr>_Toc392256949</vt:lpwstr>
      </vt:variant>
      <vt:variant>
        <vt:i4>1966141</vt:i4>
      </vt:variant>
      <vt:variant>
        <vt:i4>101</vt:i4>
      </vt:variant>
      <vt:variant>
        <vt:i4>0</vt:i4>
      </vt:variant>
      <vt:variant>
        <vt:i4>5</vt:i4>
      </vt:variant>
      <vt:variant>
        <vt:lpwstr/>
      </vt:variant>
      <vt:variant>
        <vt:lpwstr>_Toc392256948</vt:lpwstr>
      </vt:variant>
      <vt:variant>
        <vt:i4>1966141</vt:i4>
      </vt:variant>
      <vt:variant>
        <vt:i4>98</vt:i4>
      </vt:variant>
      <vt:variant>
        <vt:i4>0</vt:i4>
      </vt:variant>
      <vt:variant>
        <vt:i4>5</vt:i4>
      </vt:variant>
      <vt:variant>
        <vt:lpwstr/>
      </vt:variant>
      <vt:variant>
        <vt:lpwstr>_Toc392256947</vt:lpwstr>
      </vt:variant>
      <vt:variant>
        <vt:i4>1966141</vt:i4>
      </vt:variant>
      <vt:variant>
        <vt:i4>95</vt:i4>
      </vt:variant>
      <vt:variant>
        <vt:i4>0</vt:i4>
      </vt:variant>
      <vt:variant>
        <vt:i4>5</vt:i4>
      </vt:variant>
      <vt:variant>
        <vt:lpwstr/>
      </vt:variant>
      <vt:variant>
        <vt:lpwstr>_Toc392256946</vt:lpwstr>
      </vt:variant>
      <vt:variant>
        <vt:i4>1966141</vt:i4>
      </vt:variant>
      <vt:variant>
        <vt:i4>92</vt:i4>
      </vt:variant>
      <vt:variant>
        <vt:i4>0</vt:i4>
      </vt:variant>
      <vt:variant>
        <vt:i4>5</vt:i4>
      </vt:variant>
      <vt:variant>
        <vt:lpwstr/>
      </vt:variant>
      <vt:variant>
        <vt:lpwstr>_Toc392256945</vt:lpwstr>
      </vt:variant>
      <vt:variant>
        <vt:i4>1966141</vt:i4>
      </vt:variant>
      <vt:variant>
        <vt:i4>89</vt:i4>
      </vt:variant>
      <vt:variant>
        <vt:i4>0</vt:i4>
      </vt:variant>
      <vt:variant>
        <vt:i4>5</vt:i4>
      </vt:variant>
      <vt:variant>
        <vt:lpwstr/>
      </vt:variant>
      <vt:variant>
        <vt:lpwstr>_Toc392256944</vt:lpwstr>
      </vt:variant>
      <vt:variant>
        <vt:i4>1966141</vt:i4>
      </vt:variant>
      <vt:variant>
        <vt:i4>86</vt:i4>
      </vt:variant>
      <vt:variant>
        <vt:i4>0</vt:i4>
      </vt:variant>
      <vt:variant>
        <vt:i4>5</vt:i4>
      </vt:variant>
      <vt:variant>
        <vt:lpwstr/>
      </vt:variant>
      <vt:variant>
        <vt:lpwstr>_Toc392256943</vt:lpwstr>
      </vt:variant>
      <vt:variant>
        <vt:i4>1966141</vt:i4>
      </vt:variant>
      <vt:variant>
        <vt:i4>83</vt:i4>
      </vt:variant>
      <vt:variant>
        <vt:i4>0</vt:i4>
      </vt:variant>
      <vt:variant>
        <vt:i4>5</vt:i4>
      </vt:variant>
      <vt:variant>
        <vt:lpwstr/>
      </vt:variant>
      <vt:variant>
        <vt:lpwstr>_Toc392256942</vt:lpwstr>
      </vt:variant>
      <vt:variant>
        <vt:i4>1966141</vt:i4>
      </vt:variant>
      <vt:variant>
        <vt:i4>80</vt:i4>
      </vt:variant>
      <vt:variant>
        <vt:i4>0</vt:i4>
      </vt:variant>
      <vt:variant>
        <vt:i4>5</vt:i4>
      </vt:variant>
      <vt:variant>
        <vt:lpwstr/>
      </vt:variant>
      <vt:variant>
        <vt:lpwstr>_Toc392256941</vt:lpwstr>
      </vt:variant>
      <vt:variant>
        <vt:i4>1966141</vt:i4>
      </vt:variant>
      <vt:variant>
        <vt:i4>77</vt:i4>
      </vt:variant>
      <vt:variant>
        <vt:i4>0</vt:i4>
      </vt:variant>
      <vt:variant>
        <vt:i4>5</vt:i4>
      </vt:variant>
      <vt:variant>
        <vt:lpwstr/>
      </vt:variant>
      <vt:variant>
        <vt:lpwstr>_Toc392256940</vt:lpwstr>
      </vt:variant>
      <vt:variant>
        <vt:i4>1638461</vt:i4>
      </vt:variant>
      <vt:variant>
        <vt:i4>74</vt:i4>
      </vt:variant>
      <vt:variant>
        <vt:i4>0</vt:i4>
      </vt:variant>
      <vt:variant>
        <vt:i4>5</vt:i4>
      </vt:variant>
      <vt:variant>
        <vt:lpwstr/>
      </vt:variant>
      <vt:variant>
        <vt:lpwstr>_Toc392256939</vt:lpwstr>
      </vt:variant>
      <vt:variant>
        <vt:i4>1638461</vt:i4>
      </vt:variant>
      <vt:variant>
        <vt:i4>71</vt:i4>
      </vt:variant>
      <vt:variant>
        <vt:i4>0</vt:i4>
      </vt:variant>
      <vt:variant>
        <vt:i4>5</vt:i4>
      </vt:variant>
      <vt:variant>
        <vt:lpwstr/>
      </vt:variant>
      <vt:variant>
        <vt:lpwstr>_Toc392256938</vt:lpwstr>
      </vt:variant>
      <vt:variant>
        <vt:i4>1638461</vt:i4>
      </vt:variant>
      <vt:variant>
        <vt:i4>68</vt:i4>
      </vt:variant>
      <vt:variant>
        <vt:i4>0</vt:i4>
      </vt:variant>
      <vt:variant>
        <vt:i4>5</vt:i4>
      </vt:variant>
      <vt:variant>
        <vt:lpwstr/>
      </vt:variant>
      <vt:variant>
        <vt:lpwstr>_Toc392256937</vt:lpwstr>
      </vt:variant>
      <vt:variant>
        <vt:i4>1638461</vt:i4>
      </vt:variant>
      <vt:variant>
        <vt:i4>65</vt:i4>
      </vt:variant>
      <vt:variant>
        <vt:i4>0</vt:i4>
      </vt:variant>
      <vt:variant>
        <vt:i4>5</vt:i4>
      </vt:variant>
      <vt:variant>
        <vt:lpwstr/>
      </vt:variant>
      <vt:variant>
        <vt:lpwstr>_Toc392256936</vt:lpwstr>
      </vt:variant>
      <vt:variant>
        <vt:i4>1638461</vt:i4>
      </vt:variant>
      <vt:variant>
        <vt:i4>62</vt:i4>
      </vt:variant>
      <vt:variant>
        <vt:i4>0</vt:i4>
      </vt:variant>
      <vt:variant>
        <vt:i4>5</vt:i4>
      </vt:variant>
      <vt:variant>
        <vt:lpwstr/>
      </vt:variant>
      <vt:variant>
        <vt:lpwstr>_Toc392256935</vt:lpwstr>
      </vt:variant>
      <vt:variant>
        <vt:i4>1638461</vt:i4>
      </vt:variant>
      <vt:variant>
        <vt:i4>59</vt:i4>
      </vt:variant>
      <vt:variant>
        <vt:i4>0</vt:i4>
      </vt:variant>
      <vt:variant>
        <vt:i4>5</vt:i4>
      </vt:variant>
      <vt:variant>
        <vt:lpwstr/>
      </vt:variant>
      <vt:variant>
        <vt:lpwstr>_Toc392256934</vt:lpwstr>
      </vt:variant>
      <vt:variant>
        <vt:i4>1638461</vt:i4>
      </vt:variant>
      <vt:variant>
        <vt:i4>56</vt:i4>
      </vt:variant>
      <vt:variant>
        <vt:i4>0</vt:i4>
      </vt:variant>
      <vt:variant>
        <vt:i4>5</vt:i4>
      </vt:variant>
      <vt:variant>
        <vt:lpwstr/>
      </vt:variant>
      <vt:variant>
        <vt:lpwstr>_Toc392256933</vt:lpwstr>
      </vt:variant>
      <vt:variant>
        <vt:i4>1638461</vt:i4>
      </vt:variant>
      <vt:variant>
        <vt:i4>53</vt:i4>
      </vt:variant>
      <vt:variant>
        <vt:i4>0</vt:i4>
      </vt:variant>
      <vt:variant>
        <vt:i4>5</vt:i4>
      </vt:variant>
      <vt:variant>
        <vt:lpwstr/>
      </vt:variant>
      <vt:variant>
        <vt:lpwstr>_Toc392256931</vt:lpwstr>
      </vt:variant>
      <vt:variant>
        <vt:i4>1572925</vt:i4>
      </vt:variant>
      <vt:variant>
        <vt:i4>50</vt:i4>
      </vt:variant>
      <vt:variant>
        <vt:i4>0</vt:i4>
      </vt:variant>
      <vt:variant>
        <vt:i4>5</vt:i4>
      </vt:variant>
      <vt:variant>
        <vt:lpwstr/>
      </vt:variant>
      <vt:variant>
        <vt:lpwstr>_Toc392256929</vt:lpwstr>
      </vt:variant>
      <vt:variant>
        <vt:i4>1572925</vt:i4>
      </vt:variant>
      <vt:variant>
        <vt:i4>47</vt:i4>
      </vt:variant>
      <vt:variant>
        <vt:i4>0</vt:i4>
      </vt:variant>
      <vt:variant>
        <vt:i4>5</vt:i4>
      </vt:variant>
      <vt:variant>
        <vt:lpwstr/>
      </vt:variant>
      <vt:variant>
        <vt:lpwstr>_Toc392256928</vt:lpwstr>
      </vt:variant>
      <vt:variant>
        <vt:i4>1572925</vt:i4>
      </vt:variant>
      <vt:variant>
        <vt:i4>44</vt:i4>
      </vt:variant>
      <vt:variant>
        <vt:i4>0</vt:i4>
      </vt:variant>
      <vt:variant>
        <vt:i4>5</vt:i4>
      </vt:variant>
      <vt:variant>
        <vt:lpwstr/>
      </vt:variant>
      <vt:variant>
        <vt:lpwstr>_Toc392256927</vt:lpwstr>
      </vt:variant>
      <vt:variant>
        <vt:i4>1572925</vt:i4>
      </vt:variant>
      <vt:variant>
        <vt:i4>41</vt:i4>
      </vt:variant>
      <vt:variant>
        <vt:i4>0</vt:i4>
      </vt:variant>
      <vt:variant>
        <vt:i4>5</vt:i4>
      </vt:variant>
      <vt:variant>
        <vt:lpwstr/>
      </vt:variant>
      <vt:variant>
        <vt:lpwstr>_Toc392256926</vt:lpwstr>
      </vt:variant>
      <vt:variant>
        <vt:i4>1572925</vt:i4>
      </vt:variant>
      <vt:variant>
        <vt:i4>38</vt:i4>
      </vt:variant>
      <vt:variant>
        <vt:i4>0</vt:i4>
      </vt:variant>
      <vt:variant>
        <vt:i4>5</vt:i4>
      </vt:variant>
      <vt:variant>
        <vt:lpwstr/>
      </vt:variant>
      <vt:variant>
        <vt:lpwstr>_Toc392256925</vt:lpwstr>
      </vt:variant>
      <vt:variant>
        <vt:i4>1572925</vt:i4>
      </vt:variant>
      <vt:variant>
        <vt:i4>35</vt:i4>
      </vt:variant>
      <vt:variant>
        <vt:i4>0</vt:i4>
      </vt:variant>
      <vt:variant>
        <vt:i4>5</vt:i4>
      </vt:variant>
      <vt:variant>
        <vt:lpwstr/>
      </vt:variant>
      <vt:variant>
        <vt:lpwstr>_Toc392256924</vt:lpwstr>
      </vt:variant>
      <vt:variant>
        <vt:i4>1572925</vt:i4>
      </vt:variant>
      <vt:variant>
        <vt:i4>32</vt:i4>
      </vt:variant>
      <vt:variant>
        <vt:i4>0</vt:i4>
      </vt:variant>
      <vt:variant>
        <vt:i4>5</vt:i4>
      </vt:variant>
      <vt:variant>
        <vt:lpwstr/>
      </vt:variant>
      <vt:variant>
        <vt:lpwstr>_Toc392256920</vt:lpwstr>
      </vt:variant>
      <vt:variant>
        <vt:i4>1769533</vt:i4>
      </vt:variant>
      <vt:variant>
        <vt:i4>29</vt:i4>
      </vt:variant>
      <vt:variant>
        <vt:i4>0</vt:i4>
      </vt:variant>
      <vt:variant>
        <vt:i4>5</vt:i4>
      </vt:variant>
      <vt:variant>
        <vt:lpwstr/>
      </vt:variant>
      <vt:variant>
        <vt:lpwstr>_Toc392256919</vt:lpwstr>
      </vt:variant>
      <vt:variant>
        <vt:i4>1769533</vt:i4>
      </vt:variant>
      <vt:variant>
        <vt:i4>26</vt:i4>
      </vt:variant>
      <vt:variant>
        <vt:i4>0</vt:i4>
      </vt:variant>
      <vt:variant>
        <vt:i4>5</vt:i4>
      </vt:variant>
      <vt:variant>
        <vt:lpwstr/>
      </vt:variant>
      <vt:variant>
        <vt:lpwstr>_Toc392256918</vt:lpwstr>
      </vt:variant>
      <vt:variant>
        <vt:i4>1769533</vt:i4>
      </vt:variant>
      <vt:variant>
        <vt:i4>23</vt:i4>
      </vt:variant>
      <vt:variant>
        <vt:i4>0</vt:i4>
      </vt:variant>
      <vt:variant>
        <vt:i4>5</vt:i4>
      </vt:variant>
      <vt:variant>
        <vt:lpwstr/>
      </vt:variant>
      <vt:variant>
        <vt:lpwstr>_Toc392256916</vt:lpwstr>
      </vt:variant>
      <vt:variant>
        <vt:i4>1769533</vt:i4>
      </vt:variant>
      <vt:variant>
        <vt:i4>20</vt:i4>
      </vt:variant>
      <vt:variant>
        <vt:i4>0</vt:i4>
      </vt:variant>
      <vt:variant>
        <vt:i4>5</vt:i4>
      </vt:variant>
      <vt:variant>
        <vt:lpwstr/>
      </vt:variant>
      <vt:variant>
        <vt:lpwstr>_Toc392256914</vt:lpwstr>
      </vt:variant>
      <vt:variant>
        <vt:i4>1769533</vt:i4>
      </vt:variant>
      <vt:variant>
        <vt:i4>17</vt:i4>
      </vt:variant>
      <vt:variant>
        <vt:i4>0</vt:i4>
      </vt:variant>
      <vt:variant>
        <vt:i4>5</vt:i4>
      </vt:variant>
      <vt:variant>
        <vt:lpwstr/>
      </vt:variant>
      <vt:variant>
        <vt:lpwstr>_Toc392256913</vt:lpwstr>
      </vt:variant>
      <vt:variant>
        <vt:i4>1769533</vt:i4>
      </vt:variant>
      <vt:variant>
        <vt:i4>14</vt:i4>
      </vt:variant>
      <vt:variant>
        <vt:i4>0</vt:i4>
      </vt:variant>
      <vt:variant>
        <vt:i4>5</vt:i4>
      </vt:variant>
      <vt:variant>
        <vt:lpwstr/>
      </vt:variant>
      <vt:variant>
        <vt:lpwstr>_Toc392256912</vt:lpwstr>
      </vt:variant>
      <vt:variant>
        <vt:i4>1769533</vt:i4>
      </vt:variant>
      <vt:variant>
        <vt:i4>11</vt:i4>
      </vt:variant>
      <vt:variant>
        <vt:i4>0</vt:i4>
      </vt:variant>
      <vt:variant>
        <vt:i4>5</vt:i4>
      </vt:variant>
      <vt:variant>
        <vt:lpwstr/>
      </vt:variant>
      <vt:variant>
        <vt:lpwstr>_Toc392256911</vt:lpwstr>
      </vt:variant>
      <vt:variant>
        <vt:i4>1769533</vt:i4>
      </vt:variant>
      <vt:variant>
        <vt:i4>8</vt:i4>
      </vt:variant>
      <vt:variant>
        <vt:i4>0</vt:i4>
      </vt:variant>
      <vt:variant>
        <vt:i4>5</vt:i4>
      </vt:variant>
      <vt:variant>
        <vt:lpwstr/>
      </vt:variant>
      <vt:variant>
        <vt:lpwstr>_Toc392256910</vt:lpwstr>
      </vt:variant>
      <vt:variant>
        <vt:i4>1703997</vt:i4>
      </vt:variant>
      <vt:variant>
        <vt:i4>5</vt:i4>
      </vt:variant>
      <vt:variant>
        <vt:i4>0</vt:i4>
      </vt:variant>
      <vt:variant>
        <vt:i4>5</vt:i4>
      </vt:variant>
      <vt:variant>
        <vt:lpwstr/>
      </vt:variant>
      <vt:variant>
        <vt:lpwstr>_Toc392256909</vt:lpwstr>
      </vt:variant>
      <vt:variant>
        <vt:i4>1703997</vt:i4>
      </vt:variant>
      <vt:variant>
        <vt:i4>2</vt:i4>
      </vt:variant>
      <vt:variant>
        <vt:i4>0</vt:i4>
      </vt:variant>
      <vt:variant>
        <vt:i4>5</vt:i4>
      </vt:variant>
      <vt:variant>
        <vt:lpwstr/>
      </vt:variant>
      <vt:variant>
        <vt:lpwstr>_Toc392256908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王玲玲</cp:lastModifiedBy>
  <cp:revision>2</cp:revision>
  <cp:lastPrinted>2016-01-30T01:01:00Z</cp:lastPrinted>
  <dcterms:created xsi:type="dcterms:W3CDTF">2017-09-22T08:20:00Z</dcterms:created>
  <dcterms:modified xsi:type="dcterms:W3CDTF">2017-09-22T08:20:00Z</dcterms:modified>
</cp:coreProperties>
</file>