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445" w:rsidRDefault="003100F1">
      <w:pPr>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第</w:t>
      </w:r>
      <w:r>
        <w:rPr>
          <w:rFonts w:ascii="標楷體" w:eastAsia="標楷體" w:hAnsi="標楷體"/>
          <w:b/>
          <w:color w:val="000000"/>
          <w:sz w:val="32"/>
          <w:szCs w:val="32"/>
        </w:rPr>
        <w:t>5</w:t>
      </w:r>
      <w:r>
        <w:rPr>
          <w:rFonts w:ascii="標楷體" w:eastAsia="標楷體" w:hAnsi="標楷體"/>
          <w:b/>
          <w:color w:val="000000"/>
          <w:sz w:val="32"/>
          <w:szCs w:val="32"/>
        </w:rPr>
        <w:t>節</w:t>
      </w:r>
      <w:r>
        <w:rPr>
          <w:rFonts w:ascii="標楷體" w:eastAsia="標楷體" w:hAnsi="標楷體"/>
          <w:b/>
          <w:color w:val="000000"/>
          <w:sz w:val="32"/>
          <w:szCs w:val="32"/>
        </w:rPr>
        <w:t xml:space="preserve"> </w:t>
      </w:r>
      <w:r>
        <w:rPr>
          <w:rFonts w:ascii="標楷體" w:eastAsia="標楷體" w:hAnsi="標楷體"/>
          <w:b/>
          <w:color w:val="000000"/>
          <w:sz w:val="32"/>
          <w:szCs w:val="32"/>
        </w:rPr>
        <w:t>激素及影響內分泌機轉藥物</w:t>
      </w:r>
    </w:p>
    <w:p w:rsidR="00203445" w:rsidRDefault="003100F1">
      <w:pPr>
        <w:spacing w:line="400" w:lineRule="exact"/>
        <w:jc w:val="center"/>
        <w:rPr>
          <w:rFonts w:ascii="標楷體" w:eastAsia="標楷體" w:hAnsi="標楷體"/>
          <w:b/>
          <w:color w:val="000000"/>
          <w:sz w:val="32"/>
          <w:szCs w:val="32"/>
        </w:rPr>
      </w:pPr>
      <w:r>
        <w:rPr>
          <w:rFonts w:ascii="標楷體" w:eastAsia="標楷體" w:hAnsi="標楷體"/>
          <w:b/>
          <w:color w:val="000000"/>
          <w:sz w:val="32"/>
          <w:szCs w:val="32"/>
        </w:rPr>
        <w:t>Hormones &amp; drugs affecting hormonal mechanism</w:t>
      </w:r>
    </w:p>
    <w:p w:rsidR="00203445" w:rsidRDefault="00203445">
      <w:pPr>
        <w:spacing w:line="400" w:lineRule="exact"/>
        <w:jc w:val="center"/>
        <w:rPr>
          <w:rFonts w:ascii="標楷體" w:eastAsia="標楷體" w:hAnsi="標楷體"/>
          <w:b/>
          <w:color w:val="000000"/>
          <w:sz w:val="32"/>
          <w:szCs w:val="32"/>
        </w:rPr>
      </w:pPr>
    </w:p>
    <w:p w:rsidR="00203445" w:rsidRDefault="003100F1">
      <w:pPr>
        <w:ind w:left="672" w:hanging="386"/>
        <w:rPr>
          <w:rFonts w:ascii="標楷體" w:eastAsia="標楷體" w:hAnsi="標楷體"/>
          <w:color w:val="000000"/>
        </w:rPr>
      </w:pPr>
      <w:r>
        <w:rPr>
          <w:rFonts w:ascii="標楷體" w:eastAsia="標楷體" w:hAnsi="標楷體"/>
          <w:color w:val="000000"/>
        </w:rPr>
        <w:t>5.1.</w:t>
      </w:r>
      <w:r>
        <w:rPr>
          <w:rFonts w:ascii="標楷體" w:eastAsia="標楷體" w:hAnsi="標楷體"/>
          <w:color w:val="000000"/>
        </w:rPr>
        <w:t>糖尿病用藥</w:t>
      </w:r>
      <w:r>
        <w:rPr>
          <w:rFonts w:ascii="標楷體" w:eastAsia="標楷體" w:hAnsi="標楷體"/>
          <w:color w:val="000000"/>
        </w:rPr>
        <w:t xml:space="preserve"> Drugs used in diabetes</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藥品種類</w:t>
      </w:r>
      <w:r>
        <w:rPr>
          <w:rFonts w:ascii="標楷體" w:eastAsia="標楷體" w:hAnsi="標楷體"/>
          <w:color w:val="000000"/>
        </w:rPr>
        <w:t>(105/5/1)</w:t>
      </w:r>
    </w:p>
    <w:p w:rsidR="00203445" w:rsidRDefault="003100F1">
      <w:pPr>
        <w:ind w:left="1147" w:hanging="43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胰島素：各廠牌短、中、長效、速效或</w:t>
      </w:r>
      <w:proofErr w:type="gramStart"/>
      <w:r>
        <w:rPr>
          <w:rFonts w:ascii="標楷體" w:eastAsia="標楷體" w:hAnsi="標楷體"/>
          <w:color w:val="000000"/>
        </w:rPr>
        <w:t>預混型</w:t>
      </w:r>
      <w:proofErr w:type="gramEnd"/>
      <w:r>
        <w:rPr>
          <w:rFonts w:ascii="標楷體" w:eastAsia="標楷體" w:hAnsi="標楷體"/>
          <w:color w:val="000000"/>
        </w:rPr>
        <w:t>胰島素。</w:t>
      </w:r>
    </w:p>
    <w:p w:rsidR="00203445" w:rsidRDefault="003100F1">
      <w:pPr>
        <w:ind w:left="1147" w:hanging="437"/>
        <w:rPr>
          <w:rFonts w:ascii="標楷體" w:eastAsia="標楷體" w:hAnsi="標楷體"/>
          <w:color w:val="000000"/>
        </w:rPr>
      </w:pPr>
      <w:r>
        <w:rPr>
          <w:rFonts w:ascii="標楷體" w:eastAsia="標楷體" w:hAnsi="標楷體"/>
          <w:color w:val="000000"/>
        </w:rPr>
        <w:t>(2)Biguanides</w:t>
      </w:r>
      <w:r>
        <w:rPr>
          <w:rFonts w:ascii="標楷體" w:eastAsia="標楷體" w:hAnsi="標楷體"/>
          <w:color w:val="000000"/>
        </w:rPr>
        <w:t>：如</w:t>
      </w:r>
      <w:r>
        <w:rPr>
          <w:rFonts w:ascii="標楷體" w:eastAsia="標楷體" w:hAnsi="標楷體"/>
          <w:color w:val="000000"/>
        </w:rPr>
        <w:t>metformin</w:t>
      </w:r>
      <w:r>
        <w:rPr>
          <w:rFonts w:ascii="標楷體" w:eastAsia="標楷體" w:hAnsi="標楷體"/>
          <w:color w:val="000000"/>
        </w:rPr>
        <w:t>。</w:t>
      </w:r>
    </w:p>
    <w:p w:rsidR="00203445" w:rsidRDefault="003100F1">
      <w:pPr>
        <w:ind w:left="1147" w:hanging="437"/>
        <w:rPr>
          <w:rFonts w:ascii="標楷體" w:eastAsia="標楷體" w:hAnsi="標楷體"/>
          <w:color w:val="000000"/>
        </w:rPr>
      </w:pPr>
      <w:r>
        <w:rPr>
          <w:rFonts w:ascii="標楷體" w:eastAsia="標楷體" w:hAnsi="標楷體"/>
          <w:color w:val="000000"/>
        </w:rPr>
        <w:t>(3)Sulfonylureas(SU)</w:t>
      </w:r>
      <w:r>
        <w:rPr>
          <w:rFonts w:ascii="標楷體" w:eastAsia="標楷體" w:hAnsi="標楷體"/>
          <w:color w:val="000000"/>
        </w:rPr>
        <w:t>：如</w:t>
      </w:r>
      <w:r>
        <w:rPr>
          <w:rFonts w:ascii="標楷體" w:eastAsia="標楷體" w:hAnsi="標楷體"/>
          <w:color w:val="000000"/>
        </w:rPr>
        <w:t>chlorpropamide</w:t>
      </w:r>
      <w:r>
        <w:rPr>
          <w:rFonts w:ascii="標楷體" w:eastAsia="標楷體" w:hAnsi="標楷體"/>
          <w:color w:val="000000"/>
        </w:rPr>
        <w:t>、</w:t>
      </w:r>
      <w:r>
        <w:rPr>
          <w:rFonts w:ascii="標楷體" w:eastAsia="標楷體" w:hAnsi="標楷體"/>
          <w:color w:val="000000"/>
        </w:rPr>
        <w:t>glipizide</w:t>
      </w:r>
      <w:r>
        <w:rPr>
          <w:rFonts w:ascii="標楷體" w:eastAsia="標楷體" w:hAnsi="標楷體"/>
          <w:color w:val="000000"/>
        </w:rPr>
        <w:t>、</w:t>
      </w:r>
      <w:r>
        <w:rPr>
          <w:rFonts w:ascii="標楷體" w:eastAsia="標楷體" w:hAnsi="標楷體"/>
          <w:color w:val="000000"/>
        </w:rPr>
        <w:t>glimepiride</w:t>
      </w:r>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(4)Meglitinide</w:t>
      </w:r>
      <w:r>
        <w:rPr>
          <w:rFonts w:ascii="標楷體" w:eastAsia="標楷體" w:hAnsi="標楷體"/>
          <w:color w:val="000000"/>
        </w:rPr>
        <w:t>：如</w:t>
      </w:r>
      <w:r>
        <w:rPr>
          <w:rFonts w:ascii="標楷體" w:eastAsia="標楷體" w:hAnsi="標楷體"/>
          <w:color w:val="000000"/>
        </w:rPr>
        <w:t>repaglinide</w:t>
      </w:r>
      <w:r>
        <w:rPr>
          <w:rFonts w:ascii="標楷體" w:eastAsia="標楷體" w:hAnsi="標楷體"/>
          <w:color w:val="000000"/>
        </w:rPr>
        <w:t>、</w:t>
      </w:r>
      <w:proofErr w:type="spellStart"/>
      <w:r>
        <w:rPr>
          <w:rFonts w:ascii="標楷體" w:eastAsia="標楷體" w:hAnsi="標楷體"/>
          <w:color w:val="000000"/>
        </w:rPr>
        <w:t>nateglinide</w:t>
      </w:r>
      <w:proofErr w:type="spellEnd"/>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(5)α-glucosidase inhibitor</w:t>
      </w:r>
      <w:r>
        <w:rPr>
          <w:rFonts w:ascii="標楷體" w:eastAsia="標楷體" w:hAnsi="標楷體"/>
          <w:color w:val="000000"/>
        </w:rPr>
        <w:t>：如</w:t>
      </w:r>
      <w:r>
        <w:rPr>
          <w:rFonts w:ascii="標楷體" w:eastAsia="標楷體" w:hAnsi="標楷體"/>
          <w:color w:val="000000"/>
        </w:rPr>
        <w:t>acarbose</w:t>
      </w:r>
      <w:r>
        <w:rPr>
          <w:rFonts w:ascii="標楷體" w:eastAsia="標楷體" w:hAnsi="標楷體"/>
          <w:color w:val="000000"/>
        </w:rPr>
        <w:t>、</w:t>
      </w:r>
      <w:r>
        <w:rPr>
          <w:rFonts w:ascii="標楷體" w:eastAsia="標楷體" w:hAnsi="標楷體"/>
          <w:color w:val="000000"/>
        </w:rPr>
        <w:t>miglitol</w:t>
      </w:r>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(6)Thiazolidinediones(TZD)</w:t>
      </w:r>
      <w:r>
        <w:rPr>
          <w:rFonts w:ascii="標楷體" w:eastAsia="標楷體" w:hAnsi="標楷體"/>
          <w:color w:val="000000"/>
        </w:rPr>
        <w:t>：如</w:t>
      </w:r>
      <w:r>
        <w:rPr>
          <w:rFonts w:ascii="標楷體" w:eastAsia="標楷體" w:hAnsi="標楷體"/>
          <w:color w:val="000000"/>
        </w:rPr>
        <w:t xml:space="preserve"> rosiglitazone</w:t>
      </w:r>
      <w:r>
        <w:rPr>
          <w:rFonts w:ascii="標楷體" w:eastAsia="標楷體" w:hAnsi="標楷體"/>
          <w:color w:val="000000"/>
        </w:rPr>
        <w:t>、</w:t>
      </w:r>
      <w:r>
        <w:rPr>
          <w:rFonts w:ascii="標楷體" w:eastAsia="標楷體" w:hAnsi="標楷體"/>
          <w:color w:val="000000"/>
        </w:rPr>
        <w:t>pioglitazone</w:t>
      </w:r>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(7)DPP-4</w:t>
      </w:r>
      <w:r>
        <w:rPr>
          <w:rFonts w:ascii="標楷體" w:eastAsia="標楷體" w:hAnsi="標楷體"/>
          <w:color w:val="000000"/>
        </w:rPr>
        <w:t>抑制劑：如</w:t>
      </w:r>
      <w:r>
        <w:rPr>
          <w:rFonts w:ascii="標楷體" w:eastAsia="標楷體" w:hAnsi="標楷體"/>
          <w:color w:val="000000"/>
        </w:rPr>
        <w:t>sitagliptin</w:t>
      </w:r>
      <w:r>
        <w:rPr>
          <w:rFonts w:ascii="標楷體" w:eastAsia="標楷體" w:hAnsi="標楷體"/>
          <w:color w:val="000000"/>
        </w:rPr>
        <w:t>、</w:t>
      </w:r>
      <w:r>
        <w:rPr>
          <w:rFonts w:ascii="標楷體" w:eastAsia="標楷體" w:hAnsi="標楷體"/>
          <w:color w:val="000000"/>
        </w:rPr>
        <w:t>vildagliptin</w:t>
      </w:r>
      <w:r>
        <w:rPr>
          <w:rFonts w:ascii="標楷體" w:eastAsia="標楷體" w:hAnsi="標楷體"/>
          <w:color w:val="000000"/>
        </w:rPr>
        <w:t>、</w:t>
      </w:r>
      <w:proofErr w:type="spellStart"/>
      <w:r>
        <w:rPr>
          <w:rFonts w:ascii="標楷體" w:eastAsia="標楷體" w:hAnsi="標楷體"/>
          <w:color w:val="000000"/>
        </w:rPr>
        <w:t>saxaglipt</w:t>
      </w:r>
      <w:r>
        <w:rPr>
          <w:rFonts w:ascii="標楷體" w:eastAsia="標楷體" w:hAnsi="標楷體"/>
          <w:color w:val="000000"/>
        </w:rPr>
        <w:t>in</w:t>
      </w:r>
      <w:proofErr w:type="spellEnd"/>
      <w:r>
        <w:rPr>
          <w:rFonts w:ascii="標楷體" w:eastAsia="標楷體" w:hAnsi="標楷體"/>
          <w:color w:val="000000"/>
        </w:rPr>
        <w:t>、</w:t>
      </w:r>
      <w:r>
        <w:rPr>
          <w:rFonts w:ascii="標楷體" w:eastAsia="標楷體" w:hAnsi="標楷體"/>
          <w:color w:val="000000"/>
        </w:rPr>
        <w:t>linagliptin</w:t>
      </w:r>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(8)GLP-1</w:t>
      </w:r>
      <w:r>
        <w:rPr>
          <w:rFonts w:ascii="標楷體" w:eastAsia="標楷體" w:hAnsi="標楷體"/>
          <w:color w:val="000000"/>
        </w:rPr>
        <w:t>受體</w:t>
      </w:r>
      <w:proofErr w:type="gramStart"/>
      <w:r>
        <w:rPr>
          <w:rFonts w:ascii="標楷體" w:eastAsia="標楷體" w:hAnsi="標楷體"/>
          <w:color w:val="000000"/>
        </w:rPr>
        <w:t>促效劑</w:t>
      </w:r>
      <w:proofErr w:type="gramEnd"/>
      <w:r>
        <w:rPr>
          <w:rFonts w:ascii="標楷體" w:eastAsia="標楷體" w:hAnsi="標楷體"/>
          <w:color w:val="000000"/>
        </w:rPr>
        <w:t>：如</w:t>
      </w:r>
      <w:r>
        <w:rPr>
          <w:rFonts w:ascii="標楷體" w:eastAsia="標楷體" w:hAnsi="標楷體"/>
          <w:color w:val="000000"/>
        </w:rPr>
        <w:t>exenatide</w:t>
      </w:r>
      <w:r>
        <w:rPr>
          <w:rFonts w:ascii="標楷體" w:eastAsia="標楷體" w:hAnsi="標楷體"/>
          <w:color w:val="000000"/>
        </w:rPr>
        <w:t>、</w:t>
      </w:r>
      <w:r>
        <w:rPr>
          <w:rFonts w:ascii="標楷體" w:eastAsia="標楷體" w:hAnsi="標楷體"/>
          <w:color w:val="000000"/>
        </w:rPr>
        <w:t>liraglutide</w:t>
      </w:r>
      <w:r>
        <w:rPr>
          <w:rFonts w:ascii="標楷體" w:eastAsia="標楷體" w:hAnsi="標楷體"/>
          <w:color w:val="000000"/>
        </w:rPr>
        <w:t>等。</w:t>
      </w:r>
    </w:p>
    <w:p w:rsidR="00203445" w:rsidRDefault="003100F1">
      <w:pPr>
        <w:ind w:left="1147" w:hanging="437"/>
        <w:rPr>
          <w:rFonts w:ascii="標楷體" w:eastAsia="標楷體" w:hAnsi="標楷體"/>
          <w:color w:val="000000"/>
        </w:rPr>
      </w:pPr>
      <w:r>
        <w:rPr>
          <w:rFonts w:ascii="標楷體" w:eastAsia="標楷體" w:hAnsi="標楷體"/>
          <w:color w:val="000000"/>
        </w:rPr>
        <w:t>(9)SGLT-2</w:t>
      </w:r>
      <w:r>
        <w:rPr>
          <w:rFonts w:ascii="標楷體" w:eastAsia="標楷體" w:hAnsi="標楷體"/>
          <w:color w:val="000000"/>
        </w:rPr>
        <w:t>抑制劑：如</w:t>
      </w:r>
      <w:r>
        <w:rPr>
          <w:rFonts w:ascii="標楷體" w:eastAsia="標楷體" w:hAnsi="標楷體"/>
          <w:color w:val="000000"/>
        </w:rPr>
        <w:t>empagliflozin</w:t>
      </w:r>
      <w:r>
        <w:rPr>
          <w:rFonts w:ascii="標楷體" w:eastAsia="標楷體" w:hAnsi="標楷體"/>
          <w:color w:val="000000"/>
        </w:rPr>
        <w:t>、</w:t>
      </w:r>
      <w:r>
        <w:rPr>
          <w:rFonts w:ascii="標楷體" w:eastAsia="標楷體" w:hAnsi="標楷體"/>
          <w:color w:val="000000"/>
        </w:rPr>
        <w:t>dapagliflozin</w:t>
      </w:r>
      <w:r>
        <w:rPr>
          <w:rFonts w:ascii="標楷體" w:eastAsia="標楷體" w:hAnsi="標楷體"/>
          <w:color w:val="000000"/>
        </w:rPr>
        <w:t>等。</w:t>
      </w:r>
    </w:p>
    <w:p w:rsidR="00203445" w:rsidRDefault="003100F1">
      <w:pPr>
        <w:ind w:left="1258" w:hanging="550"/>
        <w:rPr>
          <w:rFonts w:ascii="標楷體" w:eastAsia="標楷體" w:hAnsi="標楷體"/>
          <w:color w:val="000000"/>
        </w:rPr>
      </w:pPr>
      <w:r>
        <w:rPr>
          <w:rFonts w:ascii="標楷體" w:eastAsia="標楷體" w:hAnsi="標楷體"/>
          <w:color w:val="000000"/>
        </w:rPr>
        <w:t>(10)</w:t>
      </w:r>
      <w:r>
        <w:rPr>
          <w:rFonts w:ascii="標楷體" w:eastAsia="標楷體" w:hAnsi="標楷體"/>
          <w:color w:val="000000"/>
        </w:rPr>
        <w:t>各降血糖成分之口服複方製劑。</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使用條件：</w:t>
      </w:r>
      <w:r>
        <w:rPr>
          <w:rFonts w:ascii="標楷體" w:eastAsia="標楷體" w:hAnsi="標楷體"/>
          <w:color w:val="000000"/>
        </w:rPr>
        <w:t>(105/5/1)</w:t>
      </w:r>
    </w:p>
    <w:p w:rsidR="00203445" w:rsidRDefault="003100F1">
      <w:pPr>
        <w:ind w:left="1077" w:hanging="36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原則上第二型糖尿病治療應優先使用</w:t>
      </w:r>
      <w:r>
        <w:rPr>
          <w:rFonts w:ascii="標楷體" w:eastAsia="標楷體" w:hAnsi="標楷體"/>
          <w:color w:val="000000"/>
        </w:rPr>
        <w:t>metformin</w:t>
      </w:r>
      <w:r>
        <w:rPr>
          <w:rFonts w:ascii="標楷體" w:eastAsia="標楷體" w:hAnsi="標楷體"/>
          <w:color w:val="000000"/>
        </w:rPr>
        <w:t>，或考慮早期開始使用胰島素。除有過敏、禁忌症、</w:t>
      </w:r>
      <w:proofErr w:type="gramStart"/>
      <w:r>
        <w:rPr>
          <w:rFonts w:ascii="標楷體" w:eastAsia="標楷體" w:hAnsi="標楷體"/>
          <w:color w:val="000000"/>
        </w:rPr>
        <w:t>不</w:t>
      </w:r>
      <w:proofErr w:type="gramEnd"/>
      <w:r>
        <w:rPr>
          <w:rFonts w:ascii="標楷體" w:eastAsia="標楷體" w:hAnsi="標楷體"/>
          <w:color w:val="000000"/>
        </w:rPr>
        <w:t>能耐受或仍無法理想控制血糖的情形下，可使用其他類口服降血糖藥物。</w:t>
      </w:r>
    </w:p>
    <w:p w:rsidR="00203445" w:rsidRDefault="003100F1">
      <w:pPr>
        <w:ind w:left="1077" w:hanging="36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r>
        <w:rPr>
          <w:rFonts w:ascii="標楷體" w:eastAsia="標楷體" w:hAnsi="標楷體"/>
          <w:color w:val="000000"/>
        </w:rPr>
        <w:t>TZD</w:t>
      </w:r>
      <w:r>
        <w:rPr>
          <w:rFonts w:ascii="標楷體" w:eastAsia="標楷體" w:hAnsi="標楷體"/>
          <w:color w:val="000000"/>
        </w:rPr>
        <w:t>製劑、</w:t>
      </w:r>
      <w:r>
        <w:rPr>
          <w:rFonts w:ascii="標楷體" w:eastAsia="標楷體" w:hAnsi="標楷體"/>
          <w:color w:val="000000"/>
        </w:rPr>
        <w:t>DPP-4</w:t>
      </w:r>
      <w:r>
        <w:rPr>
          <w:rFonts w:ascii="標楷體" w:eastAsia="標楷體" w:hAnsi="標楷體"/>
          <w:color w:val="000000"/>
        </w:rPr>
        <w:t>抑制劑、</w:t>
      </w:r>
      <w:r>
        <w:rPr>
          <w:rFonts w:ascii="標楷體" w:eastAsia="標楷體" w:hAnsi="標楷體"/>
          <w:color w:val="000000"/>
        </w:rPr>
        <w:t>SGLT-2</w:t>
      </w:r>
      <w:r>
        <w:rPr>
          <w:rFonts w:ascii="標楷體" w:eastAsia="標楷體" w:hAnsi="標楷體"/>
          <w:color w:val="000000"/>
        </w:rPr>
        <w:t>抑制劑、以及含該</w:t>
      </w:r>
      <w:r>
        <w:rPr>
          <w:rFonts w:ascii="標楷體" w:eastAsia="標楷體" w:hAnsi="標楷體"/>
          <w:color w:val="000000"/>
        </w:rPr>
        <w:t>3</w:t>
      </w:r>
      <w:r>
        <w:rPr>
          <w:rFonts w:ascii="標楷體" w:eastAsia="標楷體" w:hAnsi="標楷體"/>
          <w:color w:val="000000"/>
        </w:rPr>
        <w:t>類成分之複方製劑，限用於已接受過最大耐受劑量的</w:t>
      </w:r>
      <w:r>
        <w:rPr>
          <w:rFonts w:ascii="標楷體" w:eastAsia="標楷體" w:hAnsi="標楷體"/>
          <w:color w:val="000000"/>
        </w:rPr>
        <w:t>metformin</w:t>
      </w:r>
      <w:r>
        <w:rPr>
          <w:rFonts w:ascii="標楷體" w:eastAsia="標楷體" w:hAnsi="標楷體"/>
          <w:color w:val="000000"/>
        </w:rPr>
        <w:t>仍無法理想控制血糖之第二型糖尿病病人，且</w:t>
      </w:r>
      <w:r>
        <w:rPr>
          <w:rFonts w:ascii="標楷體" w:eastAsia="標楷體" w:hAnsi="標楷體"/>
          <w:color w:val="000000"/>
        </w:rPr>
        <w:t>SGLT-2</w:t>
      </w:r>
      <w:r>
        <w:rPr>
          <w:rFonts w:ascii="標楷體" w:eastAsia="標楷體" w:hAnsi="標楷體"/>
          <w:color w:val="000000"/>
        </w:rPr>
        <w:t>抑制劑與</w:t>
      </w:r>
      <w:r>
        <w:rPr>
          <w:rFonts w:ascii="標楷體" w:eastAsia="標楷體" w:hAnsi="標楷體"/>
          <w:color w:val="000000"/>
        </w:rPr>
        <w:t>DPP-4</w:t>
      </w:r>
      <w:r>
        <w:rPr>
          <w:rFonts w:ascii="標楷體" w:eastAsia="標楷體" w:hAnsi="標楷體"/>
          <w:color w:val="000000"/>
        </w:rPr>
        <w:t>抑制劑及其複方製</w:t>
      </w:r>
      <w:proofErr w:type="gramStart"/>
      <w:r>
        <w:rPr>
          <w:rFonts w:ascii="標楷體" w:eastAsia="標楷體" w:hAnsi="標楷體"/>
          <w:color w:val="000000"/>
        </w:rPr>
        <w:t>劑宜二種擇</w:t>
      </w:r>
      <w:proofErr w:type="gramEnd"/>
      <w:r>
        <w:rPr>
          <w:rFonts w:ascii="標楷體" w:eastAsia="標楷體" w:hAnsi="標楷體"/>
          <w:color w:val="000000"/>
        </w:rPr>
        <w:t>一種使用。</w:t>
      </w:r>
    </w:p>
    <w:p w:rsidR="00203445" w:rsidRDefault="003100F1">
      <w:pPr>
        <w:ind w:left="1077" w:hanging="36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r>
      <w:r>
        <w:rPr>
          <w:rFonts w:ascii="標楷體" w:eastAsia="標楷體" w:hAnsi="標楷體"/>
          <w:color w:val="000000"/>
        </w:rPr>
        <w:t>第二型糖尿病</w:t>
      </w:r>
      <w:proofErr w:type="gramStart"/>
      <w:r>
        <w:rPr>
          <w:rFonts w:ascii="標楷體" w:eastAsia="標楷體" w:hAnsi="標楷體"/>
          <w:color w:val="000000"/>
        </w:rPr>
        <w:t>病人倘於使用</w:t>
      </w:r>
      <w:proofErr w:type="gramEnd"/>
      <w:r>
        <w:rPr>
          <w:rFonts w:ascii="標楷體" w:eastAsia="標楷體" w:hAnsi="標楷體"/>
          <w:color w:val="000000"/>
        </w:rPr>
        <w:t>三種口服降血糖藥物治療仍無法理想控制血糖者，宜考慮給予胰島素治療。</w:t>
      </w:r>
    </w:p>
    <w:p w:rsidR="00203445" w:rsidRDefault="003100F1">
      <w:pPr>
        <w:ind w:left="1077" w:hanging="367"/>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特約醫療院所應加強衛教第二型糖尿病病人，鼓勵健康生活型態的飲食和運動，如控制肥胖、限制熱量攝取等措施。</w:t>
      </w:r>
    </w:p>
    <w:p w:rsidR="00203445" w:rsidRDefault="003100F1">
      <w:pPr>
        <w:ind w:left="1077" w:hanging="367"/>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ab/>
      </w:r>
      <w:r>
        <w:rPr>
          <w:rFonts w:ascii="標楷體" w:eastAsia="標楷體" w:hAnsi="標楷體"/>
          <w:color w:val="000000"/>
        </w:rPr>
        <w:t>第二型糖尿病病人使用之口服降血糖藥物成分，以最多四種</w:t>
      </w:r>
      <w:r>
        <w:rPr>
          <w:rFonts w:ascii="標楷體" w:eastAsia="標楷體" w:hAnsi="標楷體"/>
          <w:color w:val="000000"/>
        </w:rPr>
        <w:t>(</w:t>
      </w:r>
      <w:r>
        <w:rPr>
          <w:rFonts w:ascii="標楷體" w:eastAsia="標楷體" w:hAnsi="標楷體"/>
          <w:color w:val="000000"/>
        </w:rPr>
        <w:t>含四種</w:t>
      </w:r>
      <w:r>
        <w:rPr>
          <w:rFonts w:ascii="標楷體" w:eastAsia="標楷體" w:hAnsi="標楷體"/>
          <w:color w:val="000000"/>
        </w:rPr>
        <w:t>)</w:t>
      </w:r>
      <w:r>
        <w:rPr>
          <w:rFonts w:ascii="標楷體" w:eastAsia="標楷體" w:hAnsi="標楷體"/>
          <w:color w:val="000000"/>
        </w:rPr>
        <w:t>為限。</w:t>
      </w:r>
    </w:p>
    <w:p w:rsidR="00203445" w:rsidRDefault="003100F1">
      <w:pPr>
        <w:ind w:left="708" w:hanging="2"/>
        <w:rPr>
          <w:rFonts w:ascii="標楷體" w:eastAsia="標楷體" w:hAnsi="標楷體"/>
          <w:color w:val="000000"/>
        </w:rPr>
      </w:pPr>
      <w:r>
        <w:rPr>
          <w:rFonts w:ascii="標楷體" w:eastAsia="標楷體" w:hAnsi="標楷體"/>
          <w:color w:val="000000"/>
        </w:rPr>
        <w:t>備註：本規定生效前已使用超過四種口服降血糖藥物成分之病人，得繼續使用原藥物至醫師更新其處方內容。</w:t>
      </w:r>
    </w:p>
    <w:p w:rsidR="00203445" w:rsidRDefault="003100F1">
      <w:pPr>
        <w:ind w:left="672" w:hanging="386"/>
        <w:rPr>
          <w:rFonts w:ascii="標楷體" w:eastAsia="標楷體" w:hAnsi="標楷體"/>
          <w:color w:val="000000"/>
        </w:rPr>
      </w:pPr>
      <w:r>
        <w:rPr>
          <w:rFonts w:ascii="標楷體" w:eastAsia="標楷體" w:hAnsi="標楷體"/>
          <w:color w:val="000000"/>
        </w:rPr>
        <w:t>5.1.1.Acarbose (</w:t>
      </w:r>
      <w:r>
        <w:rPr>
          <w:rFonts w:ascii="標楷體" w:eastAsia="標楷體" w:hAnsi="標楷體"/>
          <w:color w:val="000000"/>
        </w:rPr>
        <w:t>如</w:t>
      </w:r>
      <w:proofErr w:type="spellStart"/>
      <w:r>
        <w:rPr>
          <w:rFonts w:ascii="標楷體" w:eastAsia="標楷體" w:hAnsi="標楷體"/>
          <w:color w:val="000000"/>
        </w:rPr>
        <w:t>Glucobay</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miglitol (</w:t>
      </w:r>
      <w:r>
        <w:rPr>
          <w:rFonts w:ascii="標楷體" w:eastAsia="標楷體" w:hAnsi="標楷體"/>
          <w:color w:val="000000"/>
        </w:rPr>
        <w:t>如</w:t>
      </w:r>
      <w:proofErr w:type="spellStart"/>
      <w:r>
        <w:rPr>
          <w:rFonts w:ascii="標楷體" w:eastAsia="標楷體" w:hAnsi="標楷體"/>
          <w:color w:val="000000"/>
        </w:rPr>
        <w:t>Diaban</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86/1/1</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89/6/1</w:t>
      </w:r>
      <w:r>
        <w:rPr>
          <w:rFonts w:ascii="標楷體" w:eastAsia="標楷體" w:hAnsi="標楷體"/>
          <w:color w:val="000000"/>
        </w:rPr>
        <w:t>、</w:t>
      </w:r>
      <w:r>
        <w:rPr>
          <w:rFonts w:ascii="標楷體" w:eastAsia="標楷體" w:hAnsi="標楷體"/>
          <w:color w:val="000000"/>
        </w:rPr>
        <w:t>91/7/1</w:t>
      </w:r>
      <w:r>
        <w:rPr>
          <w:rFonts w:ascii="標楷體" w:eastAsia="標楷體" w:hAnsi="標楷體"/>
          <w:color w:val="000000"/>
        </w:rPr>
        <w:t>、</w:t>
      </w:r>
      <w:r>
        <w:rPr>
          <w:rFonts w:ascii="標楷體" w:eastAsia="標楷體" w:hAnsi="標楷體"/>
          <w:color w:val="000000"/>
        </w:rPr>
        <w:t>98/12/1</w:t>
      </w:r>
      <w:r>
        <w:rPr>
          <w:rFonts w:ascii="標楷體" w:eastAsia="標楷體" w:hAnsi="標楷體"/>
          <w:color w:val="000000"/>
        </w:rPr>
        <w:t>）</w:t>
      </w:r>
    </w:p>
    <w:p w:rsidR="00203445" w:rsidRDefault="003100F1">
      <w:pPr>
        <w:ind w:left="798" w:hanging="1"/>
        <w:rPr>
          <w:rFonts w:ascii="標楷體" w:eastAsia="標楷體" w:hAnsi="標楷體"/>
          <w:color w:val="000000"/>
        </w:rPr>
      </w:pPr>
      <w:r>
        <w:rPr>
          <w:rFonts w:ascii="標楷體" w:eastAsia="標楷體" w:hAnsi="標楷體"/>
          <w:color w:val="000000"/>
        </w:rPr>
        <w:lastRenderedPageBreak/>
        <w:t>限用於非胰島素依賴型糖尿病之治療。</w:t>
      </w:r>
    </w:p>
    <w:p w:rsidR="00203445" w:rsidRDefault="003100F1">
      <w:pPr>
        <w:ind w:left="672" w:hanging="386"/>
        <w:rPr>
          <w:rFonts w:ascii="標楷體" w:eastAsia="標楷體" w:hAnsi="標楷體"/>
          <w:color w:val="000000"/>
        </w:rPr>
      </w:pPr>
      <w:r>
        <w:rPr>
          <w:rFonts w:ascii="標楷體" w:eastAsia="標楷體" w:hAnsi="標楷體"/>
          <w:color w:val="000000"/>
        </w:rPr>
        <w:t>5.1.2.Guar gum (</w:t>
      </w:r>
      <w:r>
        <w:rPr>
          <w:rFonts w:ascii="標楷體" w:eastAsia="標楷體" w:hAnsi="標楷體"/>
          <w:color w:val="000000"/>
        </w:rPr>
        <w:t>如</w:t>
      </w:r>
      <w:proofErr w:type="spellStart"/>
      <w:r>
        <w:rPr>
          <w:rFonts w:ascii="標楷體" w:eastAsia="標楷體" w:hAnsi="標楷體"/>
          <w:color w:val="000000"/>
        </w:rPr>
        <w:t>Guarina</w:t>
      </w:r>
      <w:proofErr w:type="spellEnd"/>
      <w:r>
        <w:rPr>
          <w:rFonts w:ascii="標楷體" w:eastAsia="標楷體" w:hAnsi="標楷體"/>
          <w:color w:val="000000"/>
        </w:rPr>
        <w:t>；</w:t>
      </w:r>
      <w:proofErr w:type="spellStart"/>
      <w:r>
        <w:rPr>
          <w:rFonts w:ascii="標楷體" w:eastAsia="標楷體" w:hAnsi="標楷體"/>
          <w:color w:val="000000"/>
        </w:rPr>
        <w:t>Guarem</w:t>
      </w:r>
      <w:proofErr w:type="spellEnd"/>
      <w:r>
        <w:rPr>
          <w:rFonts w:ascii="標楷體" w:eastAsia="標楷體" w:hAnsi="標楷體"/>
          <w:color w:val="000000"/>
        </w:rPr>
        <w:t xml:space="preserve"> )</w:t>
      </w:r>
      <w:r>
        <w:rPr>
          <w:rFonts w:ascii="標楷體" w:eastAsia="標楷體" w:hAnsi="標楷體"/>
          <w:color w:val="000000"/>
        </w:rPr>
        <w:t>限糖尿病治療使用。</w:t>
      </w:r>
    </w:p>
    <w:p w:rsidR="00203445" w:rsidRDefault="003100F1">
      <w:pPr>
        <w:ind w:left="672" w:hanging="386"/>
        <w:rPr>
          <w:rFonts w:ascii="標楷體" w:eastAsia="標楷體" w:hAnsi="標楷體"/>
          <w:color w:val="000000"/>
        </w:rPr>
      </w:pPr>
      <w:r>
        <w:rPr>
          <w:rFonts w:ascii="標楷體" w:eastAsia="標楷體" w:hAnsi="標楷體"/>
          <w:color w:val="000000"/>
        </w:rPr>
        <w:t>5.1.3.GLP-1</w:t>
      </w:r>
      <w:r>
        <w:rPr>
          <w:rFonts w:ascii="標楷體" w:eastAsia="標楷體" w:hAnsi="標楷體"/>
          <w:color w:val="000000"/>
        </w:rPr>
        <w:t>受體</w:t>
      </w:r>
      <w:proofErr w:type="gramStart"/>
      <w:r>
        <w:rPr>
          <w:rFonts w:ascii="標楷體" w:eastAsia="標楷體" w:hAnsi="標楷體"/>
          <w:color w:val="000000"/>
        </w:rPr>
        <w:t>促效劑</w:t>
      </w:r>
      <w:proofErr w:type="gramEnd"/>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107/4/1</w:t>
      </w:r>
      <w:r>
        <w:rPr>
          <w:rFonts w:ascii="標楷體" w:eastAsia="標楷體" w:hAnsi="標楷體"/>
          <w:color w:val="000000"/>
        </w:rPr>
        <w:t>、</w:t>
      </w:r>
      <w:r>
        <w:rPr>
          <w:rFonts w:ascii="標楷體" w:eastAsia="標楷體" w:hAnsi="標楷體"/>
          <w:color w:val="000000"/>
        </w:rPr>
        <w:t>108/7/1)</w:t>
      </w:r>
    </w:p>
    <w:p w:rsidR="00203445" w:rsidRDefault="003100F1">
      <w:pPr>
        <w:ind w:left="672" w:hanging="386"/>
        <w:rPr>
          <w:rFonts w:ascii="標楷體" w:eastAsia="標楷體" w:hAnsi="標楷體"/>
          <w:color w:val="000000"/>
        </w:rPr>
      </w:pPr>
      <w:r>
        <w:rPr>
          <w:rFonts w:ascii="標楷體" w:eastAsia="標楷體" w:hAnsi="標楷體"/>
          <w:color w:val="000000"/>
        </w:rPr>
        <w:t>5.1.3.1.Exenatid</w:t>
      </w:r>
      <w:r>
        <w:rPr>
          <w:rFonts w:ascii="標楷體" w:eastAsia="標楷體" w:hAnsi="標楷體"/>
          <w:color w:val="000000"/>
        </w:rPr>
        <w:t>e(</w:t>
      </w:r>
      <w:r>
        <w:rPr>
          <w:rFonts w:ascii="標楷體" w:eastAsia="標楷體" w:hAnsi="標楷體"/>
          <w:color w:val="000000"/>
        </w:rPr>
        <w:t>如</w:t>
      </w:r>
      <w:proofErr w:type="spellStart"/>
      <w:r>
        <w:rPr>
          <w:rFonts w:ascii="標楷體" w:eastAsia="標楷體" w:hAnsi="標楷體"/>
          <w:color w:val="000000"/>
        </w:rPr>
        <w:t>Byetta</w:t>
      </w:r>
      <w:proofErr w:type="spellEnd"/>
      <w:r>
        <w:rPr>
          <w:rFonts w:ascii="標楷體" w:eastAsia="標楷體" w:hAnsi="標楷體"/>
          <w:color w:val="000000"/>
        </w:rPr>
        <w:t>)(100/5/1</w:t>
      </w:r>
      <w:r>
        <w:rPr>
          <w:rFonts w:ascii="標楷體" w:eastAsia="標楷體" w:hAnsi="標楷體"/>
          <w:color w:val="000000"/>
        </w:rPr>
        <w:t>、</w:t>
      </w:r>
      <w:r>
        <w:rPr>
          <w:rFonts w:ascii="標楷體" w:eastAsia="標楷體" w:hAnsi="標楷體"/>
          <w:color w:val="000000"/>
        </w:rPr>
        <w:t>105/5/1</w:t>
      </w:r>
      <w:r>
        <w:rPr>
          <w:rFonts w:ascii="標楷體" w:eastAsia="標楷體" w:hAnsi="標楷體"/>
          <w:color w:val="000000"/>
        </w:rPr>
        <w:t>、</w:t>
      </w:r>
      <w:r>
        <w:rPr>
          <w:rFonts w:ascii="標楷體" w:eastAsia="標楷體" w:hAnsi="標楷體"/>
          <w:color w:val="000000"/>
        </w:rPr>
        <w:t>107/4/1)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及</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sulfonylurea</w:t>
      </w:r>
      <w:r>
        <w:rPr>
          <w:rFonts w:ascii="標楷體" w:eastAsia="標楷體" w:hAnsi="標楷體"/>
          <w:color w:val="000000"/>
        </w:rPr>
        <w:t>類藥物仍無法理想控制血糖之第二型糖尿病患者。</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本藥品不得與</w:t>
      </w:r>
      <w:r>
        <w:rPr>
          <w:rFonts w:ascii="標楷體" w:eastAsia="標楷體" w:hAnsi="標楷體"/>
          <w:color w:val="000000"/>
        </w:rPr>
        <w:t>insulin</w:t>
      </w:r>
      <w:r>
        <w:rPr>
          <w:rFonts w:ascii="標楷體" w:eastAsia="標楷體" w:hAnsi="標楷體"/>
          <w:color w:val="000000"/>
        </w:rPr>
        <w:t>、</w:t>
      </w:r>
      <w:r>
        <w:rPr>
          <w:rFonts w:ascii="標楷體" w:eastAsia="標楷體" w:hAnsi="標楷體"/>
          <w:color w:val="000000"/>
        </w:rPr>
        <w:t>DPP-4</w:t>
      </w:r>
      <w:r>
        <w:rPr>
          <w:rFonts w:ascii="標楷體" w:eastAsia="標楷體" w:hAnsi="標楷體"/>
          <w:color w:val="000000"/>
        </w:rPr>
        <w:t>抑制劑、</w:t>
      </w:r>
      <w:r>
        <w:rPr>
          <w:rFonts w:ascii="標楷體" w:eastAsia="標楷體" w:hAnsi="標楷體"/>
          <w:color w:val="000000"/>
        </w:rPr>
        <w:t>SGLT-2</w:t>
      </w:r>
      <w:r>
        <w:rPr>
          <w:rFonts w:ascii="標楷體" w:eastAsia="標楷體" w:hAnsi="標楷體"/>
          <w:color w:val="000000"/>
        </w:rPr>
        <w:t>抑制劑等藥物</w:t>
      </w:r>
      <w:proofErr w:type="gramStart"/>
      <w:r>
        <w:rPr>
          <w:rFonts w:ascii="標楷體" w:eastAsia="標楷體" w:hAnsi="標楷體"/>
          <w:color w:val="000000"/>
        </w:rPr>
        <w:t>併</w:t>
      </w:r>
      <w:proofErr w:type="gramEnd"/>
      <w:r>
        <w:rPr>
          <w:rFonts w:ascii="標楷體" w:eastAsia="標楷體" w:hAnsi="標楷體"/>
          <w:color w:val="000000"/>
        </w:rPr>
        <w:t>用。</w:t>
      </w:r>
    </w:p>
    <w:p w:rsidR="00203445" w:rsidRDefault="003100F1">
      <w:pPr>
        <w:ind w:left="567" w:hanging="245"/>
        <w:rPr>
          <w:rFonts w:ascii="標楷體" w:eastAsia="標楷體" w:hAnsi="標楷體"/>
          <w:color w:val="000000"/>
        </w:rPr>
      </w:pPr>
      <w:r>
        <w:rPr>
          <w:rFonts w:ascii="標楷體" w:eastAsia="標楷體" w:hAnsi="標楷體"/>
          <w:color w:val="000000"/>
        </w:rPr>
        <w:t>5.1.3.2. Liraglutide (</w:t>
      </w:r>
      <w:r>
        <w:rPr>
          <w:rFonts w:ascii="標楷體" w:eastAsia="標楷體" w:hAnsi="標楷體"/>
          <w:color w:val="000000"/>
        </w:rPr>
        <w:t>如</w:t>
      </w:r>
      <w:r>
        <w:rPr>
          <w:rFonts w:ascii="標楷體" w:eastAsia="標楷體" w:hAnsi="標楷體"/>
          <w:color w:val="000000"/>
        </w:rPr>
        <w:t>Victoza)</w:t>
      </w:r>
      <w:r>
        <w:rPr>
          <w:rFonts w:ascii="標楷體" w:eastAsia="標楷體" w:hAnsi="標楷體"/>
          <w:color w:val="000000"/>
        </w:rPr>
        <w:t>、</w:t>
      </w:r>
      <w:r>
        <w:rPr>
          <w:rFonts w:ascii="標楷體" w:eastAsia="標楷體" w:hAnsi="標楷體"/>
          <w:color w:val="000000"/>
        </w:rPr>
        <w:t>dulaglutide (</w:t>
      </w:r>
      <w:r>
        <w:rPr>
          <w:rFonts w:ascii="標楷體" w:eastAsia="標楷體" w:hAnsi="標楷體"/>
          <w:color w:val="000000"/>
        </w:rPr>
        <w:t>如</w:t>
      </w:r>
      <w:r>
        <w:rPr>
          <w:rFonts w:ascii="標楷體" w:eastAsia="標楷體" w:hAnsi="標楷體"/>
          <w:color w:val="000000"/>
        </w:rPr>
        <w:t>Trulicity)</w:t>
      </w:r>
      <w:r>
        <w:rPr>
          <w:rFonts w:ascii="標楷體" w:eastAsia="標楷體" w:hAnsi="標楷體"/>
          <w:color w:val="000000"/>
        </w:rPr>
        <w:t>、</w:t>
      </w:r>
      <w:proofErr w:type="spellStart"/>
      <w:r>
        <w:rPr>
          <w:rFonts w:ascii="標楷體" w:eastAsia="標楷體" w:hAnsi="標楷體"/>
          <w:color w:val="000000"/>
        </w:rPr>
        <w:t>lixisenatide</w:t>
      </w:r>
      <w:proofErr w:type="spellEnd"/>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Lyxumia</w:t>
      </w:r>
      <w:proofErr w:type="spellEnd"/>
      <w:r>
        <w:rPr>
          <w:rFonts w:ascii="標楷體" w:eastAsia="標楷體" w:hAnsi="標楷體"/>
          <w:color w:val="000000"/>
        </w:rPr>
        <w:t xml:space="preserve">) </w:t>
      </w:r>
      <w:r>
        <w:rPr>
          <w:rFonts w:ascii="標楷體" w:eastAsia="標楷體" w:hAnsi="標楷體"/>
          <w:color w:val="000000"/>
        </w:rPr>
        <w:t>、</w:t>
      </w:r>
      <w:proofErr w:type="spellStart"/>
      <w:r>
        <w:rPr>
          <w:rFonts w:ascii="標楷體" w:eastAsia="標楷體" w:hAnsi="標楷體"/>
          <w:color w:val="000000"/>
        </w:rPr>
        <w:t>semaglutide</w:t>
      </w:r>
      <w:proofErr w:type="spellEnd"/>
      <w:r>
        <w:rPr>
          <w:rFonts w:ascii="標楷體" w:eastAsia="標楷體" w:hAnsi="標楷體"/>
          <w:color w:val="000000"/>
        </w:rPr>
        <w:t>（如</w:t>
      </w:r>
      <w:proofErr w:type="spellStart"/>
      <w:r>
        <w:rPr>
          <w:rFonts w:ascii="標楷體" w:eastAsia="標楷體" w:hAnsi="標楷體"/>
          <w:color w:val="000000"/>
        </w:rPr>
        <w:t>Ozempic</w:t>
      </w:r>
      <w:proofErr w:type="spellEnd"/>
      <w:r>
        <w:rPr>
          <w:rFonts w:ascii="標楷體" w:eastAsia="標楷體" w:hAnsi="標楷體"/>
          <w:color w:val="000000"/>
        </w:rPr>
        <w:t>）</w:t>
      </w:r>
      <w:r>
        <w:rPr>
          <w:rFonts w:ascii="標楷體" w:eastAsia="標楷體" w:hAnsi="標楷體"/>
          <w:color w:val="000000"/>
        </w:rPr>
        <w:t>(101/10/1</w:t>
      </w:r>
      <w:r>
        <w:rPr>
          <w:rFonts w:ascii="標楷體" w:eastAsia="標楷體" w:hAnsi="標楷體"/>
          <w:color w:val="000000"/>
        </w:rPr>
        <w:t>、</w:t>
      </w:r>
      <w:r>
        <w:rPr>
          <w:rFonts w:ascii="標楷體" w:eastAsia="標楷體" w:hAnsi="標楷體"/>
          <w:color w:val="000000"/>
        </w:rPr>
        <w:t>105/</w:t>
      </w:r>
      <w:r>
        <w:rPr>
          <w:rFonts w:ascii="標楷體" w:eastAsia="標楷體" w:hAnsi="標楷體"/>
          <w:color w:val="000000"/>
        </w:rPr>
        <w:t>5/1</w:t>
      </w:r>
      <w:r>
        <w:rPr>
          <w:rFonts w:ascii="標楷體" w:eastAsia="標楷體" w:hAnsi="標楷體"/>
          <w:color w:val="000000"/>
        </w:rPr>
        <w:t>、</w:t>
      </w:r>
      <w:r>
        <w:rPr>
          <w:rFonts w:ascii="標楷體" w:eastAsia="標楷體" w:hAnsi="標楷體"/>
          <w:color w:val="000000"/>
        </w:rPr>
        <w:t>105/8/1</w:t>
      </w:r>
      <w:r>
        <w:rPr>
          <w:rFonts w:ascii="標楷體" w:eastAsia="標楷體" w:hAnsi="標楷體"/>
          <w:color w:val="000000"/>
        </w:rPr>
        <w:t>、</w:t>
      </w:r>
      <w:r>
        <w:rPr>
          <w:rFonts w:ascii="標楷體" w:eastAsia="標楷體" w:hAnsi="標楷體"/>
          <w:color w:val="000000"/>
        </w:rPr>
        <w:t>107/4/1</w:t>
      </w:r>
      <w:r>
        <w:rPr>
          <w:rFonts w:ascii="標楷體" w:eastAsia="標楷體" w:hAnsi="標楷體"/>
          <w:color w:val="000000"/>
        </w:rPr>
        <w:t>、</w:t>
      </w:r>
      <w:r>
        <w:rPr>
          <w:rFonts w:ascii="標楷體" w:eastAsia="標楷體" w:hAnsi="標楷體"/>
          <w:color w:val="000000"/>
        </w:rPr>
        <w:t>107/7/1</w:t>
      </w:r>
      <w:r>
        <w:rPr>
          <w:rFonts w:ascii="標楷體" w:eastAsia="標楷體" w:hAnsi="標楷體"/>
          <w:color w:val="000000"/>
        </w:rPr>
        <w:t>、</w:t>
      </w:r>
      <w:r>
        <w:rPr>
          <w:rFonts w:ascii="標楷體" w:eastAsia="標楷體" w:hAnsi="標楷體"/>
          <w:color w:val="000000"/>
        </w:rPr>
        <w:t>109/5/1</w:t>
      </w:r>
      <w:r>
        <w:rPr>
          <w:rFonts w:ascii="標楷體" w:eastAsia="標楷體" w:hAnsi="標楷體"/>
          <w:color w:val="000000"/>
        </w:rPr>
        <w:t>、</w:t>
      </w:r>
      <w:r>
        <w:rPr>
          <w:rFonts w:ascii="標楷體" w:eastAsia="標楷體" w:hAnsi="標楷體"/>
          <w:color w:val="000000"/>
        </w:rPr>
        <w:t>109/8/1</w:t>
      </w:r>
      <w:r>
        <w:rPr>
          <w:rFonts w:ascii="標楷體" w:eastAsia="標楷體" w:hAnsi="標楷體"/>
          <w:color w:val="000000"/>
        </w:rPr>
        <w:t>、</w:t>
      </w:r>
      <w:r>
        <w:rPr>
          <w:rFonts w:ascii="標楷體" w:eastAsia="標楷體" w:hAnsi="標楷體"/>
          <w:color w:val="000000"/>
        </w:rPr>
        <w:t>109/9/1</w:t>
      </w:r>
      <w:r>
        <w:rPr>
          <w:rFonts w:ascii="標楷體" w:eastAsia="標楷體" w:hAnsi="標楷體"/>
          <w:color w:val="000000"/>
        </w:rPr>
        <w:t>、</w:t>
      </w:r>
      <w:r>
        <w:rPr>
          <w:rFonts w:ascii="標楷體" w:eastAsia="標楷體" w:hAnsi="標楷體"/>
          <w:color w:val="000000"/>
        </w:rPr>
        <w:t>109/12/1)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及</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sulfonylurea</w:t>
      </w:r>
      <w:r>
        <w:rPr>
          <w:rFonts w:ascii="標楷體" w:eastAsia="標楷體" w:hAnsi="標楷體"/>
          <w:color w:val="000000"/>
        </w:rPr>
        <w:t>類藥物，且</w:t>
      </w:r>
      <w:proofErr w:type="gramStart"/>
      <w:r>
        <w:rPr>
          <w:rFonts w:ascii="標楷體" w:eastAsia="標楷體" w:hAnsi="標楷體"/>
          <w:color w:val="000000"/>
        </w:rPr>
        <w:t>併</w:t>
      </w:r>
      <w:proofErr w:type="gramEnd"/>
      <w:r>
        <w:rPr>
          <w:rFonts w:ascii="標楷體" w:eastAsia="標楷體" w:hAnsi="標楷體"/>
          <w:color w:val="000000"/>
        </w:rPr>
        <w:t>用下列藥品之一持續</w:t>
      </w:r>
      <w:r>
        <w:rPr>
          <w:rFonts w:ascii="標楷體" w:eastAsia="標楷體" w:hAnsi="標楷體"/>
          <w:color w:val="000000"/>
        </w:rPr>
        <w:t>6</w:t>
      </w:r>
      <w:r>
        <w:rPr>
          <w:rFonts w:ascii="標楷體" w:eastAsia="標楷體" w:hAnsi="標楷體"/>
          <w:color w:val="000000"/>
        </w:rPr>
        <w:t>個月之後，</w:t>
      </w:r>
      <w:r>
        <w:rPr>
          <w:rFonts w:ascii="標楷體" w:eastAsia="標楷體" w:hAnsi="標楷體"/>
          <w:color w:val="000000"/>
        </w:rPr>
        <w:t>HbA1c</w:t>
      </w:r>
      <w:r>
        <w:rPr>
          <w:rFonts w:ascii="標楷體" w:eastAsia="標楷體" w:hAnsi="標楷體"/>
          <w:color w:val="000000"/>
        </w:rPr>
        <w:t>仍高於</w:t>
      </w:r>
      <w:r>
        <w:rPr>
          <w:rFonts w:ascii="標楷體" w:eastAsia="標楷體" w:hAnsi="標楷體"/>
          <w:color w:val="000000"/>
        </w:rPr>
        <w:t>8.5%</w:t>
      </w:r>
      <w:r>
        <w:rPr>
          <w:rFonts w:ascii="標楷體" w:eastAsia="標楷體" w:hAnsi="標楷體"/>
          <w:color w:val="000000"/>
        </w:rPr>
        <w:t>以上之第二型糖尿病患者：</w:t>
      </w:r>
      <w:r>
        <w:rPr>
          <w:rFonts w:ascii="標楷體" w:eastAsia="標楷體" w:hAnsi="標楷體"/>
          <w:color w:val="000000"/>
        </w:rPr>
        <w:t>(109/5/1)</w:t>
      </w:r>
    </w:p>
    <w:p w:rsidR="00203445" w:rsidRDefault="003100F1">
      <w:pPr>
        <w:ind w:left="1134" w:hanging="245"/>
        <w:rPr>
          <w:rFonts w:ascii="標楷體" w:eastAsia="標楷體" w:hAnsi="標楷體"/>
          <w:color w:val="000000"/>
        </w:rPr>
      </w:pPr>
      <w:r>
        <w:rPr>
          <w:rFonts w:ascii="標楷體" w:eastAsia="標楷體" w:hAnsi="標楷體"/>
          <w:color w:val="000000"/>
        </w:rPr>
        <w:t>(1)SGLT-2</w:t>
      </w:r>
      <w:r>
        <w:rPr>
          <w:rFonts w:ascii="標楷體" w:eastAsia="標楷體" w:hAnsi="標楷體"/>
          <w:color w:val="000000"/>
        </w:rPr>
        <w:t>抑制劑</w:t>
      </w:r>
    </w:p>
    <w:p w:rsidR="00203445" w:rsidRDefault="003100F1">
      <w:pPr>
        <w:ind w:left="1134" w:hanging="245"/>
        <w:rPr>
          <w:rFonts w:ascii="標楷體" w:eastAsia="標楷體" w:hAnsi="標楷體"/>
          <w:color w:val="000000"/>
        </w:rPr>
      </w:pPr>
      <w:r>
        <w:rPr>
          <w:rFonts w:ascii="標楷體" w:eastAsia="標楷體" w:hAnsi="標楷體"/>
          <w:color w:val="000000"/>
        </w:rPr>
        <w:t>(2)DPP-4</w:t>
      </w:r>
      <w:r>
        <w:rPr>
          <w:rFonts w:ascii="標楷體" w:eastAsia="標楷體" w:hAnsi="標楷體"/>
          <w:color w:val="000000"/>
        </w:rPr>
        <w:t>抑制劑</w:t>
      </w:r>
    </w:p>
    <w:p w:rsidR="00203445" w:rsidRDefault="003100F1">
      <w:pPr>
        <w:ind w:left="1134" w:hanging="245"/>
        <w:rPr>
          <w:rFonts w:ascii="標楷體" w:eastAsia="標楷體" w:hAnsi="標楷體"/>
          <w:color w:val="000000"/>
        </w:rPr>
      </w:pPr>
      <w:r>
        <w:rPr>
          <w:rFonts w:ascii="標楷體" w:eastAsia="標楷體" w:hAnsi="標楷體"/>
          <w:color w:val="000000"/>
        </w:rPr>
        <w:t>(3)SGLT-2</w:t>
      </w:r>
      <w:r>
        <w:rPr>
          <w:rFonts w:ascii="標楷體" w:eastAsia="標楷體" w:hAnsi="標楷體"/>
          <w:color w:val="000000"/>
        </w:rPr>
        <w:t>抑制劑合併</w:t>
      </w:r>
      <w:r>
        <w:rPr>
          <w:rFonts w:ascii="標楷體" w:eastAsia="標楷體" w:hAnsi="標楷體"/>
          <w:color w:val="000000"/>
        </w:rPr>
        <w:t>DPP-4</w:t>
      </w:r>
      <w:r>
        <w:rPr>
          <w:rFonts w:ascii="標楷體" w:eastAsia="標楷體" w:hAnsi="標楷體"/>
          <w:color w:val="000000"/>
        </w:rPr>
        <w:t>抑制劑複方藥品</w:t>
      </w:r>
    </w:p>
    <w:p w:rsidR="00203445" w:rsidRDefault="003100F1">
      <w:pPr>
        <w:ind w:left="1134" w:hanging="245"/>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4)Insulin</w:t>
      </w:r>
      <w:proofErr w:type="gramEnd"/>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當患者已接受前述口服降血糖藥物，及</w:t>
      </w:r>
      <w:r>
        <w:rPr>
          <w:rFonts w:ascii="標楷體" w:eastAsia="標楷體" w:hAnsi="標楷體"/>
          <w:color w:val="000000"/>
        </w:rPr>
        <w:t>/</w:t>
      </w:r>
      <w:r>
        <w:rPr>
          <w:rFonts w:ascii="標楷體" w:eastAsia="標楷體" w:hAnsi="標楷體"/>
          <w:color w:val="000000"/>
        </w:rPr>
        <w:t>或基礎胰島素治療仍未達理想血糖控</w:t>
      </w:r>
      <w:r>
        <w:rPr>
          <w:rFonts w:ascii="標楷體" w:eastAsia="標楷體" w:hAnsi="標楷體"/>
          <w:color w:val="000000"/>
        </w:rPr>
        <w:t>制時，與口服降血糖藥物及</w:t>
      </w:r>
      <w:r>
        <w:rPr>
          <w:rFonts w:ascii="標楷體" w:eastAsia="標楷體" w:hAnsi="標楷體"/>
          <w:color w:val="000000"/>
        </w:rPr>
        <w:t>/</w:t>
      </w:r>
      <w:r>
        <w:rPr>
          <w:rFonts w:ascii="標楷體" w:eastAsia="標楷體" w:hAnsi="標楷體"/>
          <w:color w:val="000000"/>
        </w:rPr>
        <w:t>或基礎胰島素</w:t>
      </w:r>
      <w:proofErr w:type="gramStart"/>
      <w:r>
        <w:rPr>
          <w:rFonts w:ascii="標楷體" w:eastAsia="標楷體" w:hAnsi="標楷體"/>
          <w:color w:val="000000"/>
        </w:rPr>
        <w:t>併</w:t>
      </w:r>
      <w:proofErr w:type="gramEnd"/>
      <w:r>
        <w:rPr>
          <w:rFonts w:ascii="標楷體" w:eastAsia="標楷體" w:hAnsi="標楷體"/>
          <w:color w:val="000000"/>
        </w:rPr>
        <w:t>用。</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發生重大心血管事件，如心肌梗塞、接受冠狀動脈或其他動脈血管</w:t>
      </w:r>
      <w:proofErr w:type="gramStart"/>
      <w:r>
        <w:rPr>
          <w:rFonts w:ascii="標楷體" w:eastAsia="標楷體" w:hAnsi="標楷體"/>
          <w:color w:val="000000"/>
        </w:rPr>
        <w:t>再通術</w:t>
      </w:r>
      <w:proofErr w:type="gramEnd"/>
      <w:r>
        <w:rPr>
          <w:rFonts w:ascii="標楷體" w:eastAsia="標楷體" w:hAnsi="標楷體"/>
          <w:color w:val="000000"/>
        </w:rPr>
        <w:t>(revascularization)</w:t>
      </w:r>
      <w:r>
        <w:rPr>
          <w:rFonts w:ascii="標楷體" w:eastAsia="標楷體" w:hAnsi="標楷體"/>
          <w:color w:val="000000"/>
        </w:rPr>
        <w:t>、動脈硬化相關之缺血性腦中風等之病人，於接受過最大耐受劑量的</w:t>
      </w:r>
      <w:r>
        <w:rPr>
          <w:rFonts w:ascii="標楷體" w:eastAsia="標楷體" w:hAnsi="標楷體"/>
          <w:color w:val="000000"/>
        </w:rPr>
        <w:t>metformin</w:t>
      </w:r>
      <w:r>
        <w:rPr>
          <w:rFonts w:ascii="標楷體" w:eastAsia="標楷體" w:hAnsi="標楷體"/>
          <w:color w:val="000000"/>
        </w:rPr>
        <w:t>後，仍無法理想控制血糖之第二型糖尿病患者，可考慮不須使用其他口服降血糖藥品而考慮使用</w:t>
      </w:r>
      <w:r>
        <w:rPr>
          <w:rFonts w:ascii="標楷體" w:eastAsia="標楷體" w:hAnsi="標楷體"/>
          <w:color w:val="000000"/>
        </w:rPr>
        <w:t>liraglutide</w:t>
      </w:r>
      <w:r>
        <w:rPr>
          <w:rFonts w:ascii="標楷體" w:eastAsia="標楷體" w:hAnsi="標楷體"/>
          <w:color w:val="000000"/>
        </w:rPr>
        <w:t>或</w:t>
      </w:r>
      <w:r>
        <w:rPr>
          <w:rFonts w:ascii="標楷體" w:eastAsia="標楷體" w:hAnsi="標楷體"/>
          <w:color w:val="000000"/>
        </w:rPr>
        <w:t>dulaglutide</w:t>
      </w:r>
      <w:r>
        <w:rPr>
          <w:rFonts w:ascii="標楷體" w:eastAsia="標楷體" w:hAnsi="標楷體"/>
          <w:color w:val="000000"/>
        </w:rPr>
        <w:t>或</w:t>
      </w:r>
      <w:proofErr w:type="spellStart"/>
      <w:r>
        <w:rPr>
          <w:rFonts w:ascii="標楷體" w:eastAsia="標楷體" w:hAnsi="標楷體"/>
          <w:color w:val="000000"/>
        </w:rPr>
        <w:t>semaglutide</w:t>
      </w:r>
      <w:proofErr w:type="spellEnd"/>
      <w:r>
        <w:rPr>
          <w:rFonts w:ascii="標楷體" w:eastAsia="標楷體" w:hAnsi="標楷體"/>
          <w:color w:val="000000"/>
        </w:rPr>
        <w:t>。</w:t>
      </w:r>
      <w:r>
        <w:rPr>
          <w:rFonts w:ascii="標楷體" w:eastAsia="標楷體" w:hAnsi="標楷體"/>
          <w:color w:val="000000"/>
        </w:rPr>
        <w:t>(109/12/1)</w:t>
      </w:r>
    </w:p>
    <w:p w:rsidR="00203445" w:rsidRDefault="003100F1">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本藥品不得與</w:t>
      </w:r>
      <w:r>
        <w:rPr>
          <w:rFonts w:ascii="標楷體" w:eastAsia="標楷體" w:hAnsi="標楷體"/>
          <w:color w:val="000000"/>
        </w:rPr>
        <w:t>DPP-4</w:t>
      </w:r>
      <w:r>
        <w:rPr>
          <w:rFonts w:ascii="標楷體" w:eastAsia="標楷體" w:hAnsi="標楷體"/>
          <w:color w:val="000000"/>
        </w:rPr>
        <w:t>抑制劑、</w:t>
      </w:r>
      <w:r>
        <w:rPr>
          <w:rFonts w:ascii="標楷體" w:eastAsia="標楷體" w:hAnsi="標楷體"/>
          <w:color w:val="000000"/>
        </w:rPr>
        <w:t>SGLT-2</w:t>
      </w:r>
      <w:r>
        <w:rPr>
          <w:rFonts w:ascii="標楷體" w:eastAsia="標楷體" w:hAnsi="標楷體"/>
          <w:color w:val="000000"/>
        </w:rPr>
        <w:t>抑制劑</w:t>
      </w:r>
      <w:proofErr w:type="gramStart"/>
      <w:r>
        <w:rPr>
          <w:rFonts w:ascii="標楷體" w:eastAsia="標楷體" w:hAnsi="標楷體"/>
          <w:color w:val="000000"/>
        </w:rPr>
        <w:t>併</w:t>
      </w:r>
      <w:proofErr w:type="gramEnd"/>
      <w:r>
        <w:rPr>
          <w:rFonts w:ascii="標楷體" w:eastAsia="標楷體" w:hAnsi="標楷體"/>
          <w:color w:val="000000"/>
        </w:rPr>
        <w:t>用。</w:t>
      </w:r>
    </w:p>
    <w:p w:rsidR="00203445" w:rsidRDefault="003100F1">
      <w:pPr>
        <w:ind w:left="811" w:hanging="245"/>
        <w:rPr>
          <w:rFonts w:ascii="標楷體" w:eastAsia="標楷體" w:hAnsi="標楷體"/>
          <w:color w:val="000000"/>
        </w:rPr>
      </w:pPr>
      <w:r>
        <w:rPr>
          <w:rFonts w:ascii="標楷體" w:eastAsia="標楷體" w:hAnsi="標楷體"/>
          <w:color w:val="000000"/>
        </w:rPr>
        <w:t>5.109</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1</w:t>
      </w:r>
      <w:r>
        <w:rPr>
          <w:rFonts w:ascii="標楷體" w:eastAsia="標楷體" w:hAnsi="標楷體"/>
          <w:color w:val="000000"/>
        </w:rPr>
        <w:t>日前已依生效前之給付規定</w:t>
      </w:r>
      <w:proofErr w:type="gramStart"/>
      <w:r>
        <w:rPr>
          <w:rFonts w:ascii="標楷體" w:eastAsia="標楷體" w:hAnsi="標楷體"/>
          <w:color w:val="000000"/>
        </w:rPr>
        <w:t>使用本類藥物</w:t>
      </w:r>
      <w:proofErr w:type="gramEnd"/>
      <w:r>
        <w:rPr>
          <w:rFonts w:ascii="標楷體" w:eastAsia="標楷體" w:hAnsi="標楷體"/>
          <w:color w:val="000000"/>
        </w:rPr>
        <w:t>之病人，得繼續使用原藥物至醫師更新其處方內容（</w:t>
      </w:r>
      <w:r>
        <w:rPr>
          <w:rFonts w:ascii="標楷體" w:eastAsia="標楷體" w:hAnsi="標楷體"/>
          <w:color w:val="000000"/>
        </w:rPr>
        <w:t>109/8/1</w:t>
      </w:r>
      <w:r>
        <w:rPr>
          <w:rFonts w:ascii="標楷體" w:eastAsia="標楷體" w:hAnsi="標楷體"/>
          <w:color w:val="000000"/>
        </w:rPr>
        <w:t>）。</w:t>
      </w:r>
    </w:p>
    <w:p w:rsidR="00203445" w:rsidRDefault="003100F1">
      <w:pPr>
        <w:ind w:left="284"/>
        <w:rPr>
          <w:rFonts w:ascii="標楷體" w:eastAsia="標楷體" w:hAnsi="標楷體"/>
          <w:color w:val="000000"/>
        </w:rPr>
      </w:pPr>
      <w:r>
        <w:rPr>
          <w:rFonts w:ascii="標楷體" w:eastAsia="標楷體" w:hAnsi="標楷體"/>
          <w:color w:val="000000"/>
        </w:rPr>
        <w:t>5.1.3.3.</w:t>
      </w:r>
      <w:r>
        <w:rPr>
          <w:rFonts w:ascii="標楷體" w:eastAsia="標楷體" w:hAnsi="標楷體"/>
          <w:color w:val="000000"/>
        </w:rPr>
        <w:t>含</w:t>
      </w:r>
      <w:proofErr w:type="spellStart"/>
      <w:r>
        <w:rPr>
          <w:rFonts w:ascii="標楷體" w:eastAsia="標楷體" w:hAnsi="標楷體"/>
          <w:color w:val="000000"/>
        </w:rPr>
        <w:t>lixisenatide</w:t>
      </w:r>
      <w:proofErr w:type="spellEnd"/>
      <w:r>
        <w:rPr>
          <w:rFonts w:ascii="標楷體" w:eastAsia="標楷體" w:hAnsi="標楷體"/>
          <w:color w:val="000000"/>
        </w:rPr>
        <w:t>及</w:t>
      </w:r>
      <w:r>
        <w:rPr>
          <w:rFonts w:ascii="標楷體" w:eastAsia="標楷體" w:hAnsi="標楷體"/>
          <w:color w:val="000000"/>
        </w:rPr>
        <w:t>insulin glargine</w:t>
      </w:r>
      <w:r>
        <w:rPr>
          <w:rFonts w:ascii="標楷體" w:eastAsia="標楷體" w:hAnsi="標楷體"/>
          <w:color w:val="000000"/>
        </w:rPr>
        <w:t>之複方製劑</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Soliqua</w:t>
      </w:r>
      <w:proofErr w:type="spellEnd"/>
      <w:r>
        <w:rPr>
          <w:rFonts w:ascii="標楷體" w:eastAsia="標楷體" w:hAnsi="標楷體"/>
          <w:color w:val="000000"/>
        </w:rPr>
        <w:t>)(108/7/1</w:t>
      </w:r>
      <w:r>
        <w:rPr>
          <w:rFonts w:ascii="標楷體" w:eastAsia="標楷體" w:hAnsi="標楷體"/>
          <w:color w:val="000000"/>
        </w:rPr>
        <w:t>、</w:t>
      </w:r>
      <w:r>
        <w:rPr>
          <w:rFonts w:ascii="標楷體" w:eastAsia="標楷體" w:hAnsi="標楷體"/>
          <w:color w:val="000000"/>
        </w:rPr>
        <w:t>110/7/1)</w:t>
      </w:r>
    </w:p>
    <w:p w:rsidR="00203445" w:rsidRDefault="003100F1">
      <w:pPr>
        <w:ind w:left="56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及</w:t>
      </w:r>
      <w:r>
        <w:rPr>
          <w:rFonts w:ascii="標楷體" w:eastAsia="標楷體" w:hAnsi="標楷體"/>
          <w:color w:val="000000"/>
        </w:rPr>
        <w:t>/</w:t>
      </w:r>
      <w:r>
        <w:rPr>
          <w:rFonts w:ascii="標楷體" w:eastAsia="標楷體" w:hAnsi="標楷體"/>
          <w:color w:val="000000"/>
        </w:rPr>
        <w:t>或</w:t>
      </w:r>
      <w:r>
        <w:rPr>
          <w:rFonts w:ascii="標楷體" w:eastAsia="標楷體" w:hAnsi="標楷體"/>
          <w:color w:val="000000"/>
        </w:rPr>
        <w:t>sulfonylurea</w:t>
      </w:r>
      <w:r>
        <w:rPr>
          <w:rFonts w:ascii="標楷體" w:eastAsia="標楷體" w:hAnsi="標楷體"/>
          <w:color w:val="000000"/>
        </w:rPr>
        <w:t>類藥物，且</w:t>
      </w:r>
      <w:proofErr w:type="gramStart"/>
      <w:r>
        <w:rPr>
          <w:rFonts w:ascii="標楷體" w:eastAsia="標楷體" w:hAnsi="標楷體"/>
          <w:color w:val="000000"/>
        </w:rPr>
        <w:t>併</w:t>
      </w:r>
      <w:proofErr w:type="gramEnd"/>
      <w:r>
        <w:rPr>
          <w:rFonts w:ascii="標楷體" w:eastAsia="標楷體" w:hAnsi="標楷體"/>
          <w:color w:val="000000"/>
        </w:rPr>
        <w:t>用下列藥品之一持續</w:t>
      </w:r>
      <w:r>
        <w:rPr>
          <w:rFonts w:ascii="標楷體" w:eastAsia="標楷體" w:hAnsi="標楷體"/>
          <w:color w:val="000000"/>
        </w:rPr>
        <w:t>6</w:t>
      </w:r>
      <w:r>
        <w:rPr>
          <w:rFonts w:ascii="標楷體" w:eastAsia="標楷體" w:hAnsi="標楷體"/>
          <w:color w:val="000000"/>
        </w:rPr>
        <w:t>個月之後，</w:t>
      </w:r>
      <w:r>
        <w:rPr>
          <w:rFonts w:ascii="標楷體" w:eastAsia="標楷體" w:hAnsi="標楷體"/>
          <w:color w:val="000000"/>
        </w:rPr>
        <w:t>HbA1c</w:t>
      </w:r>
      <w:r>
        <w:rPr>
          <w:rFonts w:ascii="標楷體" w:eastAsia="標楷體" w:hAnsi="標楷體"/>
          <w:color w:val="000000"/>
        </w:rPr>
        <w:t>仍高於</w:t>
      </w:r>
      <w:r>
        <w:rPr>
          <w:rFonts w:ascii="標楷體" w:eastAsia="標楷體" w:hAnsi="標楷體"/>
          <w:color w:val="000000"/>
        </w:rPr>
        <w:t>8.0%</w:t>
      </w:r>
      <w:r>
        <w:rPr>
          <w:rFonts w:ascii="標楷體" w:eastAsia="標楷體" w:hAnsi="標楷體"/>
          <w:color w:val="000000"/>
        </w:rPr>
        <w:t>以上之第二型糖尿病成人病人：</w:t>
      </w:r>
      <w:r>
        <w:rPr>
          <w:rFonts w:ascii="標楷體" w:eastAsia="標楷體" w:hAnsi="標楷體"/>
          <w:color w:val="000000"/>
        </w:rPr>
        <w:t>(110/7/1)</w:t>
      </w:r>
    </w:p>
    <w:p w:rsidR="00203445" w:rsidRDefault="003100F1">
      <w:pPr>
        <w:ind w:left="672"/>
        <w:rPr>
          <w:rFonts w:ascii="標楷體" w:eastAsia="標楷體" w:hAnsi="標楷體"/>
          <w:color w:val="000000"/>
        </w:rPr>
      </w:pPr>
      <w:r>
        <w:rPr>
          <w:rFonts w:ascii="標楷體" w:eastAsia="標楷體" w:hAnsi="標楷體"/>
          <w:color w:val="000000"/>
        </w:rPr>
        <w:t>(1)SGLT-2</w:t>
      </w:r>
      <w:r>
        <w:rPr>
          <w:rFonts w:ascii="標楷體" w:eastAsia="標楷體" w:hAnsi="標楷體"/>
          <w:color w:val="000000"/>
        </w:rPr>
        <w:t>抑制劑</w:t>
      </w:r>
    </w:p>
    <w:p w:rsidR="00203445" w:rsidRDefault="003100F1">
      <w:pPr>
        <w:ind w:left="672"/>
        <w:rPr>
          <w:rFonts w:ascii="標楷體" w:eastAsia="標楷體" w:hAnsi="標楷體"/>
          <w:color w:val="000000"/>
        </w:rPr>
      </w:pPr>
      <w:r>
        <w:rPr>
          <w:rFonts w:ascii="標楷體" w:eastAsia="標楷體" w:hAnsi="標楷體"/>
          <w:color w:val="000000"/>
        </w:rPr>
        <w:t>(2)DPP-4</w:t>
      </w:r>
      <w:r>
        <w:rPr>
          <w:rFonts w:ascii="標楷體" w:eastAsia="標楷體" w:hAnsi="標楷體"/>
          <w:color w:val="000000"/>
        </w:rPr>
        <w:t>抑制劑</w:t>
      </w:r>
    </w:p>
    <w:p w:rsidR="00203445" w:rsidRDefault="003100F1">
      <w:pPr>
        <w:ind w:left="672"/>
        <w:rPr>
          <w:rFonts w:ascii="標楷體" w:eastAsia="標楷體" w:hAnsi="標楷體"/>
          <w:color w:val="000000"/>
        </w:rPr>
      </w:pPr>
      <w:r>
        <w:rPr>
          <w:rFonts w:ascii="標楷體" w:eastAsia="標楷體" w:hAnsi="標楷體"/>
          <w:color w:val="000000"/>
        </w:rPr>
        <w:lastRenderedPageBreak/>
        <w:t>(3)</w:t>
      </w:r>
      <w:r>
        <w:rPr>
          <w:rFonts w:ascii="標楷體" w:eastAsia="標楷體" w:hAnsi="標楷體"/>
          <w:color w:val="000000"/>
        </w:rPr>
        <w:t>SGLT-2</w:t>
      </w:r>
      <w:r>
        <w:rPr>
          <w:rFonts w:ascii="標楷體" w:eastAsia="標楷體" w:hAnsi="標楷體"/>
          <w:color w:val="000000"/>
        </w:rPr>
        <w:t>抑制劑合併</w:t>
      </w:r>
      <w:r>
        <w:rPr>
          <w:rFonts w:ascii="標楷體" w:eastAsia="標楷體" w:hAnsi="標楷體"/>
          <w:color w:val="000000"/>
        </w:rPr>
        <w:t>DPP-4</w:t>
      </w:r>
      <w:r>
        <w:rPr>
          <w:rFonts w:ascii="標楷體" w:eastAsia="標楷體" w:hAnsi="標楷體"/>
          <w:color w:val="000000"/>
        </w:rPr>
        <w:t>抑制劑複方藥品</w:t>
      </w:r>
    </w:p>
    <w:p w:rsidR="00203445" w:rsidRDefault="003100F1">
      <w:pPr>
        <w:ind w:left="672"/>
        <w:rPr>
          <w:rFonts w:ascii="標楷體" w:eastAsia="標楷體" w:hAnsi="標楷體"/>
          <w:color w:val="000000"/>
        </w:rPr>
      </w:pPr>
      <w:r>
        <w:rPr>
          <w:rFonts w:ascii="標楷體" w:eastAsia="標楷體" w:hAnsi="標楷體"/>
          <w:color w:val="000000"/>
        </w:rPr>
        <w:t>(4)Insulin(</w:t>
      </w:r>
      <w:r>
        <w:rPr>
          <w:rFonts w:ascii="標楷體" w:eastAsia="標楷體" w:hAnsi="標楷體"/>
          <w:color w:val="000000"/>
        </w:rPr>
        <w:t>每日劑量少於</w:t>
      </w:r>
      <w:r>
        <w:rPr>
          <w:rFonts w:ascii="標楷體" w:eastAsia="標楷體" w:hAnsi="標楷體"/>
          <w:color w:val="000000"/>
        </w:rPr>
        <w:t>60</w:t>
      </w:r>
      <w:r>
        <w:rPr>
          <w:rFonts w:ascii="標楷體" w:eastAsia="標楷體" w:hAnsi="標楷體"/>
          <w:color w:val="000000"/>
        </w:rPr>
        <w:t>單位</w:t>
      </w:r>
      <w:r>
        <w:rPr>
          <w:rFonts w:ascii="標楷體" w:eastAsia="標楷體" w:hAnsi="標楷體"/>
          <w:color w:val="000000"/>
        </w:rPr>
        <w:t>)</w:t>
      </w:r>
    </w:p>
    <w:p w:rsidR="00203445" w:rsidRDefault="003100F1">
      <w:pPr>
        <w:ind w:left="567"/>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本品不得</w:t>
      </w:r>
      <w:proofErr w:type="gramEnd"/>
      <w:r>
        <w:rPr>
          <w:rFonts w:ascii="標楷體" w:eastAsia="標楷體" w:hAnsi="標楷體"/>
          <w:color w:val="000000"/>
        </w:rPr>
        <w:t>與</w:t>
      </w:r>
      <w:r>
        <w:rPr>
          <w:rFonts w:ascii="標楷體" w:eastAsia="標楷體" w:hAnsi="標楷體"/>
          <w:color w:val="000000"/>
        </w:rPr>
        <w:t>DPP-4</w:t>
      </w:r>
      <w:r>
        <w:rPr>
          <w:rFonts w:ascii="標楷體" w:eastAsia="標楷體" w:hAnsi="標楷體"/>
          <w:color w:val="000000"/>
        </w:rPr>
        <w:t>抑制劑、</w:t>
      </w:r>
      <w:r>
        <w:rPr>
          <w:rFonts w:ascii="標楷體" w:eastAsia="標楷體" w:hAnsi="標楷體"/>
          <w:color w:val="000000"/>
        </w:rPr>
        <w:t>SGLT-2</w:t>
      </w:r>
      <w:r>
        <w:rPr>
          <w:rFonts w:ascii="標楷體" w:eastAsia="標楷體" w:hAnsi="標楷體"/>
          <w:color w:val="000000"/>
        </w:rPr>
        <w:t>抑制劑併用。</w:t>
      </w:r>
    </w:p>
    <w:p w:rsidR="00203445" w:rsidRDefault="003100F1">
      <w:pPr>
        <w:ind w:left="672" w:hanging="386"/>
        <w:rPr>
          <w:rFonts w:ascii="標楷體" w:eastAsia="標楷體" w:hAnsi="標楷體"/>
          <w:color w:val="000000"/>
        </w:rPr>
      </w:pPr>
      <w:r>
        <w:rPr>
          <w:rFonts w:ascii="標楷體" w:eastAsia="標楷體" w:hAnsi="標楷體"/>
          <w:color w:val="000000"/>
        </w:rPr>
        <w:t>5.1.4.(</w:t>
      </w:r>
      <w:r>
        <w:rPr>
          <w:rFonts w:ascii="標楷體" w:eastAsia="標楷體" w:hAnsi="標楷體"/>
          <w:color w:val="000000"/>
        </w:rPr>
        <w:t>刪除</w:t>
      </w:r>
      <w:r>
        <w:rPr>
          <w:rFonts w:ascii="標楷體" w:eastAsia="標楷體" w:hAnsi="標楷體"/>
          <w:color w:val="000000"/>
        </w:rPr>
        <w:t>)(100/8/1</w:t>
      </w:r>
      <w:r>
        <w:rPr>
          <w:rFonts w:ascii="標楷體" w:eastAsia="標楷體" w:hAnsi="標楷體"/>
          <w:color w:val="000000"/>
        </w:rPr>
        <w:t>、</w:t>
      </w:r>
      <w:r>
        <w:rPr>
          <w:rFonts w:ascii="標楷體" w:eastAsia="標楷體" w:hAnsi="標楷體"/>
          <w:color w:val="000000"/>
        </w:rPr>
        <w:t>107/10/1)</w:t>
      </w:r>
    </w:p>
    <w:p w:rsidR="00203445" w:rsidRDefault="003100F1">
      <w:pPr>
        <w:ind w:left="1063" w:hanging="780"/>
        <w:rPr>
          <w:rFonts w:ascii="標楷體" w:eastAsia="標楷體" w:hAnsi="標楷體"/>
          <w:color w:val="000000"/>
        </w:rPr>
      </w:pPr>
      <w:r>
        <w:rPr>
          <w:rFonts w:ascii="標楷體" w:eastAsia="標楷體" w:hAnsi="標楷體"/>
          <w:color w:val="000000"/>
        </w:rPr>
        <w:t>5.1.5.SGLT-2</w:t>
      </w:r>
      <w:r>
        <w:rPr>
          <w:rFonts w:ascii="標楷體" w:eastAsia="標楷體" w:hAnsi="標楷體"/>
          <w:color w:val="000000"/>
        </w:rPr>
        <w:t>抑制劑及其複方：</w:t>
      </w:r>
    </w:p>
    <w:p w:rsidR="00203445" w:rsidRDefault="003100F1">
      <w:pPr>
        <w:ind w:left="811" w:hanging="245"/>
        <w:rPr>
          <w:rFonts w:ascii="標楷體" w:eastAsia="標楷體" w:hAnsi="標楷體"/>
          <w:color w:val="000000"/>
        </w:rPr>
      </w:pPr>
      <w:r>
        <w:rPr>
          <w:rFonts w:ascii="標楷體" w:eastAsia="標楷體" w:hAnsi="標楷體"/>
          <w:color w:val="000000"/>
        </w:rPr>
        <w:t>1.Dapagliflozin (</w:t>
      </w:r>
      <w:r>
        <w:rPr>
          <w:rFonts w:ascii="標楷體" w:eastAsia="標楷體" w:hAnsi="標楷體"/>
          <w:color w:val="000000"/>
        </w:rPr>
        <w:t>如</w:t>
      </w:r>
      <w:proofErr w:type="spellStart"/>
      <w:r>
        <w:rPr>
          <w:rFonts w:ascii="標楷體" w:eastAsia="標楷體" w:hAnsi="標楷體"/>
          <w:color w:val="000000"/>
        </w:rPr>
        <w:t>Forxiga</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empagliflozin (</w:t>
      </w:r>
      <w:r>
        <w:rPr>
          <w:rFonts w:ascii="標楷體" w:eastAsia="標楷體" w:hAnsi="標楷體"/>
          <w:color w:val="000000"/>
        </w:rPr>
        <w:t>如</w:t>
      </w:r>
      <w:r>
        <w:rPr>
          <w:rFonts w:ascii="標楷體" w:eastAsia="標楷體" w:hAnsi="標楷體"/>
          <w:color w:val="000000"/>
        </w:rPr>
        <w:t>Jardiance)</w:t>
      </w:r>
      <w:r>
        <w:rPr>
          <w:rFonts w:ascii="標楷體" w:eastAsia="標楷體" w:hAnsi="標楷體"/>
          <w:color w:val="000000"/>
        </w:rPr>
        <w:t>、</w:t>
      </w:r>
      <w:r>
        <w:rPr>
          <w:rFonts w:ascii="標楷體" w:eastAsia="標楷體" w:hAnsi="標楷體"/>
          <w:color w:val="000000"/>
        </w:rPr>
        <w:t>canagliflozin (</w:t>
      </w:r>
      <w:r>
        <w:rPr>
          <w:rFonts w:ascii="標楷體" w:eastAsia="標楷體" w:hAnsi="標楷體"/>
          <w:color w:val="000000"/>
        </w:rPr>
        <w:t>如</w:t>
      </w:r>
      <w:proofErr w:type="spellStart"/>
      <w:r>
        <w:rPr>
          <w:rFonts w:ascii="標楷體" w:eastAsia="標楷體" w:hAnsi="標楷體"/>
          <w:color w:val="000000"/>
        </w:rPr>
        <w:t>Canaglu</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ertugliflozin (</w:t>
      </w:r>
      <w:r>
        <w:rPr>
          <w:rFonts w:ascii="標楷體" w:eastAsia="標楷體" w:hAnsi="標楷體"/>
          <w:color w:val="000000"/>
        </w:rPr>
        <w:t>如</w:t>
      </w:r>
      <w:proofErr w:type="spellStart"/>
      <w:r>
        <w:rPr>
          <w:rFonts w:ascii="標楷體" w:eastAsia="標楷體" w:hAnsi="標楷體"/>
          <w:color w:val="000000"/>
        </w:rPr>
        <w:t>Steglatro</w:t>
      </w:r>
      <w:proofErr w:type="spellEnd"/>
      <w:r>
        <w:rPr>
          <w:rFonts w:ascii="標楷體" w:eastAsia="標楷體" w:hAnsi="標楷體"/>
          <w:color w:val="000000"/>
        </w:rPr>
        <w:t>) (105/5/1</w:t>
      </w:r>
      <w:r>
        <w:rPr>
          <w:rFonts w:ascii="標楷體" w:eastAsia="標楷體" w:hAnsi="標楷體"/>
          <w:color w:val="000000"/>
        </w:rPr>
        <w:t>、</w:t>
      </w:r>
      <w:r>
        <w:rPr>
          <w:rFonts w:ascii="標楷體" w:eastAsia="標楷體" w:hAnsi="標楷體"/>
          <w:color w:val="000000"/>
        </w:rPr>
        <w:t>107/3/1</w:t>
      </w:r>
      <w:r>
        <w:rPr>
          <w:rFonts w:ascii="標楷體" w:eastAsia="標楷體" w:hAnsi="標楷體"/>
          <w:color w:val="000000"/>
        </w:rPr>
        <w:t>、</w:t>
      </w:r>
      <w:r>
        <w:rPr>
          <w:rFonts w:ascii="標楷體" w:eastAsia="標楷體" w:hAnsi="標楷體"/>
          <w:color w:val="000000"/>
        </w:rPr>
        <w:t>108/7/1</w:t>
      </w:r>
      <w:r>
        <w:rPr>
          <w:rFonts w:ascii="標楷體" w:eastAsia="標楷體" w:hAnsi="標楷體"/>
          <w:color w:val="000000"/>
        </w:rPr>
        <w:t>)</w:t>
      </w:r>
    </w:p>
    <w:p w:rsidR="00203445" w:rsidRDefault="003100F1">
      <w:pPr>
        <w:ind w:left="850"/>
        <w:rPr>
          <w:rFonts w:ascii="標楷體" w:eastAsia="標楷體" w:hAnsi="標楷體"/>
          <w:color w:val="000000"/>
        </w:rPr>
      </w:pPr>
      <w:r>
        <w:rPr>
          <w:rFonts w:ascii="標楷體" w:eastAsia="標楷體" w:hAnsi="標楷體"/>
          <w:color w:val="000000"/>
        </w:rPr>
        <w:t>每日最多處方</w:t>
      </w:r>
      <w:r>
        <w:rPr>
          <w:rFonts w:ascii="標楷體" w:eastAsia="標楷體" w:hAnsi="標楷體"/>
          <w:color w:val="000000"/>
        </w:rPr>
        <w:t>1</w:t>
      </w:r>
      <w:r>
        <w:rPr>
          <w:rFonts w:ascii="標楷體" w:eastAsia="標楷體" w:hAnsi="標楷體"/>
          <w:color w:val="000000"/>
        </w:rPr>
        <w:t>粒。</w:t>
      </w:r>
    </w:p>
    <w:p w:rsidR="00203445" w:rsidRDefault="003100F1">
      <w:pPr>
        <w:ind w:left="811" w:hanging="245"/>
        <w:rPr>
          <w:rFonts w:ascii="標楷體" w:eastAsia="標楷體" w:hAnsi="標楷體"/>
          <w:color w:val="000000"/>
        </w:rPr>
      </w:pPr>
      <w:r>
        <w:rPr>
          <w:rFonts w:ascii="標楷體" w:eastAsia="標楷體" w:hAnsi="標楷體"/>
          <w:color w:val="000000"/>
        </w:rPr>
        <w:t xml:space="preserve">2.Empagliflozin/metformin </w:t>
      </w:r>
      <w:r>
        <w:rPr>
          <w:rFonts w:ascii="標楷體" w:eastAsia="標楷體" w:hAnsi="標楷體"/>
          <w:color w:val="000000"/>
        </w:rPr>
        <w:t>複方</w:t>
      </w:r>
      <w:r>
        <w:rPr>
          <w:rFonts w:ascii="標楷體" w:eastAsia="標楷體" w:hAnsi="標楷體"/>
          <w:color w:val="000000"/>
        </w:rPr>
        <w:t>(</w:t>
      </w:r>
      <w:r>
        <w:rPr>
          <w:rFonts w:ascii="標楷體" w:eastAsia="標楷體" w:hAnsi="標楷體"/>
          <w:color w:val="000000"/>
        </w:rPr>
        <w:t>如</w:t>
      </w:r>
      <w:r>
        <w:rPr>
          <w:rFonts w:ascii="標楷體" w:eastAsia="標楷體" w:hAnsi="標楷體"/>
          <w:color w:val="000000"/>
        </w:rPr>
        <w:t xml:space="preserve"> Jardiance Duo) (107/3/1)</w:t>
      </w:r>
    </w:p>
    <w:p w:rsidR="00203445" w:rsidRDefault="003100F1">
      <w:pPr>
        <w:ind w:left="850"/>
        <w:rPr>
          <w:rFonts w:ascii="標楷體" w:eastAsia="標楷體" w:hAnsi="標楷體"/>
          <w:color w:val="000000"/>
        </w:rPr>
      </w:pPr>
      <w:r>
        <w:rPr>
          <w:rFonts w:ascii="標楷體" w:eastAsia="標楷體" w:hAnsi="標楷體"/>
          <w:color w:val="000000"/>
        </w:rPr>
        <w:t>每日最多處方</w:t>
      </w:r>
      <w:r>
        <w:rPr>
          <w:rFonts w:ascii="標楷體" w:eastAsia="標楷體" w:hAnsi="標楷體"/>
          <w:color w:val="000000"/>
        </w:rPr>
        <w:t>2</w:t>
      </w:r>
      <w:r>
        <w:rPr>
          <w:rFonts w:ascii="標楷體" w:eastAsia="標楷體" w:hAnsi="標楷體"/>
          <w:color w:val="000000"/>
        </w:rPr>
        <w:t>粒。</w:t>
      </w:r>
    </w:p>
    <w:p w:rsidR="00203445" w:rsidRDefault="003100F1">
      <w:pPr>
        <w:ind w:left="811" w:hanging="245"/>
        <w:rPr>
          <w:rFonts w:ascii="標楷體" w:eastAsia="標楷體" w:hAnsi="標楷體"/>
          <w:color w:val="000000"/>
        </w:rPr>
      </w:pPr>
      <w:r>
        <w:rPr>
          <w:rFonts w:ascii="標楷體" w:eastAsia="標楷體" w:hAnsi="標楷體"/>
          <w:color w:val="000000"/>
        </w:rPr>
        <w:t>3.Dapagliflozin</w:t>
      </w:r>
      <w:r>
        <w:rPr>
          <w:rFonts w:ascii="標楷體" w:eastAsia="標楷體" w:hAnsi="標楷體"/>
          <w:color w:val="000000"/>
        </w:rPr>
        <w:t>及</w:t>
      </w:r>
      <w:r>
        <w:rPr>
          <w:rFonts w:ascii="標楷體" w:eastAsia="標楷體" w:hAnsi="標楷體"/>
          <w:color w:val="000000"/>
        </w:rPr>
        <w:t xml:space="preserve">metformin </w:t>
      </w:r>
      <w:r>
        <w:rPr>
          <w:rFonts w:ascii="標楷體" w:eastAsia="標楷體" w:hAnsi="標楷體"/>
          <w:color w:val="000000"/>
        </w:rPr>
        <w:t>複方</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Xigduo</w:t>
      </w:r>
      <w:proofErr w:type="spellEnd"/>
      <w:r>
        <w:rPr>
          <w:rFonts w:ascii="標楷體" w:eastAsia="標楷體" w:hAnsi="標楷體"/>
          <w:color w:val="000000"/>
        </w:rPr>
        <w:t xml:space="preserve"> XR)(107/3/1)</w:t>
      </w:r>
    </w:p>
    <w:p w:rsidR="00203445" w:rsidRDefault="003100F1">
      <w:pPr>
        <w:ind w:left="850"/>
        <w:rPr>
          <w:rFonts w:ascii="標楷體" w:eastAsia="標楷體" w:hAnsi="標楷體"/>
          <w:color w:val="000000"/>
        </w:rPr>
      </w:pPr>
      <w:r>
        <w:rPr>
          <w:rFonts w:ascii="標楷體" w:eastAsia="標楷體" w:hAnsi="標楷體"/>
          <w:color w:val="000000"/>
        </w:rPr>
        <w:t>每日最多處方</w:t>
      </w:r>
      <w:r>
        <w:rPr>
          <w:rFonts w:ascii="標楷體" w:eastAsia="標楷體" w:hAnsi="標楷體"/>
          <w:color w:val="000000"/>
        </w:rPr>
        <w:t>1</w:t>
      </w:r>
      <w:r>
        <w:rPr>
          <w:rFonts w:ascii="標楷體" w:eastAsia="標楷體" w:hAnsi="標楷體"/>
          <w:color w:val="000000"/>
        </w:rPr>
        <w:t>粒。</w:t>
      </w:r>
    </w:p>
    <w:p w:rsidR="00203445" w:rsidRDefault="003100F1">
      <w:pPr>
        <w:ind w:left="672" w:hanging="386"/>
        <w:rPr>
          <w:rFonts w:ascii="標楷體" w:eastAsia="標楷體" w:hAnsi="標楷體"/>
          <w:color w:val="000000"/>
        </w:rPr>
      </w:pPr>
      <w:r>
        <w:rPr>
          <w:rFonts w:ascii="標楷體" w:eastAsia="標楷體" w:hAnsi="標楷體"/>
          <w:color w:val="000000"/>
        </w:rPr>
        <w:t>5.1.6.</w:t>
      </w:r>
      <w:r>
        <w:rPr>
          <w:rFonts w:ascii="標楷體" w:eastAsia="標楷體" w:hAnsi="標楷體"/>
          <w:color w:val="000000"/>
        </w:rPr>
        <w:t>含</w:t>
      </w:r>
      <w:r>
        <w:rPr>
          <w:rFonts w:ascii="標楷體" w:eastAsia="標楷體" w:hAnsi="標楷體"/>
          <w:color w:val="000000"/>
        </w:rPr>
        <w:t>empagliflozin</w:t>
      </w:r>
      <w:r>
        <w:rPr>
          <w:rFonts w:ascii="標楷體" w:eastAsia="標楷體" w:hAnsi="標楷體"/>
          <w:color w:val="000000"/>
        </w:rPr>
        <w:t>及</w:t>
      </w:r>
      <w:r>
        <w:rPr>
          <w:rFonts w:ascii="標楷體" w:eastAsia="標楷體" w:hAnsi="標楷體"/>
          <w:color w:val="000000"/>
        </w:rPr>
        <w:t>linagliptin</w:t>
      </w:r>
      <w:r>
        <w:rPr>
          <w:rFonts w:ascii="標楷體" w:eastAsia="標楷體" w:hAnsi="標楷體"/>
          <w:color w:val="000000"/>
        </w:rPr>
        <w:t>之複方製劑</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Glyxambi</w:t>
      </w:r>
      <w:proofErr w:type="spellEnd"/>
      <w:r>
        <w:rPr>
          <w:rFonts w:ascii="標楷體" w:eastAsia="標楷體" w:hAnsi="標楷體"/>
          <w:color w:val="000000"/>
        </w:rPr>
        <w:t>)(108/1/1</w:t>
      </w:r>
      <w:r>
        <w:rPr>
          <w:rFonts w:ascii="標楷體" w:eastAsia="標楷體" w:hAnsi="標楷體"/>
          <w:color w:val="000000"/>
        </w:rPr>
        <w:t>、</w:t>
      </w:r>
      <w:r>
        <w:rPr>
          <w:rFonts w:ascii="標楷體" w:eastAsia="標楷體" w:hAnsi="標楷體"/>
          <w:color w:val="000000"/>
        </w:rPr>
        <w:t>109/5/1)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每日限處方</w:t>
      </w:r>
      <w:r>
        <w:rPr>
          <w:rFonts w:ascii="標楷體" w:eastAsia="標楷體" w:hAnsi="標楷體"/>
          <w:color w:val="000000"/>
        </w:rPr>
        <w:t>1</w:t>
      </w:r>
      <w:r>
        <w:rPr>
          <w:rFonts w:ascii="標楷體" w:eastAsia="標楷體" w:hAnsi="標楷體"/>
          <w:color w:val="000000"/>
        </w:rPr>
        <w:t>粒。</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，且</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empagliflozi</w:t>
      </w:r>
      <w:r>
        <w:rPr>
          <w:rFonts w:ascii="標楷體" w:eastAsia="標楷體" w:hAnsi="標楷體"/>
          <w:color w:val="000000"/>
        </w:rPr>
        <w:t>n</w:t>
      </w:r>
      <w:r>
        <w:rPr>
          <w:rFonts w:ascii="標楷體" w:eastAsia="標楷體" w:hAnsi="標楷體"/>
          <w:color w:val="000000"/>
        </w:rPr>
        <w:t>或</w:t>
      </w:r>
      <w:r>
        <w:rPr>
          <w:rFonts w:ascii="標楷體" w:eastAsia="標楷體" w:hAnsi="標楷體"/>
          <w:color w:val="000000"/>
        </w:rPr>
        <w:t>linagliptin</w:t>
      </w:r>
      <w:r>
        <w:rPr>
          <w:rFonts w:ascii="標楷體" w:eastAsia="標楷體" w:hAnsi="標楷體"/>
          <w:color w:val="000000"/>
        </w:rPr>
        <w:t>治療至少</w:t>
      </w:r>
      <w:r>
        <w:rPr>
          <w:rFonts w:ascii="標楷體" w:eastAsia="標楷體" w:hAnsi="標楷體"/>
          <w:color w:val="000000"/>
        </w:rPr>
        <w:t>6</w:t>
      </w:r>
      <w:r>
        <w:rPr>
          <w:rFonts w:ascii="標楷體" w:eastAsia="標楷體" w:hAnsi="標楷體"/>
          <w:color w:val="000000"/>
        </w:rPr>
        <w:t>個月，糖化血色素值</w:t>
      </w:r>
      <w:r>
        <w:rPr>
          <w:rFonts w:ascii="標楷體" w:eastAsia="標楷體" w:hAnsi="標楷體"/>
          <w:color w:val="000000"/>
        </w:rPr>
        <w:t>(HbA1c)</w:t>
      </w:r>
      <w:r>
        <w:rPr>
          <w:rFonts w:ascii="標楷體" w:eastAsia="標楷體" w:hAnsi="標楷體"/>
          <w:color w:val="000000"/>
        </w:rPr>
        <w:t>仍高於</w:t>
      </w:r>
      <w:r>
        <w:rPr>
          <w:rFonts w:ascii="標楷體" w:eastAsia="標楷體" w:hAnsi="標楷體"/>
          <w:color w:val="000000"/>
        </w:rPr>
        <w:t>7.5%</w:t>
      </w:r>
      <w:r>
        <w:rPr>
          <w:rFonts w:ascii="標楷體" w:eastAsia="標楷體" w:hAnsi="標楷體"/>
          <w:color w:val="000000"/>
        </w:rPr>
        <w:t>者。</w:t>
      </w:r>
    </w:p>
    <w:p w:rsidR="00203445" w:rsidRDefault="003100F1">
      <w:pPr>
        <w:ind w:left="672" w:hanging="386"/>
        <w:rPr>
          <w:rFonts w:ascii="標楷體" w:eastAsia="標楷體" w:hAnsi="標楷體"/>
          <w:color w:val="000000"/>
        </w:rPr>
      </w:pPr>
      <w:r>
        <w:rPr>
          <w:rFonts w:ascii="標楷體" w:eastAsia="標楷體" w:hAnsi="標楷體"/>
          <w:color w:val="000000"/>
        </w:rPr>
        <w:t>5.1.7.</w:t>
      </w:r>
      <w:r>
        <w:rPr>
          <w:rFonts w:ascii="標楷體" w:eastAsia="標楷體" w:hAnsi="標楷體"/>
          <w:color w:val="000000"/>
        </w:rPr>
        <w:t>含</w:t>
      </w:r>
      <w:r>
        <w:rPr>
          <w:rFonts w:ascii="標楷體" w:eastAsia="標楷體" w:hAnsi="標楷體"/>
          <w:color w:val="000000"/>
        </w:rPr>
        <w:t>dapagliflozin</w:t>
      </w:r>
      <w:r>
        <w:rPr>
          <w:rFonts w:ascii="標楷體" w:eastAsia="標楷體" w:hAnsi="標楷體"/>
          <w:color w:val="000000"/>
        </w:rPr>
        <w:t>及</w:t>
      </w:r>
      <w:proofErr w:type="spellStart"/>
      <w:r>
        <w:rPr>
          <w:rFonts w:ascii="標楷體" w:eastAsia="標楷體" w:hAnsi="標楷體"/>
          <w:color w:val="000000"/>
        </w:rPr>
        <w:t>saxagliptin</w:t>
      </w:r>
      <w:proofErr w:type="spellEnd"/>
      <w:r>
        <w:rPr>
          <w:rFonts w:ascii="標楷體" w:eastAsia="標楷體" w:hAnsi="標楷體"/>
          <w:color w:val="000000"/>
        </w:rPr>
        <w:t>之複方製劑</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Qtern</w:t>
      </w:r>
      <w:proofErr w:type="spellEnd"/>
      <w:r>
        <w:rPr>
          <w:rFonts w:ascii="標楷體" w:eastAsia="標楷體" w:hAnsi="標楷體"/>
          <w:color w:val="000000"/>
        </w:rPr>
        <w:t>)(108/11/1</w:t>
      </w:r>
      <w:r>
        <w:rPr>
          <w:rFonts w:ascii="標楷體" w:eastAsia="標楷體" w:hAnsi="標楷體"/>
          <w:color w:val="000000"/>
        </w:rPr>
        <w:t>、</w:t>
      </w:r>
      <w:r>
        <w:rPr>
          <w:rFonts w:ascii="標楷體" w:eastAsia="標楷體" w:hAnsi="標楷體"/>
          <w:color w:val="000000"/>
        </w:rPr>
        <w:t>109/5/1)</w:t>
      </w:r>
    </w:p>
    <w:p w:rsidR="00203445" w:rsidRDefault="003100F1">
      <w:pPr>
        <w:ind w:left="672" w:hanging="10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每日限處方</w:t>
      </w:r>
      <w:r>
        <w:rPr>
          <w:rFonts w:ascii="標楷體" w:eastAsia="標楷體" w:hAnsi="標楷體"/>
          <w:color w:val="000000"/>
        </w:rPr>
        <w:t>1</w:t>
      </w:r>
      <w:r>
        <w:rPr>
          <w:rFonts w:ascii="標楷體" w:eastAsia="標楷體" w:hAnsi="標楷體"/>
          <w:color w:val="000000"/>
        </w:rPr>
        <w:t>粒。</w:t>
      </w:r>
    </w:p>
    <w:p w:rsidR="00203445" w:rsidRDefault="003100F1">
      <w:pPr>
        <w:ind w:left="672" w:hanging="10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，且</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dapagliflozin</w:t>
      </w:r>
      <w:r>
        <w:rPr>
          <w:rFonts w:ascii="標楷體" w:eastAsia="標楷體" w:hAnsi="標楷體"/>
          <w:color w:val="000000"/>
        </w:rPr>
        <w:t>或</w:t>
      </w:r>
      <w:proofErr w:type="spellStart"/>
      <w:r>
        <w:rPr>
          <w:rFonts w:ascii="標楷體" w:eastAsia="標楷體" w:hAnsi="標楷體"/>
          <w:color w:val="000000"/>
        </w:rPr>
        <w:t>saxagliptin</w:t>
      </w:r>
      <w:proofErr w:type="spellEnd"/>
      <w:r>
        <w:rPr>
          <w:rFonts w:ascii="標楷體" w:eastAsia="標楷體" w:hAnsi="標楷體"/>
          <w:color w:val="000000"/>
        </w:rPr>
        <w:t>治療至少</w:t>
      </w:r>
      <w:r>
        <w:rPr>
          <w:rFonts w:ascii="標楷體" w:eastAsia="標楷體" w:hAnsi="標楷體"/>
          <w:color w:val="000000"/>
        </w:rPr>
        <w:t>6</w:t>
      </w:r>
      <w:r>
        <w:rPr>
          <w:rFonts w:ascii="標楷體" w:eastAsia="標楷體" w:hAnsi="標楷體"/>
          <w:color w:val="000000"/>
        </w:rPr>
        <w:t>個月，糖化血色素值</w:t>
      </w:r>
      <w:r>
        <w:rPr>
          <w:rFonts w:ascii="標楷體" w:eastAsia="標楷體" w:hAnsi="標楷體"/>
          <w:color w:val="000000"/>
        </w:rPr>
        <w:t>(HbA1c)</w:t>
      </w:r>
      <w:r>
        <w:rPr>
          <w:rFonts w:ascii="標楷體" w:eastAsia="標楷體" w:hAnsi="標楷體"/>
          <w:color w:val="000000"/>
        </w:rPr>
        <w:t>仍高於</w:t>
      </w:r>
      <w:r>
        <w:rPr>
          <w:rFonts w:ascii="標楷體" w:eastAsia="標楷體" w:hAnsi="標楷體"/>
          <w:color w:val="000000"/>
        </w:rPr>
        <w:t>7.5%</w:t>
      </w:r>
      <w:r>
        <w:rPr>
          <w:rFonts w:ascii="標楷體" w:eastAsia="標楷體" w:hAnsi="標楷體"/>
          <w:color w:val="000000"/>
        </w:rPr>
        <w:t>者。</w:t>
      </w:r>
    </w:p>
    <w:p w:rsidR="00203445" w:rsidRDefault="003100F1">
      <w:pPr>
        <w:ind w:left="672" w:hanging="386"/>
        <w:rPr>
          <w:rFonts w:ascii="標楷體" w:eastAsia="標楷體" w:hAnsi="標楷體"/>
          <w:color w:val="000000"/>
        </w:rPr>
      </w:pPr>
      <w:r>
        <w:rPr>
          <w:rFonts w:ascii="標楷體" w:eastAsia="標楷體" w:hAnsi="標楷體"/>
          <w:color w:val="000000"/>
        </w:rPr>
        <w:t>5.1.8.</w:t>
      </w:r>
      <w:r>
        <w:rPr>
          <w:rFonts w:ascii="標楷體" w:eastAsia="標楷體" w:hAnsi="標楷體"/>
          <w:color w:val="000000"/>
        </w:rPr>
        <w:t>含</w:t>
      </w:r>
      <w:r>
        <w:rPr>
          <w:rFonts w:ascii="標楷體" w:eastAsia="標楷體" w:hAnsi="標楷體"/>
          <w:color w:val="000000"/>
        </w:rPr>
        <w:t>ertugliflozin</w:t>
      </w:r>
      <w:r>
        <w:rPr>
          <w:rFonts w:ascii="標楷體" w:eastAsia="標楷體" w:hAnsi="標楷體"/>
          <w:color w:val="000000"/>
        </w:rPr>
        <w:t>及</w:t>
      </w:r>
      <w:r>
        <w:rPr>
          <w:rFonts w:ascii="標楷體" w:eastAsia="標楷體" w:hAnsi="標楷體"/>
          <w:color w:val="000000"/>
        </w:rPr>
        <w:t>sitagliptin</w:t>
      </w:r>
      <w:r>
        <w:rPr>
          <w:rFonts w:ascii="標楷體" w:eastAsia="標楷體" w:hAnsi="標楷體"/>
          <w:color w:val="000000"/>
        </w:rPr>
        <w:t>之複方製劑</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Steglujan</w:t>
      </w:r>
      <w:proofErr w:type="spellEnd"/>
      <w:r>
        <w:rPr>
          <w:rFonts w:ascii="標楷體" w:eastAsia="標楷體" w:hAnsi="標楷體"/>
          <w:color w:val="000000"/>
        </w:rPr>
        <w:t>)(109/5/1)</w:t>
      </w:r>
    </w:p>
    <w:p w:rsidR="00203445" w:rsidRDefault="003100F1">
      <w:pPr>
        <w:ind w:left="672" w:hanging="10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每日限處方</w:t>
      </w:r>
      <w:r>
        <w:rPr>
          <w:rFonts w:ascii="標楷體" w:eastAsia="標楷體" w:hAnsi="標楷體"/>
          <w:color w:val="000000"/>
        </w:rPr>
        <w:t>1</w:t>
      </w:r>
      <w:r>
        <w:rPr>
          <w:rFonts w:ascii="標楷體" w:eastAsia="標楷體" w:hAnsi="標楷體"/>
          <w:color w:val="000000"/>
        </w:rPr>
        <w:t>粒。</w:t>
      </w:r>
    </w:p>
    <w:p w:rsidR="00203445" w:rsidRDefault="003100F1">
      <w:pPr>
        <w:ind w:left="672" w:hanging="10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限用於已接受過最大耐受劑量的</w:t>
      </w:r>
      <w:r>
        <w:rPr>
          <w:rFonts w:ascii="標楷體" w:eastAsia="標楷體" w:hAnsi="標楷體"/>
          <w:color w:val="000000"/>
        </w:rPr>
        <w:t>metformin</w:t>
      </w:r>
      <w:r>
        <w:rPr>
          <w:rFonts w:ascii="標楷體" w:eastAsia="標楷體" w:hAnsi="標楷體"/>
          <w:color w:val="000000"/>
        </w:rPr>
        <w:t>，且</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color w:val="000000"/>
        </w:rPr>
        <w:t>ertugliflozin</w:t>
      </w:r>
      <w:r>
        <w:rPr>
          <w:rFonts w:ascii="標楷體" w:eastAsia="標楷體" w:hAnsi="標楷體"/>
          <w:color w:val="000000"/>
        </w:rPr>
        <w:t>或</w:t>
      </w:r>
      <w:r>
        <w:rPr>
          <w:rFonts w:ascii="標楷體" w:eastAsia="標楷體" w:hAnsi="標楷體"/>
          <w:color w:val="000000"/>
        </w:rPr>
        <w:t>sitagliptin</w:t>
      </w:r>
      <w:r>
        <w:rPr>
          <w:rFonts w:ascii="標楷體" w:eastAsia="標楷體" w:hAnsi="標楷體"/>
          <w:color w:val="000000"/>
        </w:rPr>
        <w:t>治療至少</w:t>
      </w:r>
      <w:r>
        <w:rPr>
          <w:rFonts w:ascii="標楷體" w:eastAsia="標楷體" w:hAnsi="標楷體"/>
          <w:color w:val="000000"/>
        </w:rPr>
        <w:t>6</w:t>
      </w:r>
      <w:r>
        <w:rPr>
          <w:rFonts w:ascii="標楷體" w:eastAsia="標楷體" w:hAnsi="標楷體"/>
          <w:color w:val="000000"/>
        </w:rPr>
        <w:t>個月，糖化血色素值</w:t>
      </w:r>
      <w:r>
        <w:rPr>
          <w:rFonts w:ascii="標楷體" w:eastAsia="標楷體" w:hAnsi="標楷體"/>
          <w:color w:val="000000"/>
        </w:rPr>
        <w:t>(HbA1c)</w:t>
      </w:r>
      <w:r>
        <w:rPr>
          <w:rFonts w:ascii="標楷體" w:eastAsia="標楷體" w:hAnsi="標楷體"/>
          <w:color w:val="000000"/>
        </w:rPr>
        <w:t>仍高於</w:t>
      </w:r>
      <w:r>
        <w:rPr>
          <w:rFonts w:ascii="標楷體" w:eastAsia="標楷體" w:hAnsi="標楷體"/>
          <w:color w:val="000000"/>
        </w:rPr>
        <w:t>7.5%</w:t>
      </w:r>
      <w:r>
        <w:rPr>
          <w:rFonts w:ascii="標楷體" w:eastAsia="標楷體" w:hAnsi="標楷體"/>
          <w:color w:val="000000"/>
        </w:rPr>
        <w:t>者。</w:t>
      </w:r>
    </w:p>
    <w:p w:rsidR="00203445" w:rsidRDefault="003100F1">
      <w:pPr>
        <w:ind w:left="672" w:hanging="386"/>
        <w:rPr>
          <w:rFonts w:ascii="標楷體" w:eastAsia="標楷體" w:hAnsi="標楷體"/>
          <w:color w:val="000000"/>
        </w:rPr>
      </w:pPr>
      <w:r>
        <w:rPr>
          <w:rFonts w:ascii="標楷體" w:eastAsia="標楷體" w:hAnsi="標楷體"/>
          <w:color w:val="000000"/>
        </w:rPr>
        <w:t>5.2.</w:t>
      </w:r>
      <w:r>
        <w:rPr>
          <w:rFonts w:ascii="標楷體" w:eastAsia="標楷體" w:hAnsi="標楷體"/>
          <w:color w:val="000000"/>
        </w:rPr>
        <w:t>雄性</w:t>
      </w:r>
      <w:proofErr w:type="gramStart"/>
      <w:r>
        <w:rPr>
          <w:rFonts w:ascii="標楷體" w:eastAsia="標楷體" w:hAnsi="標楷體"/>
          <w:color w:val="000000"/>
        </w:rPr>
        <w:t>激素類製劑</w:t>
      </w:r>
      <w:proofErr w:type="gramEnd"/>
      <w:r>
        <w:rPr>
          <w:rFonts w:ascii="標楷體" w:eastAsia="標楷體" w:hAnsi="標楷體"/>
          <w:color w:val="000000"/>
        </w:rPr>
        <w:t>與同化作用類固醇及其</w:t>
      </w:r>
      <w:proofErr w:type="gramStart"/>
      <w:r>
        <w:rPr>
          <w:rFonts w:ascii="標楷體" w:eastAsia="標楷體" w:hAnsi="標楷體"/>
          <w:color w:val="000000"/>
        </w:rPr>
        <w:t>拮抗</w:t>
      </w:r>
      <w:proofErr w:type="gramEnd"/>
      <w:r>
        <w:rPr>
          <w:rFonts w:ascii="標楷體" w:eastAsia="標楷體" w:hAnsi="標楷體"/>
          <w:color w:val="000000"/>
        </w:rPr>
        <w:t>劑</w:t>
      </w:r>
      <w:r>
        <w:rPr>
          <w:rFonts w:ascii="標楷體" w:eastAsia="標楷體" w:hAnsi="標楷體"/>
          <w:color w:val="000000"/>
        </w:rPr>
        <w:t xml:space="preserve">  Androgens and anabolic steroids and antagonists</w:t>
      </w:r>
    </w:p>
    <w:p w:rsidR="00203445" w:rsidRDefault="003100F1">
      <w:pPr>
        <w:ind w:left="672" w:hanging="386"/>
        <w:rPr>
          <w:rFonts w:ascii="標楷體" w:eastAsia="標楷體" w:hAnsi="標楷體"/>
          <w:color w:val="000000"/>
        </w:rPr>
      </w:pPr>
      <w:r>
        <w:rPr>
          <w:rFonts w:ascii="標楷體" w:eastAsia="標楷體" w:hAnsi="標楷體"/>
          <w:color w:val="000000"/>
        </w:rPr>
        <w:t>5.2.1.Danazol</w:t>
      </w:r>
      <w:r>
        <w:rPr>
          <w:rFonts w:ascii="標楷體" w:eastAsia="標楷體" w:hAnsi="標楷體"/>
          <w:color w:val="000000"/>
        </w:rPr>
        <w:t>限下列病例使用（</w:t>
      </w:r>
      <w:r>
        <w:rPr>
          <w:rFonts w:ascii="標楷體" w:eastAsia="標楷體" w:hAnsi="標楷體"/>
          <w:color w:val="000000"/>
        </w:rPr>
        <w:t>86/1/1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子宮內膜異位。</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纖維性囊腫乳房性疾患。</w:t>
      </w:r>
    </w:p>
    <w:p w:rsidR="00203445" w:rsidRDefault="003100F1">
      <w:pPr>
        <w:ind w:left="672" w:hanging="386"/>
        <w:rPr>
          <w:rFonts w:ascii="標楷體" w:eastAsia="標楷體" w:hAnsi="標楷體"/>
          <w:color w:val="000000"/>
        </w:rPr>
      </w:pPr>
      <w:r>
        <w:rPr>
          <w:rFonts w:ascii="標楷體" w:eastAsia="標楷體" w:hAnsi="標楷體"/>
          <w:color w:val="000000"/>
        </w:rPr>
        <w:t>5.2.2.</w:t>
      </w:r>
      <w:r>
        <w:rPr>
          <w:rFonts w:ascii="標楷體" w:eastAsia="標楷體" w:hAnsi="標楷體"/>
          <w:color w:val="000000"/>
        </w:rPr>
        <w:t>含</w:t>
      </w:r>
      <w:r>
        <w:rPr>
          <w:rFonts w:ascii="標楷體" w:eastAsia="標楷體" w:hAnsi="標楷體"/>
          <w:color w:val="000000"/>
        </w:rPr>
        <w:t>testosterone 5-alpha reductase inhibitor</w:t>
      </w:r>
      <w:r>
        <w:rPr>
          <w:rFonts w:ascii="標楷體" w:eastAsia="標楷體" w:hAnsi="標楷體"/>
          <w:color w:val="000000"/>
        </w:rPr>
        <w:t>製劑（</w:t>
      </w:r>
      <w:r>
        <w:rPr>
          <w:rFonts w:ascii="標楷體" w:eastAsia="標楷體" w:hAnsi="標楷體"/>
          <w:color w:val="000000"/>
        </w:rPr>
        <w:t>101/3/1</w:t>
      </w:r>
      <w:r>
        <w:rPr>
          <w:rFonts w:ascii="標楷體" w:eastAsia="標楷體" w:hAnsi="標楷體"/>
          <w:color w:val="000000"/>
        </w:rPr>
        <w:t>）</w:t>
      </w:r>
    </w:p>
    <w:p w:rsidR="00203445" w:rsidRDefault="003100F1">
      <w:pPr>
        <w:spacing w:line="440" w:lineRule="exact"/>
        <w:ind w:left="672" w:right="70" w:hanging="386"/>
        <w:rPr>
          <w:rFonts w:ascii="標楷體" w:eastAsia="標楷體" w:hAnsi="標楷體"/>
          <w:color w:val="000000"/>
        </w:rPr>
      </w:pPr>
      <w:r>
        <w:rPr>
          <w:rFonts w:ascii="標楷體" w:eastAsia="標楷體" w:hAnsi="標楷體"/>
          <w:color w:val="000000"/>
        </w:rPr>
        <w:t>5.2.2.1 Finasteride</w:t>
      </w:r>
      <w:r>
        <w:rPr>
          <w:rFonts w:ascii="標楷體" w:eastAsia="標楷體" w:hAnsi="標楷體"/>
          <w:color w:val="000000"/>
        </w:rPr>
        <w:t>（如</w:t>
      </w:r>
      <w:r>
        <w:rPr>
          <w:rFonts w:ascii="標楷體" w:eastAsia="標楷體" w:hAnsi="標楷體"/>
          <w:color w:val="000000"/>
        </w:rPr>
        <w:t>Proscar</w:t>
      </w:r>
      <w:r>
        <w:rPr>
          <w:rFonts w:ascii="標楷體" w:eastAsia="標楷體" w:hAnsi="標楷體"/>
          <w:color w:val="000000"/>
        </w:rPr>
        <w:t>）</w:t>
      </w:r>
      <w:r>
        <w:rPr>
          <w:rFonts w:ascii="標楷體" w:eastAsia="標楷體" w:hAnsi="標楷體"/>
          <w:color w:val="000000"/>
        </w:rPr>
        <w:t>; dutasteride (</w:t>
      </w:r>
      <w:r>
        <w:rPr>
          <w:rFonts w:ascii="標楷體" w:eastAsia="標楷體" w:hAnsi="標楷體"/>
          <w:color w:val="000000"/>
        </w:rPr>
        <w:t>如</w:t>
      </w:r>
      <w:r>
        <w:rPr>
          <w:rFonts w:ascii="標楷體" w:eastAsia="標楷體" w:hAnsi="標楷體"/>
          <w:color w:val="000000"/>
        </w:rPr>
        <w:t xml:space="preserve">Avodart) </w:t>
      </w:r>
      <w:r>
        <w:rPr>
          <w:rFonts w:ascii="標楷體" w:eastAsia="標楷體" w:hAnsi="標楷體"/>
          <w:color w:val="000000"/>
        </w:rPr>
        <w:lastRenderedPageBreak/>
        <w:t>(86/1/1</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93/10/1</w:t>
      </w:r>
      <w:r>
        <w:rPr>
          <w:rFonts w:ascii="標楷體" w:eastAsia="標楷體" w:hAnsi="標楷體"/>
          <w:color w:val="000000"/>
        </w:rPr>
        <w:t>、</w:t>
      </w:r>
      <w:r>
        <w:rPr>
          <w:rFonts w:ascii="標楷體" w:eastAsia="標楷體" w:hAnsi="標楷體"/>
          <w:color w:val="000000"/>
        </w:rPr>
        <w:t>101/3/1</w:t>
      </w:r>
      <w:r>
        <w:rPr>
          <w:rFonts w:ascii="標楷體" w:eastAsia="標楷體" w:hAnsi="標楷體"/>
          <w:color w:val="000000"/>
        </w:rPr>
        <w:t>、</w:t>
      </w:r>
      <w:r>
        <w:rPr>
          <w:rFonts w:ascii="標楷體" w:eastAsia="標楷體" w:hAnsi="標楷體"/>
          <w:color w:val="000000"/>
        </w:rPr>
        <w:t>102/12/1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p>
    <w:p w:rsidR="00203445" w:rsidRDefault="003100F1">
      <w:pPr>
        <w:ind w:left="567" w:hanging="1"/>
        <w:rPr>
          <w:rFonts w:ascii="標楷體" w:eastAsia="標楷體" w:hAnsi="標楷體"/>
          <w:color w:val="000000"/>
        </w:rPr>
      </w:pPr>
      <w:r>
        <w:rPr>
          <w:rFonts w:ascii="標楷體" w:eastAsia="標楷體" w:hAnsi="標楷體"/>
          <w:color w:val="000000"/>
        </w:rPr>
        <w:t>限前列腺增生且有阻塞症狀，使用經直腸超音波前列腺掃描</w:t>
      </w:r>
      <w:r>
        <w:rPr>
          <w:rFonts w:ascii="標楷體" w:eastAsia="標楷體" w:hAnsi="標楷體"/>
          <w:color w:val="000000"/>
        </w:rPr>
        <w:t xml:space="preserve"> (TRUS of prostate) </w:t>
      </w:r>
      <w:r>
        <w:rPr>
          <w:rFonts w:ascii="標楷體" w:eastAsia="標楷體" w:hAnsi="標楷體"/>
          <w:color w:val="000000"/>
        </w:rPr>
        <w:t>或使用腹部超音波測量</w:t>
      </w:r>
      <w:r>
        <w:rPr>
          <w:rFonts w:ascii="標楷體" w:eastAsia="標楷體" w:hAnsi="標楷體"/>
          <w:color w:val="000000"/>
        </w:rPr>
        <w:t>(</w:t>
      </w:r>
      <w:r>
        <w:rPr>
          <w:rFonts w:ascii="標楷體" w:eastAsia="標楷體" w:hAnsi="標楷體"/>
          <w:color w:val="000000"/>
        </w:rPr>
        <w:t>僅限無法實施直腸超音波前列腺掃描者</w:t>
      </w:r>
      <w:r>
        <w:rPr>
          <w:rFonts w:ascii="標楷體" w:eastAsia="標楷體" w:hAnsi="標楷體"/>
          <w:color w:val="000000"/>
        </w:rPr>
        <w:t>)</w:t>
      </w:r>
      <w:r>
        <w:rPr>
          <w:rFonts w:ascii="標楷體" w:eastAsia="標楷體" w:hAnsi="標楷體"/>
          <w:color w:val="000000"/>
        </w:rPr>
        <w:t>為原則，前列腺大於</w:t>
      </w:r>
      <w:r>
        <w:rPr>
          <w:rFonts w:ascii="標楷體" w:eastAsia="標楷體" w:hAnsi="標楷體"/>
          <w:color w:val="000000"/>
        </w:rPr>
        <w:t>30mL</w:t>
      </w:r>
      <w:r>
        <w:rPr>
          <w:rFonts w:ascii="標楷體" w:eastAsia="標楷體" w:hAnsi="標楷體"/>
          <w:color w:val="000000"/>
        </w:rPr>
        <w:t>或最大尿流速</w:t>
      </w:r>
      <w:r>
        <w:rPr>
          <w:rFonts w:ascii="標楷體" w:eastAsia="標楷體" w:hAnsi="標楷體"/>
          <w:color w:val="000000"/>
        </w:rPr>
        <w:t xml:space="preserve"> (</w:t>
      </w:r>
      <w:proofErr w:type="spellStart"/>
      <w:r>
        <w:rPr>
          <w:rFonts w:ascii="標楷體" w:eastAsia="標楷體" w:hAnsi="標楷體"/>
          <w:color w:val="000000"/>
        </w:rPr>
        <w:t>Qmax</w:t>
      </w:r>
      <w:proofErr w:type="spellEnd"/>
      <w:r>
        <w:rPr>
          <w:rFonts w:ascii="標楷體" w:eastAsia="標楷體" w:hAnsi="標楷體"/>
          <w:color w:val="000000"/>
        </w:rPr>
        <w:t xml:space="preserve">) </w:t>
      </w:r>
      <w:r>
        <w:rPr>
          <w:rFonts w:ascii="標楷體" w:eastAsia="標楷體" w:hAnsi="標楷體"/>
          <w:color w:val="000000"/>
        </w:rPr>
        <w:t>小於</w:t>
      </w:r>
      <w:r>
        <w:rPr>
          <w:rFonts w:ascii="標楷體" w:eastAsia="標楷體" w:hAnsi="標楷體"/>
          <w:color w:val="000000"/>
        </w:rPr>
        <w:t>15 mL/sec</w:t>
      </w:r>
      <w:r>
        <w:rPr>
          <w:rFonts w:ascii="標楷體" w:eastAsia="標楷體" w:hAnsi="標楷體"/>
          <w:color w:val="000000"/>
        </w:rPr>
        <w:t>之病人方可使用。</w:t>
      </w:r>
      <w:r>
        <w:rPr>
          <w:rFonts w:ascii="標楷體" w:eastAsia="標楷體" w:hAnsi="標楷體"/>
          <w:color w:val="000000"/>
        </w:rPr>
        <w:t>(102/12/1</w:t>
      </w:r>
      <w:r>
        <w:rPr>
          <w:rFonts w:ascii="標楷體" w:eastAsia="標楷體" w:hAnsi="標楷體"/>
          <w:color w:val="000000"/>
        </w:rPr>
        <w:t>、</w:t>
      </w:r>
      <w:r>
        <w:rPr>
          <w:rFonts w:ascii="標楷體" w:eastAsia="標楷體" w:hAnsi="標楷體"/>
          <w:color w:val="000000"/>
        </w:rPr>
        <w:t>108/12/1)</w:t>
      </w:r>
    </w:p>
    <w:p w:rsidR="00203445" w:rsidRDefault="003100F1">
      <w:pPr>
        <w:spacing w:line="440" w:lineRule="exact"/>
        <w:ind w:left="672" w:right="70" w:hanging="386"/>
        <w:rPr>
          <w:rFonts w:ascii="標楷體" w:eastAsia="標楷體" w:hAnsi="標楷體"/>
          <w:color w:val="000000"/>
        </w:rPr>
      </w:pPr>
      <w:r>
        <w:rPr>
          <w:rFonts w:ascii="標楷體" w:eastAsia="標楷體" w:hAnsi="標楷體"/>
          <w:color w:val="000000"/>
        </w:rPr>
        <w:t>5.2.2.2. Dutasteride + tamsulosin (</w:t>
      </w:r>
      <w:r>
        <w:rPr>
          <w:rFonts w:ascii="標楷體" w:eastAsia="標楷體" w:hAnsi="標楷體"/>
          <w:color w:val="000000"/>
        </w:rPr>
        <w:t>如</w:t>
      </w:r>
      <w:proofErr w:type="spellStart"/>
      <w:r>
        <w:rPr>
          <w:rFonts w:ascii="標楷體" w:eastAsia="標楷體" w:hAnsi="標楷體"/>
          <w:color w:val="000000"/>
        </w:rPr>
        <w:t>Duodart</w:t>
      </w:r>
      <w:proofErr w:type="spellEnd"/>
      <w:r>
        <w:rPr>
          <w:rFonts w:ascii="標楷體" w:eastAsia="標楷體" w:hAnsi="標楷體"/>
          <w:color w:val="000000"/>
        </w:rPr>
        <w:t>) (101/3/1</w:t>
      </w:r>
      <w:r>
        <w:rPr>
          <w:rFonts w:ascii="標楷體" w:eastAsia="標楷體" w:hAnsi="標楷體"/>
          <w:color w:val="000000"/>
        </w:rPr>
        <w:t>、</w:t>
      </w:r>
      <w:r>
        <w:rPr>
          <w:rFonts w:ascii="標楷體" w:eastAsia="標楷體" w:hAnsi="標楷體"/>
          <w:color w:val="000000"/>
        </w:rPr>
        <w:t>102/12/1</w:t>
      </w:r>
      <w:r>
        <w:rPr>
          <w:rFonts w:ascii="標楷體" w:eastAsia="標楷體" w:hAnsi="標楷體"/>
          <w:color w:val="000000"/>
        </w:rPr>
        <w:t>、</w:t>
      </w:r>
      <w:r>
        <w:rPr>
          <w:rFonts w:ascii="標楷體" w:eastAsia="標楷體" w:hAnsi="標楷體"/>
          <w:color w:val="000000"/>
        </w:rPr>
        <w:t>106/10/1</w:t>
      </w:r>
      <w:r>
        <w:rPr>
          <w:rFonts w:ascii="標楷體" w:eastAsia="標楷體" w:hAnsi="標楷體"/>
          <w:color w:val="000000"/>
        </w:rPr>
        <w:t>、</w:t>
      </w:r>
      <w:r>
        <w:rPr>
          <w:rFonts w:ascii="標楷體" w:eastAsia="標楷體" w:hAnsi="標楷體"/>
          <w:color w:val="000000"/>
        </w:rPr>
        <w:t>108/12/1)</w:t>
      </w:r>
      <w:r>
        <w:rPr>
          <w:rFonts w:ascii="標楷體" w:eastAsia="標楷體" w:hAnsi="標楷體"/>
          <w:color w:val="000000"/>
        </w:rPr>
        <w:t>：</w:t>
      </w:r>
    </w:p>
    <w:p w:rsidR="00203445" w:rsidRDefault="003100F1">
      <w:pPr>
        <w:ind w:left="567" w:hanging="1"/>
        <w:rPr>
          <w:rFonts w:ascii="標楷體" w:eastAsia="標楷體" w:hAnsi="標楷體"/>
          <w:color w:val="000000"/>
        </w:rPr>
      </w:pPr>
      <w:r>
        <w:rPr>
          <w:rFonts w:ascii="標楷體" w:eastAsia="標楷體" w:hAnsi="標楷體"/>
          <w:color w:val="000000"/>
        </w:rPr>
        <w:t>限前列腺增生且有阻塞症狀，經直腸超音波前列腺掃描</w:t>
      </w:r>
      <w:r>
        <w:rPr>
          <w:rFonts w:ascii="標楷體" w:eastAsia="標楷體" w:hAnsi="標楷體"/>
          <w:color w:val="000000"/>
        </w:rPr>
        <w:t xml:space="preserve"> (TRUS of prostate) </w:t>
      </w:r>
      <w:r>
        <w:rPr>
          <w:rFonts w:ascii="標楷體" w:eastAsia="標楷體" w:hAnsi="標楷體"/>
          <w:color w:val="000000"/>
        </w:rPr>
        <w:t>或使用腹部超音波測量</w:t>
      </w:r>
      <w:r>
        <w:rPr>
          <w:rFonts w:ascii="標楷體" w:eastAsia="標楷體" w:hAnsi="標楷體"/>
          <w:color w:val="000000"/>
        </w:rPr>
        <w:t>(</w:t>
      </w:r>
      <w:r>
        <w:rPr>
          <w:rFonts w:ascii="標楷體" w:eastAsia="標楷體" w:hAnsi="標楷體"/>
          <w:color w:val="000000"/>
        </w:rPr>
        <w:t>僅限無法實施直腸超音波前列腺掃描者</w:t>
      </w:r>
      <w:r>
        <w:rPr>
          <w:rFonts w:ascii="標楷體" w:eastAsia="標楷體" w:hAnsi="標楷體"/>
          <w:color w:val="000000"/>
        </w:rPr>
        <w:t>)</w:t>
      </w:r>
      <w:r>
        <w:rPr>
          <w:rFonts w:ascii="標楷體" w:eastAsia="標楷體" w:hAnsi="標楷體"/>
          <w:color w:val="000000"/>
        </w:rPr>
        <w:t>為原則，前列腺大於</w:t>
      </w:r>
      <w:r>
        <w:rPr>
          <w:rFonts w:ascii="標楷體" w:eastAsia="標楷體" w:hAnsi="標楷體"/>
          <w:color w:val="000000"/>
        </w:rPr>
        <w:t>30mL</w:t>
      </w:r>
      <w:r>
        <w:rPr>
          <w:rFonts w:ascii="標楷體" w:eastAsia="標楷體" w:hAnsi="標楷體"/>
          <w:color w:val="000000"/>
        </w:rPr>
        <w:t>或最大</w:t>
      </w:r>
      <w:r>
        <w:rPr>
          <w:rFonts w:ascii="標楷體" w:eastAsia="標楷體" w:hAnsi="標楷體"/>
          <w:color w:val="000000"/>
        </w:rPr>
        <w:t>尿流速</w:t>
      </w:r>
      <w:r>
        <w:rPr>
          <w:rFonts w:ascii="標楷體" w:eastAsia="標楷體" w:hAnsi="標楷體"/>
          <w:color w:val="000000"/>
        </w:rPr>
        <w:t xml:space="preserve"> (</w:t>
      </w:r>
      <w:proofErr w:type="spellStart"/>
      <w:r>
        <w:rPr>
          <w:rFonts w:ascii="標楷體" w:eastAsia="標楷體" w:hAnsi="標楷體"/>
          <w:color w:val="000000"/>
        </w:rPr>
        <w:t>Qmax</w:t>
      </w:r>
      <w:proofErr w:type="spellEnd"/>
      <w:r>
        <w:rPr>
          <w:rFonts w:ascii="標楷體" w:eastAsia="標楷體" w:hAnsi="標楷體"/>
          <w:color w:val="000000"/>
        </w:rPr>
        <w:t xml:space="preserve">) </w:t>
      </w:r>
      <w:r>
        <w:rPr>
          <w:rFonts w:ascii="標楷體" w:eastAsia="標楷體" w:hAnsi="標楷體"/>
          <w:color w:val="000000"/>
        </w:rPr>
        <w:t>小於</w:t>
      </w:r>
      <w:r>
        <w:rPr>
          <w:rFonts w:ascii="標楷體" w:eastAsia="標楷體" w:hAnsi="標楷體"/>
          <w:color w:val="000000"/>
        </w:rPr>
        <w:t>15 mL/sec</w:t>
      </w:r>
      <w:r>
        <w:rPr>
          <w:rFonts w:ascii="標楷體" w:eastAsia="標楷體" w:hAnsi="標楷體"/>
          <w:color w:val="000000"/>
        </w:rPr>
        <w:t>之病人。</w:t>
      </w:r>
      <w:r>
        <w:rPr>
          <w:rFonts w:ascii="標楷體" w:eastAsia="標楷體" w:hAnsi="標楷體"/>
          <w:color w:val="000000"/>
        </w:rPr>
        <w:t xml:space="preserve"> (102/12/1</w:t>
      </w:r>
      <w:r>
        <w:rPr>
          <w:rFonts w:ascii="標楷體" w:eastAsia="標楷體" w:hAnsi="標楷體"/>
          <w:color w:val="000000"/>
        </w:rPr>
        <w:t>、</w:t>
      </w:r>
      <w:r>
        <w:rPr>
          <w:rFonts w:ascii="標楷體" w:eastAsia="標楷體" w:hAnsi="標楷體"/>
          <w:color w:val="000000"/>
        </w:rPr>
        <w:t>108/12/1)</w:t>
      </w:r>
    </w:p>
    <w:p w:rsidR="00203445" w:rsidRDefault="003100F1">
      <w:pPr>
        <w:ind w:left="672" w:hanging="386"/>
        <w:rPr>
          <w:rFonts w:ascii="標楷體" w:eastAsia="標楷體" w:hAnsi="標楷體"/>
          <w:color w:val="000000"/>
        </w:rPr>
      </w:pPr>
      <w:r>
        <w:rPr>
          <w:rFonts w:ascii="標楷體" w:eastAsia="標楷體" w:hAnsi="標楷體"/>
          <w:color w:val="000000"/>
        </w:rPr>
        <w:t>5.3.</w:t>
      </w:r>
      <w:r>
        <w:rPr>
          <w:rFonts w:ascii="標楷體" w:eastAsia="標楷體" w:hAnsi="標楷體"/>
          <w:color w:val="000000"/>
        </w:rPr>
        <w:t>動情激素、黃體激素及治療不孕症藥物</w:t>
      </w:r>
      <w:r>
        <w:rPr>
          <w:rFonts w:ascii="標楷體" w:eastAsia="標楷體" w:hAnsi="標楷體"/>
          <w:color w:val="000000"/>
        </w:rPr>
        <w:t>  Estrogens, progestins &amp; drugs used for infertility</w:t>
      </w:r>
    </w:p>
    <w:p w:rsidR="00203445" w:rsidRDefault="003100F1">
      <w:pPr>
        <w:ind w:left="672" w:hanging="386"/>
        <w:rPr>
          <w:rFonts w:ascii="標楷體" w:eastAsia="標楷體" w:hAnsi="標楷體"/>
          <w:color w:val="000000"/>
        </w:rPr>
      </w:pPr>
      <w:r>
        <w:rPr>
          <w:rFonts w:ascii="標楷體" w:eastAsia="標楷體" w:hAnsi="標楷體"/>
          <w:color w:val="000000"/>
        </w:rPr>
        <w:t>5.3.1.Estradiol</w:t>
      </w:r>
      <w:r>
        <w:rPr>
          <w:rFonts w:ascii="標楷體" w:eastAsia="標楷體" w:hAnsi="標楷體"/>
          <w:color w:val="000000"/>
        </w:rPr>
        <w:t>之經皮吸收製劑：</w:t>
      </w:r>
    </w:p>
    <w:p w:rsidR="00203445" w:rsidRDefault="003100F1">
      <w:pPr>
        <w:ind w:left="672" w:hanging="386"/>
        <w:rPr>
          <w:rFonts w:ascii="標楷體" w:eastAsia="標楷體" w:hAnsi="標楷體"/>
          <w:color w:val="000000"/>
        </w:rPr>
      </w:pPr>
      <w:r>
        <w:rPr>
          <w:rFonts w:ascii="標楷體" w:eastAsia="標楷體" w:hAnsi="標楷體"/>
          <w:color w:val="000000"/>
        </w:rPr>
        <w:t>5.3.1.1.Estraderm TTS</w:t>
      </w:r>
      <w:r>
        <w:rPr>
          <w:rFonts w:ascii="標楷體" w:eastAsia="標楷體" w:hAnsi="標楷體"/>
          <w:color w:val="000000"/>
        </w:rPr>
        <w:t>；</w:t>
      </w:r>
      <w:proofErr w:type="spellStart"/>
      <w:r>
        <w:rPr>
          <w:rFonts w:ascii="標楷體" w:eastAsia="標楷體" w:hAnsi="標楷體"/>
          <w:color w:val="000000"/>
        </w:rPr>
        <w:t>Oestro</w:t>
      </w:r>
      <w:proofErr w:type="spellEnd"/>
      <w:r>
        <w:rPr>
          <w:rFonts w:ascii="標楷體" w:eastAsia="標楷體" w:hAnsi="標楷體"/>
          <w:color w:val="000000"/>
        </w:rPr>
        <w:t xml:space="preserve"> V.T (93/5/1)</w:t>
      </w:r>
    </w:p>
    <w:p w:rsidR="00203445" w:rsidRDefault="003100F1">
      <w:pPr>
        <w:ind w:left="798" w:hanging="1"/>
        <w:rPr>
          <w:rFonts w:ascii="標楷體" w:eastAsia="標楷體" w:hAnsi="標楷體"/>
          <w:color w:val="000000"/>
        </w:rPr>
      </w:pPr>
      <w:r>
        <w:rPr>
          <w:rFonts w:ascii="標楷體" w:eastAsia="標楷體" w:hAnsi="標楷體"/>
          <w:color w:val="000000"/>
        </w:rPr>
        <w:t>限不能</w:t>
      </w:r>
      <w:proofErr w:type="gramStart"/>
      <w:r>
        <w:rPr>
          <w:rFonts w:ascii="標楷體" w:eastAsia="標楷體" w:hAnsi="標楷體"/>
          <w:color w:val="000000"/>
        </w:rPr>
        <w:t>口服本品患者</w:t>
      </w:r>
      <w:proofErr w:type="gramEnd"/>
      <w:r>
        <w:rPr>
          <w:rFonts w:ascii="標楷體" w:eastAsia="標楷體" w:hAnsi="標楷體"/>
          <w:color w:val="000000"/>
        </w:rPr>
        <w:t>使用，申報費用時應具體說明不能口服之理由。</w:t>
      </w:r>
    </w:p>
    <w:p w:rsidR="00203445" w:rsidRDefault="003100F1">
      <w:pPr>
        <w:ind w:left="672" w:hanging="386"/>
      </w:pPr>
      <w:r>
        <w:rPr>
          <w:rFonts w:ascii="標楷體" w:eastAsia="標楷體" w:hAnsi="標楷體"/>
          <w:color w:val="000000"/>
        </w:rPr>
        <w:t>5.3.1.2.Estradiol 3.8mg/12.5cm</w:t>
      </w:r>
      <w:r>
        <w:rPr>
          <w:rFonts w:ascii="標楷體" w:eastAsia="標楷體" w:hAnsi="標楷體"/>
          <w:color w:val="000000"/>
          <w:vertAlign w:val="superscript"/>
        </w:rPr>
        <w:t>2</w:t>
      </w:r>
      <w:r>
        <w:rPr>
          <w:rFonts w:ascii="標楷體" w:eastAsia="標楷體" w:hAnsi="標楷體"/>
          <w:color w:val="000000"/>
        </w:rPr>
        <w:t xml:space="preserve">/patch </w:t>
      </w:r>
      <w:r>
        <w:rPr>
          <w:rFonts w:ascii="標楷體" w:eastAsia="標楷體" w:hAnsi="標楷體"/>
          <w:color w:val="000000"/>
        </w:rPr>
        <w:t>（如</w:t>
      </w:r>
      <w:proofErr w:type="spellStart"/>
      <w:r>
        <w:rPr>
          <w:rFonts w:ascii="標楷體" w:eastAsia="標楷體" w:hAnsi="標楷體"/>
          <w:color w:val="000000"/>
        </w:rPr>
        <w:t>Climara</w:t>
      </w:r>
      <w:proofErr w:type="spellEnd"/>
      <w:r>
        <w:rPr>
          <w:rFonts w:ascii="標楷體" w:eastAsia="標楷體" w:hAnsi="標楷體"/>
          <w:color w:val="000000"/>
        </w:rPr>
        <w:t xml:space="preserve"> 50 Transdermal Patch</w:t>
      </w:r>
      <w:r>
        <w:rPr>
          <w:rFonts w:ascii="標楷體" w:eastAsia="標楷體" w:hAnsi="標楷體"/>
          <w:color w:val="000000"/>
        </w:rPr>
        <w:t>）之給付規定：（</w:t>
      </w:r>
      <w:r>
        <w:rPr>
          <w:rFonts w:ascii="標楷體" w:eastAsia="標楷體" w:hAnsi="標楷體"/>
          <w:color w:val="000000"/>
        </w:rPr>
        <w:t>90/4/1</w:t>
      </w:r>
      <w:r>
        <w:rPr>
          <w:rFonts w:ascii="標楷體" w:eastAsia="標楷體" w:hAnsi="標楷體"/>
          <w:color w:val="000000"/>
        </w:rPr>
        <w:t>）限每週一片。</w:t>
      </w:r>
    </w:p>
    <w:p w:rsidR="00203445" w:rsidRDefault="003100F1">
      <w:pPr>
        <w:ind w:left="672" w:hanging="386"/>
        <w:rPr>
          <w:rFonts w:ascii="標楷體" w:eastAsia="標楷體" w:hAnsi="標楷體"/>
          <w:color w:val="000000"/>
        </w:rPr>
      </w:pPr>
      <w:r>
        <w:rPr>
          <w:rFonts w:ascii="標楷體" w:eastAsia="標楷體" w:hAnsi="標楷體"/>
          <w:color w:val="000000"/>
        </w:rPr>
        <w:t>5.3.2.FSH (pure FSH)</w:t>
      </w:r>
      <w:r>
        <w:rPr>
          <w:rFonts w:ascii="標楷體" w:eastAsia="標楷體" w:hAnsi="標楷體"/>
          <w:color w:val="000000"/>
        </w:rPr>
        <w:t>用於誘發排卵時，限</w:t>
      </w:r>
      <w:r>
        <w:rPr>
          <w:rFonts w:ascii="標楷體" w:eastAsia="標楷體" w:hAnsi="標楷體"/>
          <w:color w:val="000000"/>
        </w:rPr>
        <w:t>hypothalamus failure (</w:t>
      </w:r>
      <w:r>
        <w:rPr>
          <w:rFonts w:ascii="標楷體" w:eastAsia="標楷體" w:hAnsi="標楷體"/>
          <w:color w:val="000000"/>
        </w:rPr>
        <w:t>下視丘功能衰竭</w:t>
      </w:r>
      <w:r>
        <w:rPr>
          <w:rFonts w:ascii="標楷體" w:eastAsia="標楷體" w:hAnsi="標楷體"/>
          <w:color w:val="000000"/>
        </w:rPr>
        <w:t>)</w:t>
      </w:r>
      <w:r>
        <w:rPr>
          <w:rFonts w:ascii="標楷體" w:eastAsia="標楷體" w:hAnsi="標楷體"/>
          <w:color w:val="000000"/>
        </w:rPr>
        <w:t>患者，事前專案報准後使用</w:t>
      </w:r>
      <w:r>
        <w:rPr>
          <w:rFonts w:ascii="標楷體" w:eastAsia="標楷體" w:hAnsi="標楷體"/>
          <w:color w:val="000000"/>
        </w:rPr>
        <w:t>(85/1/1)</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5.3.3.HMG</w:t>
      </w:r>
      <w:r>
        <w:rPr>
          <w:rFonts w:ascii="標楷體" w:eastAsia="標楷體" w:hAnsi="標楷體"/>
          <w:color w:val="000000"/>
        </w:rPr>
        <w:t>用於誘發排卵時，限</w:t>
      </w:r>
      <w:r>
        <w:rPr>
          <w:rFonts w:ascii="標楷體" w:eastAsia="標楷體" w:hAnsi="標楷體"/>
          <w:color w:val="000000"/>
        </w:rPr>
        <w:t>hypothalamus failure (</w:t>
      </w:r>
      <w:r>
        <w:rPr>
          <w:rFonts w:ascii="標楷體" w:eastAsia="標楷體" w:hAnsi="標楷體"/>
          <w:color w:val="000000"/>
        </w:rPr>
        <w:t>下視丘功能衰竭</w:t>
      </w:r>
      <w:r>
        <w:rPr>
          <w:rFonts w:ascii="標楷體" w:eastAsia="標楷體" w:hAnsi="標楷體"/>
          <w:color w:val="000000"/>
        </w:rPr>
        <w:t>)</w:t>
      </w:r>
      <w:r>
        <w:rPr>
          <w:rFonts w:ascii="標楷體" w:eastAsia="標楷體" w:hAnsi="標楷體"/>
          <w:color w:val="000000"/>
        </w:rPr>
        <w:t>患者，事前專案報准後使用</w:t>
      </w:r>
      <w:r>
        <w:rPr>
          <w:rFonts w:ascii="標楷體" w:eastAsia="標楷體" w:hAnsi="標楷體"/>
          <w:color w:val="000000"/>
        </w:rPr>
        <w:t>(85/1/1)</w:t>
      </w:r>
      <w:r>
        <w:rPr>
          <w:rFonts w:ascii="標楷體" w:eastAsia="標楷體" w:hAnsi="標楷體"/>
          <w:color w:val="000000"/>
        </w:rPr>
        <w:t>。</w:t>
      </w:r>
    </w:p>
    <w:p w:rsidR="00203445" w:rsidRDefault="003100F1">
      <w:pPr>
        <w:ind w:left="672" w:hanging="386"/>
      </w:pPr>
      <w:r>
        <w:rPr>
          <w:rFonts w:ascii="標楷體" w:eastAsia="標楷體" w:hAnsi="標楷體"/>
          <w:color w:val="000000"/>
        </w:rPr>
        <w:t>5.3.4.</w:t>
      </w:r>
      <w:r>
        <w:t xml:space="preserve"> </w:t>
      </w:r>
      <w:r>
        <w:rPr>
          <w:rFonts w:ascii="標楷體" w:eastAsia="標楷體" w:hAnsi="標楷體"/>
          <w:color w:val="000000"/>
        </w:rPr>
        <w:t>(</w:t>
      </w:r>
      <w:r>
        <w:rPr>
          <w:rFonts w:ascii="標楷體" w:eastAsia="標楷體" w:hAnsi="標楷體"/>
          <w:color w:val="000000"/>
        </w:rPr>
        <w:t>刪除</w:t>
      </w:r>
      <w:r>
        <w:rPr>
          <w:rFonts w:ascii="標楷體" w:eastAsia="標楷體" w:hAnsi="標楷體"/>
          <w:color w:val="000000"/>
        </w:rPr>
        <w:t>)(110/12/1)</w:t>
      </w:r>
    </w:p>
    <w:p w:rsidR="00203445" w:rsidRDefault="003100F1">
      <w:pPr>
        <w:ind w:left="283"/>
        <w:rPr>
          <w:rFonts w:ascii="標楷體" w:eastAsia="標楷體" w:hAnsi="標楷體"/>
          <w:color w:val="000000"/>
        </w:rPr>
      </w:pPr>
      <w:r>
        <w:rPr>
          <w:rFonts w:ascii="標楷體" w:eastAsia="標楷體" w:hAnsi="標楷體"/>
          <w:color w:val="000000"/>
        </w:rPr>
        <w:t xml:space="preserve">5.3.5.Levonorgestrel </w:t>
      </w:r>
      <w:r>
        <w:rPr>
          <w:rFonts w:ascii="標楷體" w:eastAsia="標楷體" w:hAnsi="標楷體"/>
          <w:color w:val="000000"/>
        </w:rPr>
        <w:t>intrauterine system  (</w:t>
      </w:r>
      <w:r>
        <w:rPr>
          <w:rFonts w:ascii="標楷體" w:eastAsia="標楷體" w:hAnsi="標楷體"/>
          <w:color w:val="000000"/>
        </w:rPr>
        <w:t>如</w:t>
      </w:r>
      <w:r>
        <w:rPr>
          <w:rFonts w:ascii="標楷體" w:eastAsia="標楷體" w:hAnsi="標楷體"/>
          <w:color w:val="000000"/>
        </w:rPr>
        <w:t>Mirena)</w:t>
      </w:r>
      <w:r>
        <w:rPr>
          <w:rFonts w:ascii="標楷體" w:eastAsia="標楷體" w:hAnsi="標楷體"/>
          <w:color w:val="000000"/>
        </w:rPr>
        <w:t>：</w:t>
      </w:r>
      <w:r>
        <w:rPr>
          <w:rFonts w:ascii="標楷體" w:eastAsia="標楷體" w:hAnsi="標楷體"/>
          <w:color w:val="000000"/>
        </w:rPr>
        <w:t>(104/2/1</w:t>
      </w:r>
      <w:r>
        <w:rPr>
          <w:rFonts w:ascii="標楷體" w:eastAsia="標楷體" w:hAnsi="標楷體"/>
          <w:color w:val="000000"/>
        </w:rPr>
        <w:t>、</w:t>
      </w:r>
      <w:r>
        <w:rPr>
          <w:rFonts w:ascii="標楷體" w:eastAsia="標楷體" w:hAnsi="標楷體"/>
          <w:color w:val="000000"/>
        </w:rPr>
        <w:t>107/4/1)</w:t>
      </w:r>
    </w:p>
    <w:p w:rsidR="00203445" w:rsidRDefault="003100F1">
      <w:pPr>
        <w:ind w:left="782"/>
        <w:rPr>
          <w:rFonts w:ascii="標楷體" w:eastAsia="標楷體" w:hAnsi="標楷體"/>
          <w:color w:val="000000"/>
        </w:rPr>
      </w:pPr>
      <w:r>
        <w:rPr>
          <w:rFonts w:ascii="標楷體" w:eastAsia="標楷體" w:hAnsi="標楷體"/>
          <w:color w:val="000000"/>
        </w:rPr>
        <w:t>限使用於連續</w:t>
      </w:r>
      <w:r>
        <w:rPr>
          <w:rFonts w:ascii="標楷體" w:eastAsia="標楷體" w:hAnsi="標楷體"/>
          <w:color w:val="000000"/>
        </w:rPr>
        <w:t>3</w:t>
      </w:r>
      <w:r>
        <w:rPr>
          <w:rFonts w:ascii="標楷體" w:eastAsia="標楷體" w:hAnsi="標楷體"/>
          <w:color w:val="000000"/>
        </w:rPr>
        <w:t>個月</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以上月經經血過多導致嚴重貧血</w:t>
      </w:r>
      <w:r>
        <w:rPr>
          <w:rFonts w:ascii="標楷體" w:eastAsia="標楷體" w:hAnsi="標楷體"/>
          <w:color w:val="000000"/>
        </w:rPr>
        <w:t>(Hemoglobin</w:t>
      </w:r>
      <w:proofErr w:type="gramStart"/>
      <w:r>
        <w:rPr>
          <w:rFonts w:ascii="標楷體" w:eastAsia="標楷體" w:hAnsi="標楷體"/>
          <w:color w:val="000000"/>
        </w:rPr>
        <w:t>≦</w:t>
      </w:r>
      <w:proofErr w:type="gramEnd"/>
      <w:r>
        <w:rPr>
          <w:rFonts w:ascii="標楷體" w:eastAsia="標楷體" w:hAnsi="標楷體"/>
          <w:color w:val="000000"/>
        </w:rPr>
        <w:t>10g/dL)</w:t>
      </w:r>
      <w:r>
        <w:rPr>
          <w:rFonts w:ascii="標楷體" w:eastAsia="標楷體" w:hAnsi="標楷體"/>
          <w:color w:val="000000"/>
        </w:rPr>
        <w:t>之婦女，且每次使用後之五年內，不得再次使用。</w:t>
      </w:r>
    </w:p>
    <w:p w:rsidR="00203445" w:rsidRDefault="003100F1">
      <w:pPr>
        <w:snapToGrid w:val="0"/>
        <w:ind w:left="283"/>
      </w:pPr>
      <w:r>
        <w:rPr>
          <w:rFonts w:ascii="標楷體" w:eastAsia="標楷體" w:hAnsi="標楷體"/>
          <w:color w:val="000000"/>
        </w:rPr>
        <w:t>5.3.6. Megestrol</w:t>
      </w:r>
      <w:r>
        <w:rPr>
          <w:rFonts w:ascii="標楷體" w:eastAsia="標楷體" w:hAnsi="標楷體"/>
          <w:color w:val="000000"/>
        </w:rPr>
        <w:t>口服液劑：</w:t>
      </w:r>
      <w:r>
        <w:rPr>
          <w:rFonts w:ascii="標楷體" w:eastAsia="標楷體" w:hAnsi="標楷體"/>
          <w:color w:val="000000"/>
        </w:rPr>
        <w:t>(108/6/1</w:t>
      </w:r>
      <w:r>
        <w:rPr>
          <w:rFonts w:ascii="標楷體" w:eastAsia="標楷體" w:hAnsi="標楷體"/>
          <w:color w:val="000000"/>
        </w:rPr>
        <w:t>、</w:t>
      </w:r>
      <w:r>
        <w:rPr>
          <w:rFonts w:ascii="標楷體" w:eastAsia="標楷體" w:hAnsi="標楷體"/>
          <w:color w:val="000000"/>
        </w:rPr>
        <w:t>109/3/1)</w:t>
      </w:r>
    </w:p>
    <w:p w:rsidR="00203445" w:rsidRDefault="003100F1">
      <w:pPr>
        <w:snapToGrid w:val="0"/>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r>
        <w:rPr>
          <w:rFonts w:ascii="標楷體" w:eastAsia="標楷體" w:hAnsi="標楷體"/>
          <w:color w:val="000000"/>
        </w:rPr>
        <w:t>限用於已排除其他可治療之體重減輕（如全身性感染、影響吸收的腸胃道疾病、內分泌疾病、腎臟或精神病）之</w:t>
      </w:r>
      <w:proofErr w:type="gramStart"/>
      <w:r>
        <w:rPr>
          <w:rFonts w:ascii="標楷體" w:eastAsia="標楷體" w:hAnsi="標楷體"/>
          <w:color w:val="000000"/>
        </w:rPr>
        <w:t>具惡病質</w:t>
      </w:r>
      <w:proofErr w:type="gramEnd"/>
      <w:r>
        <w:rPr>
          <w:rFonts w:ascii="標楷體" w:eastAsia="標楷體" w:hAnsi="標楷體"/>
          <w:color w:val="000000"/>
        </w:rPr>
        <w:t>的後天免疫缺乏症候群患者及癌症患者。</w:t>
      </w:r>
    </w:p>
    <w:p w:rsidR="00203445" w:rsidRDefault="003100F1">
      <w:pPr>
        <w:snapToGrid w:val="0"/>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r>
      <w:proofErr w:type="gramStart"/>
      <w:r>
        <w:rPr>
          <w:rFonts w:ascii="標楷體" w:eastAsia="標楷體" w:hAnsi="標楷體"/>
          <w:color w:val="000000"/>
        </w:rPr>
        <w:t>惡病質</w:t>
      </w:r>
      <w:proofErr w:type="gramEnd"/>
      <w:r>
        <w:rPr>
          <w:rFonts w:ascii="標楷體" w:eastAsia="標楷體" w:hAnsi="標楷體"/>
          <w:color w:val="000000"/>
        </w:rPr>
        <w:t>之條件包括最近</w:t>
      </w:r>
      <w:r>
        <w:rPr>
          <w:rFonts w:ascii="標楷體" w:eastAsia="標楷體" w:hAnsi="標楷體"/>
          <w:color w:val="000000"/>
        </w:rPr>
        <w:t>6</w:t>
      </w:r>
      <w:r>
        <w:rPr>
          <w:rFonts w:ascii="標楷體" w:eastAsia="標楷體" w:hAnsi="標楷體"/>
          <w:color w:val="000000"/>
        </w:rPr>
        <w:t>個月以內體重流失</w:t>
      </w:r>
      <w:r>
        <w:rPr>
          <w:rFonts w:ascii="標楷體" w:eastAsia="標楷體" w:hAnsi="標楷體"/>
          <w:color w:val="000000"/>
        </w:rPr>
        <w:t>&gt;5%</w:t>
      </w:r>
      <w:r>
        <w:rPr>
          <w:rFonts w:ascii="標楷體" w:eastAsia="標楷體" w:hAnsi="標楷體"/>
          <w:color w:val="000000"/>
        </w:rPr>
        <w:t>，或</w:t>
      </w:r>
      <w:r>
        <w:rPr>
          <w:rFonts w:ascii="標楷體" w:eastAsia="標楷體" w:hAnsi="標楷體"/>
          <w:color w:val="000000"/>
        </w:rPr>
        <w:t>BMI&lt;20</w:t>
      </w:r>
      <w:r>
        <w:rPr>
          <w:rFonts w:ascii="標楷體" w:eastAsia="標楷體" w:hAnsi="標楷體"/>
          <w:color w:val="000000"/>
        </w:rPr>
        <w:t>且體重流失</w:t>
      </w:r>
      <w:r>
        <w:rPr>
          <w:rFonts w:ascii="標楷體" w:eastAsia="標楷體" w:hAnsi="標楷體"/>
          <w:color w:val="000000"/>
        </w:rPr>
        <w:t>&gt;2%</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5.4.</w:t>
      </w:r>
      <w:r>
        <w:rPr>
          <w:rFonts w:ascii="標楷體" w:eastAsia="標楷體" w:hAnsi="標楷體"/>
          <w:color w:val="000000"/>
        </w:rPr>
        <w:t>作用於</w:t>
      </w:r>
      <w:proofErr w:type="gramStart"/>
      <w:r>
        <w:rPr>
          <w:rFonts w:ascii="標楷體" w:eastAsia="標楷體" w:hAnsi="標楷體"/>
          <w:color w:val="000000"/>
        </w:rPr>
        <w:t>腦下腺前</w:t>
      </w:r>
      <w:proofErr w:type="gramEnd"/>
      <w:r>
        <w:rPr>
          <w:rFonts w:ascii="標楷體" w:eastAsia="標楷體" w:hAnsi="標楷體"/>
          <w:color w:val="000000"/>
        </w:rPr>
        <w:t>葉與下視丘的藥物</w:t>
      </w:r>
      <w:r>
        <w:rPr>
          <w:rFonts w:ascii="標楷體" w:eastAsia="標楷體" w:hAnsi="標楷體"/>
          <w:color w:val="000000"/>
        </w:rPr>
        <w:t xml:space="preserve">  Drugs related to anterior </w:t>
      </w:r>
      <w:r>
        <w:rPr>
          <w:rFonts w:ascii="標楷體" w:eastAsia="標楷體" w:hAnsi="標楷體"/>
          <w:color w:val="000000"/>
        </w:rPr>
        <w:lastRenderedPageBreak/>
        <w:t>pituitary &amp; hypothalamic function</w:t>
      </w:r>
    </w:p>
    <w:p w:rsidR="00203445" w:rsidRDefault="003100F1">
      <w:pPr>
        <w:ind w:left="630" w:hanging="341"/>
      </w:pPr>
      <w:r>
        <w:rPr>
          <w:rFonts w:ascii="標楷體" w:eastAsia="標楷體" w:hAnsi="標楷體"/>
          <w:color w:val="000000"/>
          <w:szCs w:val="24"/>
        </w:rPr>
        <w:t>5.4.1.1.</w:t>
      </w:r>
      <w:r>
        <w:rPr>
          <w:rFonts w:ascii="標楷體" w:eastAsia="標楷體" w:hAnsi="標楷體"/>
          <w:color w:val="000000"/>
          <w:szCs w:val="24"/>
        </w:rPr>
        <w:t>生長激素</w:t>
      </w:r>
      <w:r>
        <w:rPr>
          <w:rFonts w:ascii="標楷體" w:eastAsia="標楷體" w:hAnsi="標楷體"/>
          <w:color w:val="000000"/>
          <w:szCs w:val="24"/>
        </w:rPr>
        <w:t xml:space="preserve"> (Somatropin)</w:t>
      </w:r>
      <w:r>
        <w:rPr>
          <w:rFonts w:ascii="標楷體" w:eastAsia="標楷體" w:hAnsi="標楷體"/>
          <w:szCs w:val="24"/>
        </w:rPr>
        <w:t xml:space="preserve"> </w:t>
      </w:r>
      <w:r>
        <w:rPr>
          <w:rFonts w:ascii="標楷體" w:eastAsia="標楷體" w:hAnsi="標楷體"/>
          <w:color w:val="000000"/>
          <w:szCs w:val="24"/>
        </w:rPr>
        <w:t>(111/2/1)</w:t>
      </w:r>
      <w:r>
        <w:rPr>
          <w:rFonts w:ascii="標楷體" w:eastAsia="標楷體" w:hAnsi="標楷體"/>
          <w:color w:val="000000"/>
          <w:szCs w:val="24"/>
        </w:rPr>
        <w:t>：</w:t>
      </w:r>
    </w:p>
    <w:p w:rsidR="00203445" w:rsidRDefault="003100F1">
      <w:pPr>
        <w:ind w:left="924" w:hanging="272"/>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限生長激素缺乏症、透納氏症候群、</w:t>
      </w:r>
      <w:r>
        <w:rPr>
          <w:rFonts w:ascii="標楷體" w:eastAsia="標楷體" w:hAnsi="標楷體"/>
          <w:color w:val="000000"/>
          <w:szCs w:val="24"/>
        </w:rPr>
        <w:t>SHOX</w:t>
      </w:r>
      <w:r>
        <w:rPr>
          <w:rFonts w:ascii="標楷體" w:eastAsia="標楷體" w:hAnsi="標楷體"/>
          <w:color w:val="000000"/>
          <w:szCs w:val="24"/>
        </w:rPr>
        <w:t>缺乏症</w:t>
      </w:r>
      <w:r>
        <w:rPr>
          <w:rFonts w:ascii="標楷體" w:eastAsia="標楷體" w:hAnsi="標楷體"/>
          <w:color w:val="000000"/>
          <w:szCs w:val="24"/>
        </w:rPr>
        <w:t>(</w:t>
      </w:r>
      <w:r>
        <w:rPr>
          <w:rFonts w:ascii="標楷體" w:eastAsia="標楷體" w:hAnsi="標楷體"/>
          <w:color w:val="000000"/>
          <w:szCs w:val="24"/>
        </w:rPr>
        <w:t>限使用</w:t>
      </w:r>
      <w:proofErr w:type="spellStart"/>
      <w:r>
        <w:rPr>
          <w:rFonts w:ascii="標楷體" w:eastAsia="標楷體" w:hAnsi="標楷體"/>
          <w:color w:val="000000"/>
          <w:szCs w:val="24"/>
        </w:rPr>
        <w:t>Humatrope</w:t>
      </w:r>
      <w:proofErr w:type="spellEnd"/>
      <w:r>
        <w:rPr>
          <w:rFonts w:ascii="標楷體" w:eastAsia="標楷體" w:hAnsi="標楷體"/>
          <w:color w:val="000000"/>
          <w:szCs w:val="24"/>
        </w:rPr>
        <w:t>)</w:t>
      </w:r>
      <w:r>
        <w:rPr>
          <w:rFonts w:ascii="標楷體" w:eastAsia="標楷體" w:hAnsi="標楷體"/>
          <w:color w:val="000000"/>
          <w:szCs w:val="24"/>
        </w:rPr>
        <w:t>及努南氏症候群（限使用</w:t>
      </w:r>
      <w:proofErr w:type="spellStart"/>
      <w:r>
        <w:rPr>
          <w:rFonts w:ascii="標楷體" w:eastAsia="標楷體" w:hAnsi="標楷體"/>
          <w:color w:val="000000"/>
          <w:szCs w:val="24"/>
        </w:rPr>
        <w:t>Norditropin</w:t>
      </w:r>
      <w:proofErr w:type="spellEnd"/>
      <w:r>
        <w:rPr>
          <w:rFonts w:ascii="標楷體" w:eastAsia="標楷體" w:hAnsi="標楷體"/>
          <w:color w:val="000000"/>
          <w:szCs w:val="24"/>
        </w:rPr>
        <w:t>）患者使用。</w:t>
      </w:r>
      <w:r>
        <w:rPr>
          <w:rFonts w:ascii="標楷體" w:eastAsia="標楷體" w:hAnsi="標楷體"/>
          <w:color w:val="000000"/>
          <w:szCs w:val="24"/>
        </w:rPr>
        <w:t>(104/6/1</w:t>
      </w:r>
      <w:r>
        <w:rPr>
          <w:rFonts w:ascii="標楷體" w:eastAsia="標楷體" w:hAnsi="標楷體"/>
          <w:color w:val="000000"/>
          <w:szCs w:val="24"/>
        </w:rPr>
        <w:t>、</w:t>
      </w:r>
      <w:r>
        <w:rPr>
          <w:rFonts w:ascii="標楷體" w:eastAsia="標楷體" w:hAnsi="標楷體"/>
          <w:color w:val="000000"/>
          <w:szCs w:val="24"/>
        </w:rPr>
        <w:t>111/11/1)</w:t>
      </w:r>
    </w:p>
    <w:p w:rsidR="00203445" w:rsidRDefault="003100F1">
      <w:pPr>
        <w:ind w:left="924" w:hanging="272"/>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限地區醫院以上層級具兒科</w:t>
      </w:r>
      <w:proofErr w:type="gramStart"/>
      <w:r>
        <w:rPr>
          <w:rFonts w:ascii="標楷體" w:eastAsia="標楷體" w:hAnsi="標楷體"/>
          <w:color w:val="000000"/>
          <w:szCs w:val="24"/>
        </w:rPr>
        <w:t>內分泌學次專科</w:t>
      </w:r>
      <w:proofErr w:type="gramEnd"/>
      <w:r>
        <w:rPr>
          <w:rFonts w:ascii="標楷體" w:eastAsia="標楷體" w:hAnsi="標楷體"/>
          <w:color w:val="000000"/>
          <w:szCs w:val="24"/>
        </w:rPr>
        <w:t>、兒科醫學遺傳學及</w:t>
      </w:r>
      <w:proofErr w:type="gramStart"/>
      <w:r>
        <w:rPr>
          <w:rFonts w:ascii="標楷體" w:eastAsia="標楷體" w:hAnsi="標楷體"/>
          <w:color w:val="000000"/>
          <w:szCs w:val="24"/>
        </w:rPr>
        <w:t>新陳代謝</w:t>
      </w:r>
      <w:r>
        <w:rPr>
          <w:rFonts w:ascii="標楷體" w:eastAsia="標楷體" w:hAnsi="標楷體"/>
          <w:color w:val="000000"/>
          <w:szCs w:val="24"/>
        </w:rPr>
        <w:t>學次專</w:t>
      </w:r>
      <w:proofErr w:type="gramEnd"/>
      <w:r>
        <w:rPr>
          <w:rFonts w:ascii="標楷體" w:eastAsia="標楷體" w:hAnsi="標楷體"/>
          <w:color w:val="000000"/>
          <w:szCs w:val="24"/>
        </w:rPr>
        <w:t>科或新陳代謝專科醫師診斷。</w:t>
      </w:r>
      <w:r>
        <w:rPr>
          <w:rFonts w:ascii="標楷體" w:eastAsia="標楷體" w:hAnsi="標楷體"/>
          <w:color w:val="000000"/>
          <w:szCs w:val="24"/>
        </w:rPr>
        <w:t>(104/6/1</w:t>
      </w:r>
      <w:r>
        <w:rPr>
          <w:rFonts w:ascii="標楷體" w:eastAsia="標楷體" w:hAnsi="標楷體"/>
          <w:color w:val="000000"/>
          <w:szCs w:val="24"/>
        </w:rPr>
        <w:t>、</w:t>
      </w:r>
      <w:r>
        <w:rPr>
          <w:rFonts w:ascii="標楷體" w:eastAsia="標楷體" w:hAnsi="標楷體"/>
          <w:color w:val="000000"/>
          <w:szCs w:val="24"/>
        </w:rPr>
        <w:t>110/12/1)</w:t>
      </w:r>
    </w:p>
    <w:p w:rsidR="00203445" w:rsidRDefault="003100F1">
      <w:pPr>
        <w:ind w:left="924" w:hanging="272"/>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生長激素缺乏症使用生長激素治療，依下列規範使用：（</w:t>
      </w:r>
      <w:r>
        <w:rPr>
          <w:rFonts w:ascii="標楷體" w:eastAsia="標楷體" w:hAnsi="標楷體"/>
          <w:color w:val="000000"/>
          <w:szCs w:val="24"/>
        </w:rPr>
        <w:t>100/12/1</w:t>
      </w:r>
      <w:r>
        <w:rPr>
          <w:rFonts w:ascii="標楷體" w:eastAsia="標楷體" w:hAnsi="標楷體"/>
          <w:color w:val="000000"/>
          <w:szCs w:val="24"/>
        </w:rPr>
        <w:t>）</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診斷：施行</w:t>
      </w:r>
      <w:r>
        <w:rPr>
          <w:rFonts w:ascii="標楷體" w:eastAsia="標楷體" w:hAnsi="標楷體"/>
          <w:color w:val="000000"/>
          <w:szCs w:val="24"/>
        </w:rPr>
        <w:t>insulin, clonidine, L-Dopa, glucagon, arginine</w:t>
      </w:r>
      <w:r>
        <w:rPr>
          <w:rFonts w:ascii="標楷體" w:eastAsia="標楷體" w:hAnsi="標楷體"/>
          <w:color w:val="000000"/>
          <w:szCs w:val="24"/>
        </w:rPr>
        <w:t>等檢查有兩項以上之檢查生長激素值均低於</w:t>
      </w:r>
      <w:r>
        <w:rPr>
          <w:rFonts w:ascii="標楷體" w:eastAsia="標楷體" w:hAnsi="標楷體"/>
          <w:color w:val="000000"/>
          <w:szCs w:val="24"/>
        </w:rPr>
        <w:t>7ng/mL(insulin test</w:t>
      </w:r>
      <w:r>
        <w:rPr>
          <w:rFonts w:ascii="標楷體" w:eastAsia="標楷體" w:hAnsi="標楷體"/>
          <w:color w:val="000000"/>
          <w:szCs w:val="24"/>
        </w:rPr>
        <w:t>須附檢查時之血糖值</w:t>
      </w:r>
      <w:r>
        <w:rPr>
          <w:rFonts w:ascii="標楷體" w:eastAsia="標楷體" w:hAnsi="標楷體"/>
          <w:color w:val="000000"/>
          <w:szCs w:val="24"/>
        </w:rPr>
        <w:t>)</w:t>
      </w:r>
      <w:r>
        <w:rPr>
          <w:rFonts w:ascii="標楷體" w:eastAsia="標楷體" w:hAnsi="標楷體"/>
          <w:color w:val="000000"/>
          <w:szCs w:val="24"/>
        </w:rPr>
        <w:t>。包括病理性</w:t>
      </w:r>
      <w:r>
        <w:rPr>
          <w:rFonts w:ascii="標楷體" w:eastAsia="標楷體" w:hAnsi="標楷體"/>
          <w:color w:val="000000"/>
          <w:szCs w:val="24"/>
        </w:rPr>
        <w:t>(pathological)</w:t>
      </w:r>
      <w:r>
        <w:rPr>
          <w:rFonts w:ascii="標楷體" w:eastAsia="標楷體" w:hAnsi="標楷體"/>
          <w:color w:val="000000"/>
          <w:szCs w:val="24"/>
        </w:rPr>
        <w:t>及特發性</w:t>
      </w:r>
      <w:r>
        <w:rPr>
          <w:rFonts w:ascii="標楷體" w:eastAsia="標楷體" w:hAnsi="標楷體"/>
          <w:color w:val="000000"/>
          <w:szCs w:val="24"/>
        </w:rPr>
        <w:t>(idiopathic)</w:t>
      </w:r>
      <w:r>
        <w:rPr>
          <w:rFonts w:ascii="標楷體" w:eastAsia="標楷體" w:hAnsi="標楷體"/>
          <w:color w:val="000000"/>
          <w:szCs w:val="24"/>
        </w:rPr>
        <w:t>及新生兒生長激素缺乏症。</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開始治療條件：</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病理性生長激素缺乏症者須兼具下列二項條件</w:t>
      </w:r>
      <w:r>
        <w:rPr>
          <w:rFonts w:ascii="標楷體" w:eastAsia="標楷體" w:hAnsi="標楷體"/>
          <w:color w:val="000000"/>
          <w:szCs w:val="24"/>
        </w:rPr>
        <w:t>：</w:t>
      </w:r>
    </w:p>
    <w:p w:rsidR="00203445" w:rsidRDefault="003100F1">
      <w:pPr>
        <w:ind w:left="1526" w:hanging="307"/>
        <w:rPr>
          <w:rFonts w:ascii="標楷體" w:eastAsia="標楷體" w:hAnsi="標楷體"/>
          <w:color w:val="000000"/>
          <w:szCs w:val="24"/>
        </w:rPr>
      </w:pPr>
      <w:proofErr w:type="spellStart"/>
      <w:r>
        <w:rPr>
          <w:rFonts w:ascii="標楷體" w:eastAsia="標楷體" w:hAnsi="標楷體"/>
          <w:color w:val="000000"/>
          <w:szCs w:val="24"/>
        </w:rPr>
        <w:t>i</w:t>
      </w:r>
      <w:proofErr w:type="spellEnd"/>
      <w:r>
        <w:rPr>
          <w:rFonts w:ascii="標楷體" w:eastAsia="標楷體" w:hAnsi="標楷體"/>
          <w:color w:val="000000"/>
          <w:szCs w:val="24"/>
        </w:rPr>
        <w:t>.</w:t>
      </w:r>
      <w:r>
        <w:rPr>
          <w:rFonts w:ascii="標楷體" w:eastAsia="標楷體" w:hAnsi="標楷體"/>
          <w:color w:val="000000"/>
          <w:szCs w:val="24"/>
        </w:rPr>
        <w:t>包括下視丘</w:t>
      </w:r>
      <w:r>
        <w:rPr>
          <w:rFonts w:ascii="標楷體" w:eastAsia="標楷體" w:hAnsi="標楷體"/>
          <w:color w:val="000000"/>
          <w:szCs w:val="24"/>
        </w:rPr>
        <w:t>-</w:t>
      </w:r>
      <w:r>
        <w:rPr>
          <w:rFonts w:ascii="標楷體" w:eastAsia="標楷體" w:hAnsi="標楷體"/>
          <w:color w:val="000000"/>
          <w:szCs w:val="24"/>
        </w:rPr>
        <w:t>腦垂體病變</w:t>
      </w:r>
      <w:r>
        <w:rPr>
          <w:rFonts w:ascii="標楷體" w:eastAsia="標楷體" w:hAnsi="標楷體"/>
          <w:color w:val="000000"/>
          <w:szCs w:val="24"/>
        </w:rPr>
        <w:t>(</w:t>
      </w:r>
      <w:r>
        <w:rPr>
          <w:rFonts w:ascii="標楷體" w:eastAsia="標楷體" w:hAnsi="標楷體"/>
          <w:color w:val="000000"/>
          <w:szCs w:val="24"/>
        </w:rPr>
        <w:t>如：腫瘤或</w:t>
      </w:r>
      <w:proofErr w:type="gramStart"/>
      <w:r>
        <w:rPr>
          <w:rFonts w:ascii="標楷體" w:eastAsia="標楷體" w:hAnsi="標楷體"/>
          <w:color w:val="000000"/>
          <w:szCs w:val="24"/>
        </w:rPr>
        <w:t>腦垂體柄因被</w:t>
      </w:r>
      <w:proofErr w:type="gramEnd"/>
      <w:r>
        <w:rPr>
          <w:rFonts w:ascii="標楷體" w:eastAsia="標楷體" w:hAnsi="標楷體"/>
          <w:color w:val="000000"/>
          <w:szCs w:val="24"/>
        </w:rPr>
        <w:t>浸潤而膨大</w:t>
      </w:r>
      <w:r>
        <w:rPr>
          <w:rFonts w:ascii="標楷體" w:eastAsia="標楷體" w:hAnsi="標楷體"/>
          <w:color w:val="000000"/>
          <w:szCs w:val="24"/>
        </w:rPr>
        <w:t>)</w:t>
      </w:r>
      <w:r>
        <w:rPr>
          <w:rFonts w:ascii="標楷體" w:eastAsia="標楷體" w:hAnsi="標楷體"/>
          <w:color w:val="000000"/>
          <w:szCs w:val="24"/>
        </w:rPr>
        <w:t>及下視丘</w:t>
      </w:r>
      <w:r>
        <w:rPr>
          <w:rFonts w:ascii="標楷體" w:eastAsia="標楷體" w:hAnsi="標楷體"/>
          <w:color w:val="000000"/>
          <w:szCs w:val="24"/>
        </w:rPr>
        <w:t>-</w:t>
      </w:r>
      <w:r>
        <w:rPr>
          <w:rFonts w:ascii="標楷體" w:eastAsia="標楷體" w:hAnsi="標楷體"/>
          <w:color w:val="000000"/>
          <w:szCs w:val="24"/>
        </w:rPr>
        <w:t>腦垂體發育異常</w:t>
      </w:r>
      <w:r>
        <w:rPr>
          <w:rFonts w:ascii="標楷體" w:eastAsia="標楷體" w:hAnsi="標楷體"/>
          <w:color w:val="000000"/>
          <w:szCs w:val="24"/>
        </w:rPr>
        <w:t>(</w:t>
      </w:r>
      <w:r>
        <w:rPr>
          <w:rFonts w:ascii="標楷體" w:eastAsia="標楷體" w:hAnsi="標楷體"/>
          <w:color w:val="000000"/>
          <w:szCs w:val="24"/>
        </w:rPr>
        <w:t>如：無腦垂體柄、腦垂體</w:t>
      </w:r>
      <w:proofErr w:type="gramStart"/>
      <w:r>
        <w:rPr>
          <w:rFonts w:ascii="標楷體" w:eastAsia="標楷體" w:hAnsi="標楷體"/>
          <w:color w:val="000000"/>
          <w:szCs w:val="24"/>
        </w:rPr>
        <w:t>後葉異位</w:t>
      </w:r>
      <w:proofErr w:type="gramEnd"/>
      <w:r>
        <w:rPr>
          <w:rFonts w:ascii="標楷體" w:eastAsia="標楷體" w:hAnsi="標楷體"/>
          <w:color w:val="000000"/>
          <w:szCs w:val="24"/>
        </w:rPr>
        <w:t>)</w:t>
      </w:r>
      <w:r>
        <w:rPr>
          <w:rFonts w:ascii="標楷體" w:eastAsia="標楷體" w:hAnsi="標楷體"/>
          <w:color w:val="000000"/>
          <w:szCs w:val="24"/>
        </w:rPr>
        <w:t>者。</w:t>
      </w:r>
    </w:p>
    <w:p w:rsidR="00203445" w:rsidRDefault="003100F1">
      <w:pPr>
        <w:tabs>
          <w:tab w:val="left" w:pos="1701"/>
        </w:tabs>
        <w:ind w:left="1560" w:hanging="426"/>
        <w:rPr>
          <w:rFonts w:ascii="標楷體" w:eastAsia="標楷體" w:hAnsi="標楷體"/>
          <w:color w:val="000000"/>
          <w:szCs w:val="24"/>
        </w:rPr>
      </w:pPr>
      <w:r>
        <w:rPr>
          <w:rFonts w:ascii="標楷體" w:eastAsia="標楷體" w:hAnsi="標楷體"/>
          <w:color w:val="000000"/>
          <w:szCs w:val="24"/>
        </w:rPr>
        <w:t>ii.</w:t>
      </w:r>
      <w:r>
        <w:rPr>
          <w:rFonts w:ascii="標楷體" w:eastAsia="標楷體" w:hAnsi="標楷體"/>
          <w:color w:val="000000"/>
          <w:szCs w:val="24"/>
        </w:rPr>
        <w:t>生長速率一年小於四公分。須具有資格申請生長激素治療的醫療機構身高檢查，每隔三個月一次至少六個月以上之紀錄。</w:t>
      </w:r>
      <w:r>
        <w:rPr>
          <w:rFonts w:ascii="標楷體" w:eastAsia="標楷體" w:hAnsi="標楷體"/>
          <w:color w:val="000000"/>
          <w:szCs w:val="24"/>
        </w:rPr>
        <w:t>)</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特發性生長激素</w:t>
      </w:r>
      <w:proofErr w:type="gramStart"/>
      <w:r>
        <w:rPr>
          <w:rFonts w:ascii="標楷體" w:eastAsia="標楷體" w:hAnsi="標楷體"/>
          <w:color w:val="000000"/>
          <w:szCs w:val="24"/>
        </w:rPr>
        <w:t>缺乏症須兼具</w:t>
      </w:r>
      <w:proofErr w:type="gramEnd"/>
      <w:r>
        <w:rPr>
          <w:rFonts w:ascii="標楷體" w:eastAsia="標楷體" w:hAnsi="標楷體"/>
          <w:color w:val="000000"/>
          <w:szCs w:val="24"/>
        </w:rPr>
        <w:t>下列二項條件：</w:t>
      </w:r>
    </w:p>
    <w:p w:rsidR="00203445" w:rsidRDefault="003100F1">
      <w:pPr>
        <w:ind w:left="1498" w:hanging="279"/>
        <w:rPr>
          <w:rFonts w:ascii="標楷體" w:eastAsia="標楷體" w:hAnsi="標楷體"/>
          <w:color w:val="000000"/>
          <w:szCs w:val="24"/>
        </w:rPr>
      </w:pPr>
      <w:proofErr w:type="spellStart"/>
      <w:r>
        <w:rPr>
          <w:rFonts w:ascii="標楷體" w:eastAsia="標楷體" w:hAnsi="標楷體"/>
          <w:color w:val="000000"/>
          <w:szCs w:val="24"/>
        </w:rPr>
        <w:t>i</w:t>
      </w:r>
      <w:proofErr w:type="spellEnd"/>
      <w:r>
        <w:rPr>
          <w:rFonts w:ascii="標楷體" w:eastAsia="標楷體" w:hAnsi="標楷體"/>
          <w:color w:val="000000"/>
          <w:szCs w:val="24"/>
        </w:rPr>
        <w:t>.</w:t>
      </w:r>
      <w:r>
        <w:rPr>
          <w:rFonts w:ascii="標楷體" w:eastAsia="標楷體" w:hAnsi="標楷體"/>
          <w:color w:val="000000"/>
          <w:szCs w:val="24"/>
        </w:rPr>
        <w:t>身高低於第三</w:t>
      </w:r>
      <w:proofErr w:type="gramStart"/>
      <w:r>
        <w:rPr>
          <w:rFonts w:ascii="標楷體" w:eastAsia="標楷體" w:hAnsi="標楷體"/>
          <w:color w:val="000000"/>
          <w:szCs w:val="24"/>
        </w:rPr>
        <w:t>百分位且生長</w:t>
      </w:r>
      <w:proofErr w:type="gramEnd"/>
      <w:r>
        <w:rPr>
          <w:rFonts w:ascii="標楷體" w:eastAsia="標楷體" w:hAnsi="標楷體"/>
          <w:color w:val="000000"/>
          <w:szCs w:val="24"/>
        </w:rPr>
        <w:t>速率一年小於四公分。須具有資格申請生長激素治療的醫療機構身高檢查，每隔三個月一次至少六個月以上之紀錄。</w:t>
      </w:r>
    </w:p>
    <w:p w:rsidR="00203445" w:rsidRDefault="003100F1">
      <w:pPr>
        <w:ind w:left="1498" w:hanging="279"/>
        <w:rPr>
          <w:rFonts w:ascii="標楷體" w:eastAsia="標楷體" w:hAnsi="標楷體"/>
          <w:color w:val="000000"/>
          <w:szCs w:val="24"/>
        </w:rPr>
      </w:pPr>
      <w:r>
        <w:rPr>
          <w:rFonts w:ascii="標楷體" w:eastAsia="標楷體" w:hAnsi="標楷體"/>
          <w:color w:val="000000"/>
          <w:szCs w:val="24"/>
        </w:rPr>
        <w:t>ii.</w:t>
      </w:r>
      <w:proofErr w:type="gramStart"/>
      <w:r>
        <w:rPr>
          <w:rFonts w:ascii="標楷體" w:eastAsia="標楷體" w:hAnsi="標楷體"/>
          <w:color w:val="000000"/>
          <w:szCs w:val="24"/>
        </w:rPr>
        <w:t>骨齡比</w:t>
      </w:r>
      <w:proofErr w:type="gramEnd"/>
      <w:r>
        <w:rPr>
          <w:rFonts w:ascii="標楷體" w:eastAsia="標楷體" w:hAnsi="標楷體"/>
          <w:color w:val="000000"/>
          <w:szCs w:val="24"/>
        </w:rPr>
        <w:t>實際年齡遲緩至少二個標準差</w:t>
      </w:r>
      <w:r>
        <w:rPr>
          <w:rFonts w:ascii="標楷體" w:eastAsia="標楷體" w:hAnsi="標楷體"/>
          <w:color w:val="000000"/>
          <w:szCs w:val="24"/>
        </w:rPr>
        <w:t>(</w:t>
      </w:r>
      <w:r>
        <w:rPr>
          <w:rFonts w:ascii="標楷體" w:eastAsia="標楷體" w:hAnsi="標楷體"/>
          <w:color w:val="000000"/>
          <w:szCs w:val="24"/>
        </w:rPr>
        <w:t>應檢</w:t>
      </w:r>
      <w:proofErr w:type="gramStart"/>
      <w:r>
        <w:rPr>
          <w:rFonts w:ascii="標楷體" w:eastAsia="標楷體" w:hAnsi="標楷體"/>
          <w:color w:val="000000"/>
          <w:szCs w:val="24"/>
        </w:rPr>
        <w:t>附骨</w:t>
      </w:r>
      <w:proofErr w:type="gramEnd"/>
      <w:r>
        <w:rPr>
          <w:rFonts w:ascii="標楷體" w:eastAsia="標楷體" w:hAnsi="標楷體"/>
          <w:color w:val="000000"/>
          <w:szCs w:val="24"/>
        </w:rPr>
        <w:t>齡</w:t>
      </w:r>
      <w:r>
        <w:rPr>
          <w:rFonts w:ascii="標楷體" w:eastAsia="標楷體" w:hAnsi="標楷體"/>
          <w:color w:val="000000"/>
          <w:szCs w:val="24"/>
        </w:rPr>
        <w:t>X</w:t>
      </w:r>
      <w:r>
        <w:rPr>
          <w:rFonts w:ascii="標楷體" w:eastAsia="標楷體" w:hAnsi="標楷體"/>
          <w:color w:val="000000"/>
          <w:szCs w:val="24"/>
        </w:rPr>
        <w:t>光檢查影像</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新生兒生長激素缺乏症，一再發生低血糖，有影響腦部發育之顧慮者。</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治療劑量：起始劑量</w:t>
      </w:r>
      <w:r>
        <w:rPr>
          <w:rFonts w:ascii="標楷體" w:eastAsia="標楷體" w:hAnsi="標楷體"/>
          <w:color w:val="000000"/>
          <w:szCs w:val="24"/>
        </w:rPr>
        <w:t>0.18 mg/kg/week</w:t>
      </w:r>
      <w:r>
        <w:rPr>
          <w:rFonts w:ascii="標楷體" w:eastAsia="標楷體" w:hAnsi="標楷體"/>
          <w:color w:val="000000"/>
          <w:szCs w:val="24"/>
        </w:rPr>
        <w:t>，爾後視需要可調整至</w:t>
      </w:r>
      <w:r>
        <w:rPr>
          <w:rFonts w:ascii="標楷體" w:eastAsia="標楷體" w:hAnsi="標楷體"/>
          <w:color w:val="000000"/>
          <w:szCs w:val="24"/>
        </w:rPr>
        <w:t>0.18~0.23mg/kg/week</w:t>
      </w:r>
      <w:r>
        <w:rPr>
          <w:rFonts w:ascii="標楷體" w:eastAsia="標楷體" w:hAnsi="標楷體"/>
          <w:color w:val="000000"/>
          <w:szCs w:val="24"/>
        </w:rPr>
        <w:t>。</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治療監測：身高和體重至少每三</w:t>
      </w:r>
      <w:proofErr w:type="gramStart"/>
      <w:r>
        <w:rPr>
          <w:rFonts w:ascii="標楷體" w:eastAsia="標楷體" w:hAnsi="標楷體"/>
          <w:color w:val="000000"/>
          <w:szCs w:val="24"/>
        </w:rPr>
        <w:t>個</w:t>
      </w:r>
      <w:proofErr w:type="gramEnd"/>
      <w:r>
        <w:rPr>
          <w:rFonts w:ascii="標楷體" w:eastAsia="標楷體" w:hAnsi="標楷體"/>
          <w:color w:val="000000"/>
          <w:szCs w:val="24"/>
        </w:rPr>
        <w:t>月測量一次，</w:t>
      </w:r>
      <w:proofErr w:type="gramStart"/>
      <w:r>
        <w:rPr>
          <w:rFonts w:ascii="標楷體" w:eastAsia="標楷體" w:hAnsi="標楷體"/>
          <w:color w:val="000000"/>
          <w:szCs w:val="24"/>
        </w:rPr>
        <w:t>骨齡每</w:t>
      </w:r>
      <w:proofErr w:type="gramEnd"/>
      <w:r>
        <w:rPr>
          <w:rFonts w:ascii="標楷體" w:eastAsia="標楷體" w:hAnsi="標楷體"/>
          <w:color w:val="000000"/>
          <w:szCs w:val="24"/>
        </w:rPr>
        <w:t>六至十二個月測定一次。</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繼續治療條件</w:t>
      </w:r>
      <w:r>
        <w:rPr>
          <w:rFonts w:ascii="標楷體" w:eastAsia="標楷體" w:hAnsi="標楷體"/>
          <w:color w:val="000000"/>
          <w:szCs w:val="24"/>
        </w:rPr>
        <w:t>(</w:t>
      </w:r>
      <w:r>
        <w:rPr>
          <w:rFonts w:ascii="標楷體" w:eastAsia="標楷體" w:hAnsi="標楷體"/>
          <w:color w:val="000000"/>
          <w:szCs w:val="24"/>
        </w:rPr>
        <w:t>每年評估一次</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治療後第一年，生長速率比治療前增加至少</w:t>
      </w:r>
      <w:r>
        <w:rPr>
          <w:rFonts w:ascii="標楷體" w:eastAsia="標楷體" w:hAnsi="標楷體"/>
          <w:color w:val="000000"/>
          <w:szCs w:val="24"/>
        </w:rPr>
        <w:t>3</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Ⅱ.</w:t>
      </w:r>
      <w:proofErr w:type="gramStart"/>
      <w:r>
        <w:rPr>
          <w:rFonts w:ascii="標楷體" w:eastAsia="標楷體" w:hAnsi="標楷體"/>
          <w:color w:val="000000"/>
          <w:szCs w:val="24"/>
        </w:rPr>
        <w:t>骨齡</w:t>
      </w:r>
      <w:proofErr w:type="gramEnd"/>
      <w:r>
        <w:rPr>
          <w:rFonts w:ascii="標楷體" w:eastAsia="標楷體" w:hAnsi="標楷體"/>
          <w:color w:val="000000"/>
          <w:szCs w:val="24"/>
        </w:rPr>
        <w:t>：男生</w:t>
      </w:r>
      <w:proofErr w:type="gramStart"/>
      <w:r>
        <w:rPr>
          <w:rFonts w:ascii="標楷體" w:eastAsia="標楷體" w:hAnsi="標楷體"/>
          <w:color w:val="000000"/>
          <w:szCs w:val="24"/>
        </w:rPr>
        <w:t>骨齡</w:t>
      </w:r>
      <w:r>
        <w:rPr>
          <w:rFonts w:ascii="標楷體" w:eastAsia="標楷體" w:hAnsi="標楷體"/>
          <w:color w:val="000000"/>
          <w:szCs w:val="24"/>
        </w:rPr>
        <w:t>16</w:t>
      </w:r>
      <w:r>
        <w:rPr>
          <w:rFonts w:ascii="標楷體" w:eastAsia="標楷體" w:hAnsi="標楷體"/>
          <w:color w:val="000000"/>
          <w:szCs w:val="24"/>
        </w:rPr>
        <w:t>歲</w:t>
      </w:r>
      <w:proofErr w:type="gramEnd"/>
      <w:r>
        <w:rPr>
          <w:rFonts w:ascii="標楷體" w:eastAsia="標楷體" w:hAnsi="標楷體"/>
          <w:color w:val="000000"/>
          <w:szCs w:val="24"/>
        </w:rPr>
        <w:t>，女生</w:t>
      </w:r>
      <w:proofErr w:type="gramStart"/>
      <w:r>
        <w:rPr>
          <w:rFonts w:ascii="標楷體" w:eastAsia="標楷體" w:hAnsi="標楷體"/>
          <w:color w:val="000000"/>
          <w:szCs w:val="24"/>
        </w:rPr>
        <w:t>骨齡</w:t>
      </w:r>
      <w:r>
        <w:rPr>
          <w:rFonts w:ascii="標楷體" w:eastAsia="標楷體" w:hAnsi="標楷體"/>
          <w:color w:val="000000"/>
          <w:szCs w:val="24"/>
        </w:rPr>
        <w:t>14</w:t>
      </w:r>
      <w:proofErr w:type="gramEnd"/>
      <w:r>
        <w:rPr>
          <w:rFonts w:ascii="標楷體" w:eastAsia="標楷體" w:hAnsi="標楷體"/>
          <w:color w:val="000000"/>
          <w:szCs w:val="24"/>
        </w:rPr>
        <w:t>歲為治療之最後期限。</w:t>
      </w:r>
    </w:p>
    <w:p w:rsidR="00203445" w:rsidRDefault="003100F1">
      <w:pPr>
        <w:ind w:left="1134" w:hanging="341"/>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個案申請時需檢附相關資料包括實驗室檢查報告影本、療程中門診</w:t>
      </w:r>
      <w:r>
        <w:rPr>
          <w:rFonts w:ascii="標楷體" w:eastAsia="標楷體" w:hAnsi="標楷體"/>
          <w:color w:val="000000"/>
          <w:szCs w:val="24"/>
        </w:rPr>
        <w:lastRenderedPageBreak/>
        <w:t>追蹤身高體重記錄影本、</w:t>
      </w:r>
      <w:proofErr w:type="gramStart"/>
      <w:r>
        <w:rPr>
          <w:rFonts w:ascii="標楷體" w:eastAsia="標楷體" w:hAnsi="標楷體"/>
          <w:color w:val="000000"/>
          <w:szCs w:val="24"/>
        </w:rPr>
        <w:t>骨齡</w:t>
      </w:r>
      <w:proofErr w:type="gramEnd"/>
      <w:r>
        <w:rPr>
          <w:rFonts w:ascii="標楷體" w:eastAsia="標楷體" w:hAnsi="標楷體"/>
          <w:color w:val="000000"/>
          <w:szCs w:val="24"/>
        </w:rPr>
        <w:t>X</w:t>
      </w:r>
      <w:r>
        <w:rPr>
          <w:rFonts w:ascii="標楷體" w:eastAsia="標楷體" w:hAnsi="標楷體"/>
          <w:color w:val="000000"/>
          <w:szCs w:val="24"/>
        </w:rPr>
        <w:t>光片影像及藥品劑量等資料之治療計畫</w:t>
      </w:r>
      <w:r>
        <w:rPr>
          <w:rFonts w:ascii="標楷體" w:eastAsia="標楷體" w:hAnsi="標楷體"/>
          <w:color w:val="000000"/>
          <w:szCs w:val="24"/>
        </w:rPr>
        <w:t>)</w:t>
      </w:r>
      <w:r>
        <w:rPr>
          <w:rFonts w:ascii="標楷體" w:eastAsia="標楷體" w:hAnsi="標楷體"/>
          <w:color w:val="000000"/>
          <w:szCs w:val="24"/>
        </w:rPr>
        <w:t>，經事前審查核准後使用。</w:t>
      </w:r>
    </w:p>
    <w:p w:rsidR="00203445" w:rsidRDefault="003100F1">
      <w:pPr>
        <w:ind w:left="924" w:hanging="272"/>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透納氏症候群病人使用生長激素治療的原則：</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診斷：</w:t>
      </w:r>
      <w:proofErr w:type="gramStart"/>
      <w:r>
        <w:rPr>
          <w:rFonts w:ascii="標楷體" w:eastAsia="標楷體" w:hAnsi="標楷體"/>
          <w:color w:val="000000"/>
          <w:szCs w:val="24"/>
        </w:rPr>
        <w:t>Ｘ</w:t>
      </w:r>
      <w:proofErr w:type="gramEnd"/>
      <w:r>
        <w:rPr>
          <w:rFonts w:ascii="標楷體" w:eastAsia="標楷體" w:hAnsi="標楷體"/>
          <w:color w:val="000000"/>
          <w:szCs w:val="24"/>
        </w:rPr>
        <w:t>染色體部分或全部缺乏的女童。（請檢附檢查報告）</w:t>
      </w:r>
      <w:r>
        <w:rPr>
          <w:rFonts w:ascii="標楷體" w:eastAsia="標楷體" w:hAnsi="標楷體"/>
          <w:color w:val="000000"/>
          <w:szCs w:val="24"/>
        </w:rPr>
        <w:t>(96/11/1)</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病人無嚴重心臟血管、腎臟衰竭等危及生命或重度脊椎彎曲等影響治療效果的狀況。</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開始治療條件：</w:t>
      </w:r>
    </w:p>
    <w:p w:rsidR="00203445" w:rsidRDefault="003100F1">
      <w:pPr>
        <w:ind w:left="1260" w:hanging="398"/>
      </w:pPr>
      <w:r>
        <w:rPr>
          <w:rFonts w:ascii="標楷體" w:eastAsia="標楷體" w:hAnsi="標楷體"/>
          <w:color w:val="000000"/>
          <w:szCs w:val="24"/>
        </w:rPr>
        <w:t>Ⅰ.</w:t>
      </w:r>
      <w:r>
        <w:rPr>
          <w:rFonts w:ascii="標楷體" w:eastAsia="標楷體" w:hAnsi="標楷體"/>
          <w:szCs w:val="24"/>
        </w:rPr>
        <w:t xml:space="preserve"> </w:t>
      </w:r>
      <w:r>
        <w:rPr>
          <w:rFonts w:ascii="標楷體" w:eastAsia="標楷體" w:hAnsi="標楷體"/>
          <w:color w:val="000000"/>
          <w:szCs w:val="24"/>
        </w:rPr>
        <w:t>6</w:t>
      </w:r>
      <w:r>
        <w:rPr>
          <w:rFonts w:ascii="標楷體" w:eastAsia="標楷體" w:hAnsi="標楷體"/>
          <w:color w:val="000000"/>
          <w:szCs w:val="24"/>
        </w:rPr>
        <w:t>歲以上</w:t>
      </w:r>
      <w:r>
        <w:rPr>
          <w:rFonts w:ascii="標楷體" w:eastAsia="標楷體" w:hAnsi="標楷體"/>
          <w:color w:val="000000"/>
          <w:szCs w:val="24"/>
        </w:rPr>
        <w:t>(111/2/1)</w:t>
      </w:r>
      <w:r>
        <w:rPr>
          <w:rFonts w:ascii="標楷體" w:eastAsia="標楷體" w:hAnsi="標楷體"/>
          <w:color w:val="000000"/>
          <w:szCs w:val="24"/>
        </w:rPr>
        <w:t>。</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身高低於第三百分位以下且生長速率一年小於四公分，需具有資格申請生長激素治療的醫療機構身高</w:t>
      </w:r>
      <w:r>
        <w:rPr>
          <w:rFonts w:ascii="標楷體" w:eastAsia="標楷體" w:hAnsi="標楷體"/>
          <w:color w:val="000000"/>
          <w:szCs w:val="24"/>
        </w:rPr>
        <w:t>檢查，每隔三個月一次，至少六個月以上之紀錄。</w:t>
      </w:r>
      <w:r>
        <w:rPr>
          <w:rFonts w:ascii="標楷體" w:eastAsia="標楷體" w:hAnsi="標楷體"/>
          <w:color w:val="000000"/>
          <w:szCs w:val="24"/>
        </w:rPr>
        <w:t>(96/11/1)</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Ⅲ.</w:t>
      </w:r>
      <w:proofErr w:type="gramStart"/>
      <w:r>
        <w:rPr>
          <w:rFonts w:ascii="標楷體" w:eastAsia="標楷體" w:hAnsi="標楷體"/>
          <w:color w:val="000000"/>
          <w:szCs w:val="24"/>
        </w:rPr>
        <w:t>骨齡</w:t>
      </w:r>
      <w:r>
        <w:rPr>
          <w:rFonts w:ascii="標楷體" w:eastAsia="標楷體" w:hAnsi="標楷體"/>
          <w:color w:val="000000"/>
          <w:szCs w:val="24"/>
        </w:rPr>
        <w:t>14</w:t>
      </w:r>
      <w:r>
        <w:rPr>
          <w:rFonts w:ascii="標楷體" w:eastAsia="標楷體" w:hAnsi="標楷體"/>
          <w:color w:val="000000"/>
          <w:szCs w:val="24"/>
        </w:rPr>
        <w:t>歲</w:t>
      </w:r>
      <w:proofErr w:type="gramEnd"/>
      <w:r>
        <w:rPr>
          <w:rFonts w:ascii="標楷體" w:eastAsia="標楷體" w:hAnsi="標楷體"/>
          <w:color w:val="000000"/>
          <w:szCs w:val="24"/>
        </w:rPr>
        <w:t>以下（請檢附骨齡Ｘ光片）</w:t>
      </w:r>
      <w:r>
        <w:rPr>
          <w:rFonts w:ascii="標楷體" w:eastAsia="標楷體" w:hAnsi="標楷體"/>
          <w:color w:val="000000"/>
          <w:szCs w:val="24"/>
        </w:rPr>
        <w:t>(111/2/1)</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治療劑量：不超過</w:t>
      </w:r>
      <w:r>
        <w:rPr>
          <w:rFonts w:ascii="標楷體" w:eastAsia="標楷體" w:hAnsi="標楷體"/>
          <w:color w:val="000000"/>
          <w:szCs w:val="24"/>
        </w:rPr>
        <w:t xml:space="preserve"> 1 IU/kg/</w:t>
      </w:r>
      <w:proofErr w:type="spellStart"/>
      <w:r>
        <w:rPr>
          <w:rFonts w:ascii="標楷體" w:eastAsia="標楷體" w:hAnsi="標楷體"/>
          <w:color w:val="000000"/>
          <w:szCs w:val="24"/>
        </w:rPr>
        <w:t>wk</w:t>
      </w:r>
      <w:proofErr w:type="spellEnd"/>
      <w:r>
        <w:rPr>
          <w:rFonts w:ascii="標楷體" w:eastAsia="標楷體" w:hAnsi="標楷體"/>
          <w:color w:val="000000"/>
          <w:szCs w:val="24"/>
        </w:rPr>
        <w:t>或</w:t>
      </w:r>
      <w:r>
        <w:rPr>
          <w:rFonts w:ascii="標楷體" w:eastAsia="標楷體" w:hAnsi="標楷體"/>
          <w:color w:val="000000"/>
          <w:szCs w:val="24"/>
        </w:rPr>
        <w:t>0.35 mg/kg/</w:t>
      </w:r>
      <w:proofErr w:type="spellStart"/>
      <w:r>
        <w:rPr>
          <w:rFonts w:ascii="標楷體" w:eastAsia="標楷體" w:hAnsi="標楷體"/>
          <w:color w:val="000000"/>
          <w:szCs w:val="24"/>
        </w:rPr>
        <w:t>wk</w:t>
      </w:r>
      <w:proofErr w:type="spellEnd"/>
      <w:r>
        <w:rPr>
          <w:rFonts w:ascii="標楷體" w:eastAsia="標楷體" w:hAnsi="標楷體"/>
          <w:color w:val="000000"/>
          <w:szCs w:val="24"/>
        </w:rPr>
        <w:t>。</w:t>
      </w:r>
      <w:r>
        <w:rPr>
          <w:rFonts w:ascii="標楷體" w:eastAsia="標楷體" w:hAnsi="標楷體"/>
          <w:color w:val="000000"/>
          <w:szCs w:val="24"/>
        </w:rPr>
        <w:t>(96/11/1)</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繼續治療條件（每年評估一次）：</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Ⅰ.</w:t>
      </w:r>
      <w:proofErr w:type="gramStart"/>
      <w:r>
        <w:rPr>
          <w:rFonts w:ascii="標楷體" w:eastAsia="標楷體" w:hAnsi="標楷體"/>
          <w:color w:val="000000"/>
          <w:szCs w:val="24"/>
        </w:rPr>
        <w:t>骨齡</w:t>
      </w:r>
      <w:r>
        <w:rPr>
          <w:rFonts w:ascii="標楷體" w:eastAsia="標楷體" w:hAnsi="標楷體"/>
          <w:color w:val="000000"/>
          <w:szCs w:val="24"/>
        </w:rPr>
        <w:t>14</w:t>
      </w:r>
      <w:r>
        <w:rPr>
          <w:rFonts w:ascii="標楷體" w:eastAsia="標楷體" w:hAnsi="標楷體"/>
          <w:color w:val="000000"/>
          <w:szCs w:val="24"/>
        </w:rPr>
        <w:t>歲</w:t>
      </w:r>
      <w:proofErr w:type="gramEnd"/>
      <w:r>
        <w:rPr>
          <w:rFonts w:ascii="標楷體" w:eastAsia="標楷體" w:hAnsi="標楷體"/>
          <w:color w:val="000000"/>
          <w:szCs w:val="24"/>
        </w:rPr>
        <w:t>以下</w:t>
      </w:r>
      <w:r>
        <w:rPr>
          <w:rFonts w:ascii="標楷體" w:eastAsia="標楷體" w:hAnsi="標楷體"/>
          <w:color w:val="000000"/>
          <w:szCs w:val="24"/>
        </w:rPr>
        <w:t>(111/2/1)</w:t>
      </w:r>
      <w:r>
        <w:rPr>
          <w:rFonts w:ascii="標楷體" w:eastAsia="標楷體" w:hAnsi="標楷體"/>
          <w:color w:val="000000"/>
          <w:szCs w:val="24"/>
        </w:rPr>
        <w:t>。</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第一年生長速率比治療前增加至少</w:t>
      </w:r>
      <w:r>
        <w:rPr>
          <w:rFonts w:ascii="標楷體" w:eastAsia="標楷體" w:hAnsi="標楷體"/>
          <w:color w:val="000000"/>
          <w:szCs w:val="24"/>
        </w:rPr>
        <w:t>2</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1260" w:hanging="398"/>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第二年開始，生長速率至少</w:t>
      </w:r>
      <w:r>
        <w:rPr>
          <w:rFonts w:ascii="標楷體" w:eastAsia="標楷體" w:hAnsi="標楷體"/>
          <w:color w:val="000000"/>
          <w:szCs w:val="24"/>
        </w:rPr>
        <w:t>4</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924" w:hanging="272"/>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用於治療</w:t>
      </w:r>
      <w:r>
        <w:rPr>
          <w:rFonts w:ascii="標楷體" w:eastAsia="標楷體" w:hAnsi="標楷體"/>
          <w:color w:val="000000"/>
          <w:szCs w:val="24"/>
        </w:rPr>
        <w:t>SHOX</w:t>
      </w:r>
      <w:r>
        <w:rPr>
          <w:rFonts w:ascii="標楷體" w:eastAsia="標楷體" w:hAnsi="標楷體"/>
          <w:color w:val="000000"/>
          <w:szCs w:val="24"/>
        </w:rPr>
        <w:t>缺乏症患者使用生長激素治療的原則：</w:t>
      </w:r>
      <w:r>
        <w:rPr>
          <w:rFonts w:ascii="標楷體" w:eastAsia="標楷體" w:hAnsi="標楷體"/>
          <w:color w:val="000000"/>
          <w:szCs w:val="24"/>
        </w:rPr>
        <w:t>(104/6/1)</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診斷：</w:t>
      </w:r>
      <w:r>
        <w:rPr>
          <w:rFonts w:ascii="標楷體" w:eastAsia="標楷體" w:hAnsi="標楷體"/>
          <w:color w:val="000000"/>
          <w:szCs w:val="24"/>
        </w:rPr>
        <w:t>SHOX</w:t>
      </w:r>
      <w:r>
        <w:rPr>
          <w:rFonts w:ascii="標楷體" w:eastAsia="標楷體" w:hAnsi="標楷體"/>
          <w:color w:val="000000"/>
          <w:szCs w:val="24"/>
        </w:rPr>
        <w:t>基因突變或缺乏</w:t>
      </w:r>
      <w:r>
        <w:rPr>
          <w:rFonts w:ascii="標楷體" w:eastAsia="標楷體" w:hAnsi="標楷體"/>
          <w:color w:val="000000"/>
          <w:szCs w:val="24"/>
        </w:rPr>
        <w:t>(</w:t>
      </w:r>
      <w:r>
        <w:rPr>
          <w:rFonts w:ascii="標楷體" w:eastAsia="標楷體" w:hAnsi="標楷體"/>
          <w:color w:val="000000"/>
          <w:szCs w:val="24"/>
        </w:rPr>
        <w:t>請檢附檢查報告，若</w:t>
      </w:r>
      <w:r>
        <w:rPr>
          <w:rFonts w:ascii="標楷體" w:eastAsia="標楷體" w:hAnsi="標楷體"/>
          <w:color w:val="000000"/>
          <w:szCs w:val="24"/>
        </w:rPr>
        <w:t>為點突變者，需加附文獻資料證實此突變確為致病突變</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開始治療條件：</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年齡</w:t>
      </w:r>
      <w:r>
        <w:rPr>
          <w:rFonts w:ascii="標楷體" w:eastAsia="標楷體" w:hAnsi="標楷體"/>
          <w:color w:val="000000"/>
          <w:szCs w:val="24"/>
        </w:rPr>
        <w:t>6</w:t>
      </w:r>
      <w:r>
        <w:rPr>
          <w:rFonts w:ascii="標楷體" w:eastAsia="標楷體" w:hAnsi="標楷體"/>
          <w:color w:val="000000"/>
          <w:szCs w:val="24"/>
        </w:rPr>
        <w:t>歲以上</w:t>
      </w:r>
      <w:r>
        <w:rPr>
          <w:rFonts w:ascii="標楷體" w:eastAsia="標楷體" w:hAnsi="標楷體"/>
          <w:color w:val="000000"/>
          <w:szCs w:val="24"/>
        </w:rPr>
        <w:t>(111/2/1)</w:t>
      </w:r>
      <w:r>
        <w:rPr>
          <w:rFonts w:ascii="標楷體" w:eastAsia="標楷體" w:hAnsi="標楷體"/>
          <w:color w:val="000000"/>
          <w:szCs w:val="24"/>
        </w:rPr>
        <w:t>。</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身高低於第三百分位以下且生長速率一年小於四公分，需具有資格申請生長激素治療的醫療機構身高檢查，每隔三個月一次，至少六個月以上之紀錄。</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男性</w:t>
      </w:r>
      <w:r>
        <w:rPr>
          <w:rFonts w:ascii="標楷體" w:eastAsia="標楷體" w:hAnsi="標楷體"/>
          <w:color w:val="000000"/>
          <w:szCs w:val="24"/>
        </w:rPr>
        <w:t>16</w:t>
      </w:r>
      <w:r>
        <w:rPr>
          <w:rFonts w:ascii="標楷體" w:eastAsia="標楷體" w:hAnsi="標楷體"/>
          <w:color w:val="000000"/>
          <w:szCs w:val="24"/>
        </w:rPr>
        <w:t>歲以下、女性</w:t>
      </w:r>
      <w:r>
        <w:rPr>
          <w:rFonts w:ascii="標楷體" w:eastAsia="標楷體" w:hAnsi="標楷體"/>
          <w:color w:val="000000"/>
          <w:szCs w:val="24"/>
        </w:rPr>
        <w:t>14</w:t>
      </w:r>
      <w:r>
        <w:rPr>
          <w:rFonts w:ascii="標楷體" w:eastAsia="標楷體" w:hAnsi="標楷體"/>
          <w:color w:val="000000"/>
          <w:szCs w:val="24"/>
        </w:rPr>
        <w:t>歲以下</w:t>
      </w:r>
      <w:r>
        <w:rPr>
          <w:rFonts w:ascii="標楷體" w:eastAsia="標楷體" w:hAnsi="標楷體"/>
          <w:color w:val="000000"/>
          <w:szCs w:val="24"/>
        </w:rPr>
        <w:t>(</w:t>
      </w:r>
      <w:r>
        <w:rPr>
          <w:rFonts w:ascii="標楷體" w:eastAsia="標楷體" w:hAnsi="標楷體"/>
          <w:color w:val="000000"/>
          <w:szCs w:val="24"/>
        </w:rPr>
        <w:t>請檢</w:t>
      </w:r>
      <w:proofErr w:type="gramStart"/>
      <w:r>
        <w:rPr>
          <w:rFonts w:ascii="標楷體" w:eastAsia="標楷體" w:hAnsi="標楷體"/>
          <w:color w:val="000000"/>
          <w:szCs w:val="24"/>
        </w:rPr>
        <w:t>附骨齡</w:t>
      </w:r>
      <w:proofErr w:type="gramEnd"/>
      <w:r>
        <w:rPr>
          <w:rFonts w:ascii="標楷體" w:eastAsia="標楷體" w:hAnsi="標楷體"/>
          <w:color w:val="000000"/>
          <w:szCs w:val="24"/>
        </w:rPr>
        <w:t>X</w:t>
      </w:r>
      <w:r>
        <w:rPr>
          <w:rFonts w:ascii="標楷體" w:eastAsia="標楷體" w:hAnsi="標楷體"/>
          <w:color w:val="000000"/>
          <w:szCs w:val="24"/>
        </w:rPr>
        <w:t>光片</w:t>
      </w:r>
      <w:r>
        <w:rPr>
          <w:rFonts w:ascii="標楷體" w:eastAsia="標楷體" w:hAnsi="標楷體"/>
          <w:color w:val="000000"/>
          <w:szCs w:val="24"/>
        </w:rPr>
        <w:t>) (111/2/1)</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治療劑量：不超過</w:t>
      </w:r>
      <w:r>
        <w:rPr>
          <w:rFonts w:ascii="標楷體" w:eastAsia="標楷體" w:hAnsi="標楷體"/>
          <w:color w:val="000000"/>
          <w:szCs w:val="24"/>
        </w:rPr>
        <w:t xml:space="preserve"> 0.35 mg/kg/</w:t>
      </w:r>
      <w:proofErr w:type="spellStart"/>
      <w:r>
        <w:rPr>
          <w:rFonts w:ascii="標楷體" w:eastAsia="標楷體" w:hAnsi="標楷體"/>
          <w:color w:val="000000"/>
          <w:szCs w:val="24"/>
        </w:rPr>
        <w:t>wk</w:t>
      </w:r>
      <w:proofErr w:type="spellEnd"/>
      <w:r>
        <w:rPr>
          <w:rFonts w:ascii="標楷體" w:eastAsia="標楷體" w:hAnsi="標楷體"/>
          <w:color w:val="000000"/>
          <w:szCs w:val="24"/>
        </w:rPr>
        <w:t>。</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(4)</w:t>
      </w:r>
      <w:r>
        <w:rPr>
          <w:rFonts w:ascii="標楷體" w:eastAsia="標楷體" w:hAnsi="標楷體"/>
          <w:color w:val="000000"/>
          <w:szCs w:val="24"/>
        </w:rPr>
        <w:t>繼續治療條件</w:t>
      </w:r>
      <w:r>
        <w:rPr>
          <w:rFonts w:ascii="標楷體" w:eastAsia="標楷體" w:hAnsi="標楷體"/>
          <w:color w:val="000000"/>
          <w:szCs w:val="24"/>
        </w:rPr>
        <w:t>(</w:t>
      </w:r>
      <w:r>
        <w:rPr>
          <w:rFonts w:ascii="標楷體" w:eastAsia="標楷體" w:hAnsi="標楷體"/>
          <w:color w:val="000000"/>
          <w:szCs w:val="24"/>
        </w:rPr>
        <w:t>每年評估一次</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134" w:hanging="272"/>
      </w:pPr>
      <w:r>
        <w:rPr>
          <w:rFonts w:ascii="標楷體" w:eastAsia="標楷體" w:hAnsi="標楷體"/>
          <w:color w:val="000000"/>
          <w:szCs w:val="24"/>
        </w:rPr>
        <w:t>Ⅰ.</w:t>
      </w:r>
      <w:r>
        <w:rPr>
          <w:rFonts w:ascii="標楷體" w:eastAsia="標楷體" w:hAnsi="標楷體"/>
          <w:szCs w:val="24"/>
        </w:rPr>
        <w:t xml:space="preserve"> </w:t>
      </w:r>
      <w:proofErr w:type="gramStart"/>
      <w:r>
        <w:rPr>
          <w:rFonts w:ascii="標楷體" w:eastAsia="標楷體" w:hAnsi="標楷體"/>
          <w:color w:val="000000"/>
          <w:szCs w:val="24"/>
        </w:rPr>
        <w:t>骨齡</w:t>
      </w:r>
      <w:proofErr w:type="gramEnd"/>
      <w:r>
        <w:rPr>
          <w:rFonts w:ascii="標楷體" w:eastAsia="標楷體" w:hAnsi="標楷體"/>
          <w:color w:val="000000"/>
          <w:szCs w:val="24"/>
        </w:rPr>
        <w:t>：男性</w:t>
      </w:r>
      <w:r>
        <w:rPr>
          <w:rFonts w:ascii="標楷體" w:eastAsia="標楷體" w:hAnsi="標楷體"/>
          <w:color w:val="000000"/>
          <w:szCs w:val="24"/>
        </w:rPr>
        <w:t>16</w:t>
      </w:r>
      <w:r>
        <w:rPr>
          <w:rFonts w:ascii="標楷體" w:eastAsia="標楷體" w:hAnsi="標楷體"/>
          <w:color w:val="000000"/>
          <w:szCs w:val="24"/>
        </w:rPr>
        <w:t>歲以下、女性</w:t>
      </w:r>
      <w:r>
        <w:rPr>
          <w:rFonts w:ascii="標楷體" w:eastAsia="標楷體" w:hAnsi="標楷體"/>
          <w:color w:val="000000"/>
          <w:szCs w:val="24"/>
        </w:rPr>
        <w:t>14</w:t>
      </w:r>
      <w:r>
        <w:rPr>
          <w:rFonts w:ascii="標楷體" w:eastAsia="標楷體" w:hAnsi="標楷體"/>
          <w:color w:val="000000"/>
          <w:szCs w:val="24"/>
        </w:rPr>
        <w:t>歲以下</w:t>
      </w:r>
      <w:r>
        <w:rPr>
          <w:rFonts w:ascii="標楷體" w:eastAsia="標楷體" w:hAnsi="標楷體"/>
          <w:color w:val="000000"/>
          <w:szCs w:val="24"/>
        </w:rPr>
        <w:t>(</w:t>
      </w:r>
      <w:r>
        <w:rPr>
          <w:rFonts w:ascii="標楷體" w:eastAsia="標楷體" w:hAnsi="標楷體"/>
          <w:color w:val="000000"/>
          <w:szCs w:val="24"/>
        </w:rPr>
        <w:t>請檢</w:t>
      </w:r>
      <w:proofErr w:type="gramStart"/>
      <w:r>
        <w:rPr>
          <w:rFonts w:ascii="標楷體" w:eastAsia="標楷體" w:hAnsi="標楷體"/>
          <w:color w:val="000000"/>
          <w:szCs w:val="24"/>
        </w:rPr>
        <w:t>附骨齡</w:t>
      </w:r>
      <w:proofErr w:type="gramEnd"/>
      <w:r>
        <w:rPr>
          <w:rFonts w:ascii="標楷體" w:eastAsia="標楷體" w:hAnsi="標楷體"/>
          <w:color w:val="000000"/>
          <w:szCs w:val="24"/>
        </w:rPr>
        <w:t>X</w:t>
      </w:r>
      <w:r>
        <w:rPr>
          <w:rFonts w:ascii="標楷體" w:eastAsia="標楷體" w:hAnsi="標楷體"/>
          <w:color w:val="000000"/>
          <w:szCs w:val="24"/>
        </w:rPr>
        <w:t>光片</w:t>
      </w:r>
      <w:r>
        <w:rPr>
          <w:rFonts w:ascii="標楷體" w:eastAsia="標楷體" w:hAnsi="標楷體"/>
          <w:color w:val="000000"/>
          <w:szCs w:val="24"/>
        </w:rPr>
        <w:t>) (111/2/1)</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第一年生長速率比治療前增加至少</w:t>
      </w:r>
      <w:r>
        <w:rPr>
          <w:rFonts w:ascii="標楷體" w:eastAsia="標楷體" w:hAnsi="標楷體"/>
          <w:color w:val="000000"/>
          <w:szCs w:val="24"/>
        </w:rPr>
        <w:t>2</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第二年開始，生長速率至少</w:t>
      </w:r>
      <w:r>
        <w:rPr>
          <w:rFonts w:ascii="標楷體" w:eastAsia="標楷體" w:hAnsi="標楷體"/>
          <w:color w:val="000000"/>
          <w:szCs w:val="24"/>
        </w:rPr>
        <w:t>4</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712" w:hanging="2"/>
      </w:pPr>
      <w:r>
        <w:rPr>
          <w:rFonts w:ascii="標楷體" w:eastAsia="標楷體" w:hAnsi="標楷體"/>
          <w:color w:val="000000"/>
          <w:szCs w:val="24"/>
        </w:rPr>
        <w:t>(5)</w:t>
      </w:r>
      <w:r>
        <w:rPr>
          <w:rFonts w:ascii="標楷體" w:eastAsia="標楷體" w:hAnsi="標楷體"/>
          <w:color w:val="000000"/>
          <w:szCs w:val="24"/>
        </w:rPr>
        <w:t>需事前審查核准後使用。</w:t>
      </w:r>
    </w:p>
    <w:p w:rsidR="00203445" w:rsidRDefault="003100F1">
      <w:pPr>
        <w:ind w:left="993" w:hanging="284"/>
      </w:pPr>
      <w:r>
        <w:rPr>
          <w:rFonts w:ascii="標楷體" w:eastAsia="標楷體" w:hAnsi="標楷體"/>
          <w:color w:val="000000"/>
          <w:szCs w:val="24"/>
        </w:rPr>
        <w:t>6.</w:t>
      </w:r>
      <w:r>
        <w:rPr>
          <w:rFonts w:ascii="標楷體" w:eastAsia="標楷體" w:hAnsi="標楷體"/>
          <w:color w:val="000000"/>
          <w:szCs w:val="24"/>
        </w:rPr>
        <w:t>努南氏症候群（</w:t>
      </w:r>
      <w:r>
        <w:rPr>
          <w:rFonts w:ascii="標楷體" w:eastAsia="標楷體" w:hAnsi="標楷體"/>
          <w:color w:val="000000"/>
          <w:szCs w:val="24"/>
        </w:rPr>
        <w:t>Noonan Syndrome</w:t>
      </w:r>
      <w:r>
        <w:rPr>
          <w:rFonts w:ascii="標楷體" w:eastAsia="標楷體" w:hAnsi="標楷體"/>
          <w:color w:val="000000"/>
          <w:szCs w:val="24"/>
        </w:rPr>
        <w:t>）病人使用生長激素治療的原則：</w:t>
      </w:r>
      <w:r>
        <w:rPr>
          <w:rFonts w:ascii="標楷體" w:eastAsia="標楷體" w:hAnsi="標楷體"/>
          <w:color w:val="000000"/>
          <w:szCs w:val="24"/>
        </w:rPr>
        <w:lastRenderedPageBreak/>
        <w:t>(111</w:t>
      </w:r>
      <w:r>
        <w:rPr>
          <w:rFonts w:ascii="標楷體" w:eastAsia="標楷體" w:hAnsi="標楷體"/>
          <w:szCs w:val="24"/>
        </w:rPr>
        <w:t>/11/1</w:t>
      </w:r>
      <w:r>
        <w:rPr>
          <w:rFonts w:ascii="標楷體" w:eastAsia="標楷體" w:hAnsi="標楷體"/>
          <w:color w:val="000000"/>
          <w:szCs w:val="24"/>
        </w:rPr>
        <w:t>)</w:t>
      </w:r>
    </w:p>
    <w:p w:rsidR="00203445" w:rsidRDefault="003100F1">
      <w:pPr>
        <w:ind w:left="672" w:firstLine="321"/>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診斷：</w:t>
      </w:r>
      <w:r>
        <w:rPr>
          <w:rFonts w:ascii="標楷體" w:eastAsia="標楷體" w:hAnsi="標楷體"/>
          <w:color w:val="000000"/>
          <w:szCs w:val="24"/>
        </w:rPr>
        <w:t>(</w:t>
      </w:r>
      <w:r>
        <w:rPr>
          <w:rFonts w:ascii="標楷體" w:eastAsia="標楷體" w:hAnsi="標楷體"/>
          <w:color w:val="000000"/>
          <w:szCs w:val="24"/>
        </w:rPr>
        <w:t>需同時符合下列兩點</w:t>
      </w:r>
      <w:r>
        <w:rPr>
          <w:rFonts w:ascii="標楷體" w:eastAsia="標楷體" w:hAnsi="標楷體"/>
          <w:color w:val="000000"/>
          <w:szCs w:val="24"/>
        </w:rPr>
        <w:t>)</w:t>
      </w:r>
    </w:p>
    <w:p w:rsidR="00203445" w:rsidRDefault="003100F1">
      <w:pPr>
        <w:ind w:left="672" w:firstLine="179"/>
        <w:rPr>
          <w:rFonts w:ascii="標楷體" w:eastAsia="標楷體" w:hAnsi="標楷體"/>
          <w:color w:val="000000"/>
          <w:szCs w:val="24"/>
        </w:rPr>
      </w:pPr>
      <w:r>
        <w:rPr>
          <w:rFonts w:ascii="標楷體" w:eastAsia="標楷體" w:hAnsi="標楷體"/>
          <w:color w:val="000000"/>
          <w:szCs w:val="24"/>
        </w:rPr>
        <w:t>Ⅰ.</w:t>
      </w:r>
      <w:r>
        <w:rPr>
          <w:rFonts w:ascii="標楷體" w:eastAsia="標楷體" w:hAnsi="標楷體"/>
          <w:color w:val="000000"/>
          <w:szCs w:val="24"/>
        </w:rPr>
        <w:t>努南氏症候群臨床表現型者，診斷標準表如下</w:t>
      </w:r>
      <w:r>
        <w:rPr>
          <w:rFonts w:ascii="標楷體" w:eastAsia="標楷體" w:hAnsi="標楷體"/>
          <w:color w:val="000000"/>
          <w:szCs w:val="24"/>
        </w:rPr>
        <w:t>:</w:t>
      </w:r>
    </w:p>
    <w:tbl>
      <w:tblPr>
        <w:tblW w:w="9608" w:type="dxa"/>
        <w:tblInd w:w="168" w:type="dxa"/>
        <w:tblCellMar>
          <w:left w:w="10" w:type="dxa"/>
          <w:right w:w="10" w:type="dxa"/>
        </w:tblCellMar>
        <w:tblLook w:val="04A0" w:firstRow="1" w:lastRow="0" w:firstColumn="1" w:lastColumn="0" w:noHBand="0" w:noVBand="1"/>
      </w:tblPr>
      <w:tblGrid>
        <w:gridCol w:w="1387"/>
        <w:gridCol w:w="4110"/>
        <w:gridCol w:w="4111"/>
      </w:tblGrid>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臨床特徵</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jc w:val="center"/>
              <w:rPr>
                <w:rFonts w:ascii="標楷體" w:eastAsia="標楷體" w:hAnsi="標楷體"/>
                <w:color w:val="000000"/>
                <w:szCs w:val="24"/>
              </w:rPr>
            </w:pPr>
            <w:r>
              <w:rPr>
                <w:rFonts w:ascii="標楷體" w:eastAsia="標楷體" w:hAnsi="標楷體"/>
                <w:color w:val="000000"/>
                <w:szCs w:val="24"/>
              </w:rPr>
              <w:t>主要表徵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jc w:val="center"/>
              <w:rPr>
                <w:rFonts w:ascii="標楷體" w:eastAsia="標楷體" w:hAnsi="標楷體"/>
                <w:color w:val="000000"/>
                <w:szCs w:val="24"/>
              </w:rPr>
            </w:pPr>
            <w:r>
              <w:rPr>
                <w:rFonts w:ascii="標楷體" w:eastAsia="標楷體" w:hAnsi="標楷體"/>
                <w:color w:val="000000"/>
                <w:szCs w:val="24"/>
              </w:rPr>
              <w:t>次要表徵</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臉部</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典型臉部表徵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疑似臉部表徵</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心臟</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肺動脈狹窄，肥厚阻塞型心肌病變</w:t>
            </w:r>
            <w:r>
              <w:rPr>
                <w:rFonts w:ascii="標楷體" w:eastAsia="標楷體" w:hAnsi="標楷體"/>
                <w:color w:val="000000"/>
                <w:szCs w:val="24"/>
              </w:rPr>
              <w:t xml:space="preserve">and/or </w:t>
            </w:r>
            <w:r>
              <w:rPr>
                <w:rFonts w:ascii="標楷體" w:eastAsia="標楷體" w:hAnsi="標楷體"/>
                <w:color w:val="000000"/>
                <w:szCs w:val="24"/>
              </w:rPr>
              <w:t>典型努南氏症心電圖</w:t>
            </w:r>
            <w:r>
              <w:rPr>
                <w:rFonts w:ascii="標楷體" w:eastAsia="標楷體" w:hAnsi="標楷體"/>
                <w:color w:val="000000"/>
                <w:szCs w:val="24"/>
              </w:rPr>
              <w:t xml:space="preserve">(wide QRS with negative pattern </w:t>
            </w:r>
            <w:r>
              <w:rPr>
                <w:rFonts w:ascii="標楷體" w:eastAsia="標楷體" w:hAnsi="標楷體"/>
                <w:color w:val="000000"/>
                <w:szCs w:val="24"/>
              </w:rPr>
              <w:t>in left precordial lead)</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其他心臟缺陷</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身高</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小於</w:t>
            </w:r>
            <w:r>
              <w:rPr>
                <w:rFonts w:ascii="標楷體" w:eastAsia="標楷體" w:hAnsi="標楷體"/>
                <w:color w:val="000000"/>
                <w:szCs w:val="24"/>
              </w:rPr>
              <w:t xml:space="preserve"> 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小於</w:t>
            </w:r>
            <w:r>
              <w:rPr>
                <w:rFonts w:ascii="標楷體" w:eastAsia="標楷體" w:hAnsi="標楷體"/>
                <w:color w:val="000000"/>
                <w:szCs w:val="24"/>
              </w:rPr>
              <w:t xml:space="preserve"> 10%</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4.</w:t>
            </w:r>
            <w:proofErr w:type="gramStart"/>
            <w:r>
              <w:rPr>
                <w:rFonts w:ascii="標楷體" w:eastAsia="標楷體" w:hAnsi="標楷體"/>
                <w:color w:val="000000"/>
                <w:szCs w:val="24"/>
              </w:rPr>
              <w:t>胸壁</w:t>
            </w:r>
            <w:proofErr w:type="gram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雞胸或漏斗胸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寬的胸廓</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家族史</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第一直系血親有努南氏症診斷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第一直系血親疑似有努南氏症</w:t>
            </w:r>
          </w:p>
        </w:tc>
      </w:tr>
      <w:tr w:rsidR="00203445">
        <w:tblPrEx>
          <w:tblCellMar>
            <w:top w:w="0" w:type="dxa"/>
            <w:bottom w:w="0" w:type="dxa"/>
          </w:tblCellMar>
        </w:tblPrEx>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6.</w:t>
            </w:r>
            <w:r>
              <w:rPr>
                <w:rFonts w:ascii="標楷體" w:eastAsia="標楷體" w:hAnsi="標楷體"/>
                <w:color w:val="000000"/>
                <w:szCs w:val="24"/>
              </w:rPr>
              <w:t>其他</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同時合併智力障礙，隱</w:t>
            </w:r>
            <w:proofErr w:type="gramStart"/>
            <w:r>
              <w:rPr>
                <w:rFonts w:ascii="標楷體" w:eastAsia="標楷體" w:hAnsi="標楷體"/>
                <w:color w:val="000000"/>
                <w:szCs w:val="24"/>
              </w:rPr>
              <w:t>睪</w:t>
            </w:r>
            <w:proofErr w:type="gramEnd"/>
            <w:r>
              <w:rPr>
                <w:rFonts w:ascii="標楷體" w:eastAsia="標楷體" w:hAnsi="標楷體"/>
                <w:color w:val="000000"/>
                <w:szCs w:val="24"/>
              </w:rPr>
              <w:t>及淋巴循環不良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445" w:rsidRDefault="003100F1">
            <w:pPr>
              <w:rPr>
                <w:rFonts w:ascii="標楷體" w:eastAsia="標楷體" w:hAnsi="標楷體"/>
                <w:color w:val="000000"/>
                <w:szCs w:val="24"/>
              </w:rPr>
            </w:pPr>
            <w:r>
              <w:rPr>
                <w:rFonts w:ascii="標楷體" w:eastAsia="標楷體" w:hAnsi="標楷體"/>
                <w:color w:val="000000"/>
                <w:szCs w:val="24"/>
              </w:rPr>
              <w:t>智力障礙，隱</w:t>
            </w:r>
            <w:proofErr w:type="gramStart"/>
            <w:r>
              <w:rPr>
                <w:rFonts w:ascii="標楷體" w:eastAsia="標楷體" w:hAnsi="標楷體"/>
                <w:color w:val="000000"/>
                <w:szCs w:val="24"/>
              </w:rPr>
              <w:t>睪</w:t>
            </w:r>
            <w:proofErr w:type="gramEnd"/>
            <w:r>
              <w:rPr>
                <w:rFonts w:ascii="標楷體" w:eastAsia="標楷體" w:hAnsi="標楷體"/>
                <w:color w:val="000000"/>
                <w:szCs w:val="24"/>
              </w:rPr>
              <w:t>及淋巴循環不良符合其中一項</w:t>
            </w:r>
          </w:p>
        </w:tc>
      </w:tr>
    </w:tbl>
    <w:p w:rsidR="00203445" w:rsidRDefault="003100F1">
      <w:pPr>
        <w:ind w:firstLine="140"/>
        <w:rPr>
          <w:rFonts w:ascii="標楷體" w:eastAsia="標楷體" w:hAnsi="標楷體"/>
          <w:color w:val="000000"/>
          <w:szCs w:val="24"/>
        </w:rPr>
      </w:pPr>
      <w:r>
        <w:rPr>
          <w:rFonts w:ascii="標楷體" w:eastAsia="標楷體" w:hAnsi="標楷體"/>
          <w:color w:val="000000"/>
          <w:szCs w:val="24"/>
        </w:rPr>
        <w:t>備註：</w:t>
      </w:r>
    </w:p>
    <w:p w:rsidR="00203445" w:rsidRDefault="003100F1">
      <w:pPr>
        <w:ind w:left="1701" w:hanging="850"/>
      </w:pPr>
      <w:r>
        <w:rPr>
          <w:rFonts w:ascii="標楷體" w:eastAsia="標楷體" w:hAnsi="標楷體"/>
          <w:color w:val="000000"/>
          <w:szCs w:val="24"/>
        </w:rPr>
        <w:t>備註</w:t>
      </w:r>
      <w:r>
        <w:rPr>
          <w:rFonts w:ascii="標楷體" w:eastAsia="標楷體" w:hAnsi="標楷體"/>
          <w:color w:val="000000"/>
          <w:szCs w:val="24"/>
        </w:rPr>
        <w:t>1:</w:t>
      </w:r>
      <w:r>
        <w:rPr>
          <w:rFonts w:ascii="標楷體" w:eastAsia="標楷體" w:hAnsi="標楷體"/>
          <w:color w:val="000000"/>
          <w:szCs w:val="24"/>
        </w:rPr>
        <w:t>典型臉部表徵包括：額頭高</w:t>
      </w:r>
      <w:proofErr w:type="gramStart"/>
      <w:r>
        <w:rPr>
          <w:rFonts w:ascii="標楷體" w:eastAsia="標楷體" w:hAnsi="標楷體"/>
          <w:color w:val="000000"/>
          <w:szCs w:val="24"/>
        </w:rPr>
        <w:t>且寬、眼距</w:t>
      </w:r>
      <w:proofErr w:type="gramEnd"/>
      <w:r>
        <w:rPr>
          <w:rFonts w:ascii="標楷體" w:eastAsia="標楷體" w:hAnsi="標楷體"/>
          <w:color w:val="000000"/>
          <w:szCs w:val="24"/>
        </w:rPr>
        <w:t>過寬、內眥贅皮、眼尾下垂、低位後</w:t>
      </w:r>
      <w:proofErr w:type="gramStart"/>
      <w:r>
        <w:rPr>
          <w:rFonts w:ascii="標楷體" w:eastAsia="標楷體" w:hAnsi="標楷體"/>
          <w:color w:val="000000"/>
          <w:szCs w:val="24"/>
        </w:rPr>
        <w:t>轉耳</w:t>
      </w:r>
      <w:proofErr w:type="gramEnd"/>
      <w:r>
        <w:rPr>
          <w:rFonts w:ascii="標楷體" w:eastAsia="標楷體" w:hAnsi="標楷體"/>
          <w:color w:val="000000"/>
          <w:szCs w:val="24"/>
        </w:rPr>
        <w:t>、耳</w:t>
      </w:r>
      <w:proofErr w:type="gramStart"/>
      <w:r>
        <w:rPr>
          <w:rFonts w:ascii="標楷體" w:eastAsia="標楷體" w:hAnsi="標楷體"/>
          <w:color w:val="000000"/>
          <w:szCs w:val="24"/>
        </w:rPr>
        <w:t>外緣</w:t>
      </w:r>
      <w:proofErr w:type="gramEnd"/>
      <w:r>
        <w:rPr>
          <w:rFonts w:ascii="標楷體" w:eastAsia="標楷體" w:hAnsi="標楷體"/>
          <w:color w:val="000000"/>
          <w:szCs w:val="24"/>
        </w:rPr>
        <w:t>厚、</w:t>
      </w:r>
      <w:proofErr w:type="gramStart"/>
      <w:r>
        <w:rPr>
          <w:rFonts w:ascii="標楷體" w:eastAsia="標楷體" w:hAnsi="標楷體"/>
          <w:color w:val="000000"/>
          <w:szCs w:val="24"/>
        </w:rPr>
        <w:t>高顎</w:t>
      </w:r>
      <w:proofErr w:type="gramEnd"/>
      <w:r>
        <w:rPr>
          <w:rFonts w:ascii="標楷體" w:eastAsia="標楷體" w:hAnsi="標楷體"/>
          <w:color w:val="000000"/>
          <w:szCs w:val="24"/>
        </w:rPr>
        <w:t>弓、小下巴、脖子短、後</w:t>
      </w:r>
      <w:proofErr w:type="gramStart"/>
      <w:r>
        <w:rPr>
          <w:rFonts w:ascii="標楷體" w:eastAsia="標楷體" w:hAnsi="標楷體"/>
          <w:color w:val="000000"/>
          <w:szCs w:val="24"/>
        </w:rPr>
        <w:t>頸厚</w:t>
      </w:r>
      <w:proofErr w:type="gramEnd"/>
      <w:r>
        <w:rPr>
          <w:rFonts w:ascii="標楷體" w:eastAsia="標楷體" w:hAnsi="標楷體"/>
          <w:color w:val="000000"/>
          <w:szCs w:val="24"/>
        </w:rPr>
        <w:t>及後枕髮線低。</w:t>
      </w:r>
    </w:p>
    <w:p w:rsidR="00203445" w:rsidRDefault="003100F1">
      <w:pPr>
        <w:ind w:left="869" w:hanging="18"/>
        <w:rPr>
          <w:rFonts w:ascii="標楷體" w:eastAsia="標楷體" w:hAnsi="標楷體"/>
          <w:color w:val="000000"/>
          <w:szCs w:val="24"/>
        </w:rPr>
      </w:pPr>
      <w:r>
        <w:rPr>
          <w:rFonts w:ascii="標楷體" w:eastAsia="標楷體" w:hAnsi="標楷體"/>
          <w:color w:val="000000"/>
          <w:szCs w:val="24"/>
        </w:rPr>
        <w:t>備註</w:t>
      </w:r>
      <w:r>
        <w:rPr>
          <w:rFonts w:ascii="標楷體" w:eastAsia="標楷體" w:hAnsi="標楷體"/>
          <w:color w:val="000000"/>
          <w:szCs w:val="24"/>
        </w:rPr>
        <w:t>2:</w:t>
      </w:r>
      <w:r>
        <w:rPr>
          <w:rFonts w:ascii="標楷體" w:eastAsia="標楷體" w:hAnsi="標楷體"/>
          <w:color w:val="000000"/>
          <w:szCs w:val="24"/>
        </w:rPr>
        <w:t>努南氏症臨床診斷須符合以下三者之</w:t>
      </w:r>
      <w:proofErr w:type="gramStart"/>
      <w:r>
        <w:rPr>
          <w:rFonts w:ascii="標楷體" w:eastAsia="標楷體" w:hAnsi="標楷體"/>
          <w:color w:val="000000"/>
          <w:szCs w:val="24"/>
        </w:rPr>
        <w:t>一</w:t>
      </w:r>
      <w:proofErr w:type="gramEnd"/>
      <w:r>
        <w:rPr>
          <w:rFonts w:ascii="標楷體" w:eastAsia="標楷體" w:hAnsi="標楷體"/>
          <w:color w:val="000000"/>
          <w:szCs w:val="24"/>
        </w:rPr>
        <w:t>:</w:t>
      </w:r>
    </w:p>
    <w:p w:rsidR="00203445" w:rsidRDefault="003100F1">
      <w:pPr>
        <w:pStyle w:val="a8"/>
        <w:numPr>
          <w:ilvl w:val="0"/>
          <w:numId w:val="2"/>
        </w:numPr>
        <w:ind w:left="768" w:firstLine="933"/>
        <w:rPr>
          <w:rFonts w:ascii="標楷體" w:eastAsia="標楷體" w:hAnsi="標楷體"/>
          <w:color w:val="000000"/>
          <w:szCs w:val="24"/>
        </w:rPr>
      </w:pPr>
      <w:r>
        <w:rPr>
          <w:rFonts w:ascii="標楷體" w:eastAsia="標楷體" w:hAnsi="標楷體"/>
          <w:color w:val="000000"/>
          <w:szCs w:val="24"/>
        </w:rPr>
        <w:t>兩個主要表徵。</w:t>
      </w:r>
    </w:p>
    <w:p w:rsidR="00203445" w:rsidRDefault="003100F1">
      <w:pPr>
        <w:pStyle w:val="a8"/>
        <w:numPr>
          <w:ilvl w:val="0"/>
          <w:numId w:val="2"/>
        </w:numPr>
        <w:ind w:left="909" w:firstLine="792"/>
        <w:rPr>
          <w:rFonts w:ascii="標楷體" w:eastAsia="標楷體" w:hAnsi="標楷體"/>
          <w:color w:val="000000"/>
          <w:szCs w:val="24"/>
        </w:rPr>
      </w:pPr>
      <w:r>
        <w:rPr>
          <w:rFonts w:ascii="標楷體" w:eastAsia="標楷體" w:hAnsi="標楷體"/>
          <w:color w:val="000000"/>
          <w:szCs w:val="24"/>
        </w:rPr>
        <w:t>一個主要表徵加上兩個次要表徵。</w:t>
      </w:r>
    </w:p>
    <w:p w:rsidR="00203445" w:rsidRDefault="003100F1">
      <w:pPr>
        <w:pStyle w:val="a8"/>
        <w:numPr>
          <w:ilvl w:val="0"/>
          <w:numId w:val="2"/>
        </w:numPr>
        <w:ind w:left="909" w:firstLine="792"/>
        <w:rPr>
          <w:rFonts w:ascii="標楷體" w:eastAsia="標楷體" w:hAnsi="標楷體"/>
          <w:color w:val="000000"/>
          <w:szCs w:val="24"/>
        </w:rPr>
      </w:pPr>
      <w:r>
        <w:rPr>
          <w:rFonts w:ascii="標楷體" w:eastAsia="標楷體" w:hAnsi="標楷體"/>
          <w:color w:val="000000"/>
          <w:szCs w:val="24"/>
        </w:rPr>
        <w:t>四個次要表徵。</w:t>
      </w:r>
    </w:p>
    <w:p w:rsidR="00203445" w:rsidRDefault="003100F1">
      <w:pPr>
        <w:ind w:left="1276" w:hanging="425"/>
      </w:pPr>
      <w:r>
        <w:rPr>
          <w:rFonts w:ascii="標楷體" w:eastAsia="標楷體" w:hAnsi="標楷體"/>
          <w:color w:val="000000"/>
          <w:szCs w:val="24"/>
        </w:rPr>
        <w:t>Ⅱ.</w:t>
      </w:r>
      <w:r>
        <w:rPr>
          <w:rFonts w:ascii="標楷體" w:eastAsia="標楷體" w:hAnsi="標楷體"/>
          <w:color w:val="000000"/>
          <w:szCs w:val="24"/>
        </w:rPr>
        <w:t>具有</w:t>
      </w:r>
      <w:r>
        <w:rPr>
          <w:rFonts w:ascii="標楷體" w:eastAsia="標楷體" w:hAnsi="標楷體"/>
          <w:color w:val="000000"/>
          <w:szCs w:val="24"/>
        </w:rPr>
        <w:t>PTPN11</w:t>
      </w:r>
      <w:r>
        <w:rPr>
          <w:rFonts w:ascii="標楷體" w:eastAsia="標楷體" w:hAnsi="標楷體"/>
          <w:color w:val="000000"/>
          <w:szCs w:val="24"/>
        </w:rPr>
        <w:t>、</w:t>
      </w:r>
      <w:r>
        <w:rPr>
          <w:rFonts w:ascii="標楷體" w:eastAsia="標楷體" w:hAnsi="標楷體"/>
          <w:color w:val="000000"/>
          <w:szCs w:val="24"/>
        </w:rPr>
        <w:t>SOS1</w:t>
      </w:r>
      <w:r>
        <w:rPr>
          <w:rFonts w:ascii="標楷體" w:eastAsia="標楷體" w:hAnsi="標楷體"/>
          <w:color w:val="000000"/>
          <w:szCs w:val="24"/>
        </w:rPr>
        <w:t>、</w:t>
      </w:r>
      <w:r>
        <w:rPr>
          <w:rFonts w:ascii="標楷體" w:eastAsia="標楷體" w:hAnsi="標楷體"/>
          <w:color w:val="000000"/>
          <w:szCs w:val="24"/>
        </w:rPr>
        <w:t>RIT1</w:t>
      </w:r>
      <w:r>
        <w:rPr>
          <w:rFonts w:ascii="標楷體" w:eastAsia="標楷體" w:hAnsi="標楷體"/>
          <w:color w:val="000000"/>
          <w:szCs w:val="24"/>
        </w:rPr>
        <w:t>、</w:t>
      </w:r>
      <w:r>
        <w:rPr>
          <w:rFonts w:ascii="標楷體" w:eastAsia="標楷體" w:hAnsi="標楷體"/>
          <w:color w:val="000000"/>
          <w:szCs w:val="24"/>
        </w:rPr>
        <w:t>RAF1</w:t>
      </w:r>
      <w:r>
        <w:rPr>
          <w:rFonts w:ascii="標楷體" w:eastAsia="標楷體" w:hAnsi="標楷體"/>
          <w:color w:val="000000"/>
          <w:szCs w:val="24"/>
        </w:rPr>
        <w:t>、</w:t>
      </w:r>
      <w:bookmarkStart w:id="0" w:name="_Hlk90824629"/>
      <w:r>
        <w:rPr>
          <w:rFonts w:ascii="標楷體" w:eastAsia="標楷體" w:hAnsi="標楷體"/>
          <w:color w:val="000000"/>
          <w:szCs w:val="24"/>
        </w:rPr>
        <w:t>RRAS2</w:t>
      </w:r>
      <w:r>
        <w:rPr>
          <w:rFonts w:ascii="標楷體" w:eastAsia="標楷體" w:hAnsi="標楷體"/>
          <w:color w:val="000000"/>
          <w:szCs w:val="24"/>
        </w:rPr>
        <w:t>、</w:t>
      </w:r>
      <w:r>
        <w:rPr>
          <w:rFonts w:ascii="標楷體" w:eastAsia="標楷體" w:hAnsi="標楷體"/>
          <w:color w:val="000000"/>
          <w:szCs w:val="24"/>
        </w:rPr>
        <w:t>LZTR1</w:t>
      </w:r>
      <w:r>
        <w:rPr>
          <w:rFonts w:ascii="標楷體" w:eastAsia="標楷體" w:hAnsi="標楷體"/>
          <w:color w:val="000000"/>
          <w:szCs w:val="24"/>
        </w:rPr>
        <w:t>、</w:t>
      </w:r>
      <w:r>
        <w:rPr>
          <w:rFonts w:ascii="標楷體" w:eastAsia="標楷體" w:hAnsi="標楷體"/>
          <w:color w:val="000000"/>
          <w:szCs w:val="24"/>
        </w:rPr>
        <w:t>SOS2</w:t>
      </w:r>
      <w:r>
        <w:rPr>
          <w:rFonts w:ascii="標楷體" w:eastAsia="標楷體" w:hAnsi="標楷體"/>
          <w:color w:val="000000"/>
          <w:szCs w:val="24"/>
        </w:rPr>
        <w:t>、</w:t>
      </w:r>
      <w:bookmarkEnd w:id="0"/>
      <w:r>
        <w:rPr>
          <w:rFonts w:ascii="標楷體" w:eastAsia="標楷體" w:hAnsi="標楷體"/>
          <w:color w:val="000000"/>
          <w:szCs w:val="24"/>
        </w:rPr>
        <w:t>KRAS</w:t>
      </w:r>
      <w:r>
        <w:rPr>
          <w:rFonts w:ascii="標楷體" w:eastAsia="標楷體" w:hAnsi="標楷體"/>
          <w:color w:val="000000"/>
          <w:szCs w:val="24"/>
        </w:rPr>
        <w:t>、</w:t>
      </w:r>
      <w:r>
        <w:rPr>
          <w:rFonts w:ascii="標楷體" w:eastAsia="標楷體" w:hAnsi="標楷體"/>
          <w:color w:val="000000"/>
          <w:szCs w:val="24"/>
        </w:rPr>
        <w:t>NRAS</w:t>
      </w:r>
      <w:r>
        <w:rPr>
          <w:rFonts w:ascii="標楷體" w:eastAsia="標楷體" w:hAnsi="標楷體"/>
          <w:color w:val="000000"/>
          <w:szCs w:val="24"/>
        </w:rPr>
        <w:t>、</w:t>
      </w:r>
      <w:r>
        <w:rPr>
          <w:rFonts w:ascii="標楷體" w:eastAsia="標楷體" w:hAnsi="標楷體"/>
          <w:color w:val="000000"/>
          <w:szCs w:val="24"/>
        </w:rPr>
        <w:t>BRAF</w:t>
      </w:r>
      <w:r>
        <w:rPr>
          <w:rFonts w:ascii="標楷體" w:eastAsia="標楷體" w:hAnsi="標楷體"/>
          <w:color w:val="000000"/>
          <w:szCs w:val="24"/>
        </w:rPr>
        <w:t>、</w:t>
      </w:r>
      <w:bookmarkStart w:id="1" w:name="_Hlk90824644"/>
      <w:r>
        <w:rPr>
          <w:rFonts w:ascii="標楷體" w:eastAsia="標楷體" w:hAnsi="標楷體"/>
          <w:color w:val="000000"/>
          <w:szCs w:val="24"/>
        </w:rPr>
        <w:t>MAP2K1 (MEK1)</w:t>
      </w:r>
      <w:r>
        <w:rPr>
          <w:rFonts w:ascii="標楷體" w:eastAsia="標楷體" w:hAnsi="標楷體"/>
          <w:color w:val="000000"/>
          <w:szCs w:val="24"/>
        </w:rPr>
        <w:t>、</w:t>
      </w:r>
      <w:r>
        <w:rPr>
          <w:rFonts w:ascii="標楷體" w:eastAsia="標楷體" w:hAnsi="標楷體"/>
          <w:color w:val="000000"/>
          <w:szCs w:val="24"/>
        </w:rPr>
        <w:t>PPP1CB</w:t>
      </w:r>
      <w:bookmarkEnd w:id="1"/>
      <w:r>
        <w:rPr>
          <w:rFonts w:ascii="標楷體" w:eastAsia="標楷體" w:hAnsi="標楷體"/>
          <w:color w:val="000000"/>
          <w:szCs w:val="24"/>
        </w:rPr>
        <w:t>等努南氏症候群相關基因之任</w:t>
      </w:r>
      <w:proofErr w:type="gramStart"/>
      <w:r>
        <w:rPr>
          <w:rFonts w:ascii="標楷體" w:eastAsia="標楷體" w:hAnsi="標楷體"/>
          <w:color w:val="000000"/>
          <w:szCs w:val="24"/>
        </w:rPr>
        <w:t>一</w:t>
      </w:r>
      <w:proofErr w:type="gramEnd"/>
      <w:r>
        <w:rPr>
          <w:rFonts w:ascii="標楷體" w:eastAsia="標楷體" w:hAnsi="標楷體"/>
          <w:color w:val="000000"/>
          <w:szCs w:val="24"/>
        </w:rPr>
        <w:t>致病性變異或拷貝數變異</w:t>
      </w:r>
      <w:r>
        <w:rPr>
          <w:rFonts w:ascii="標楷體" w:eastAsia="標楷體" w:hAnsi="標楷體"/>
          <w:color w:val="000000"/>
          <w:szCs w:val="24"/>
        </w:rPr>
        <w:t>(</w:t>
      </w:r>
      <w:r>
        <w:rPr>
          <w:rFonts w:ascii="標楷體" w:eastAsia="標楷體" w:hAnsi="標楷體"/>
          <w:color w:val="000000"/>
          <w:szCs w:val="24"/>
        </w:rPr>
        <w:t>請檢附檢查報告</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560" w:hanging="672"/>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開始治療條件：</w:t>
      </w:r>
    </w:p>
    <w:p w:rsidR="00203445" w:rsidRDefault="003100F1">
      <w:pPr>
        <w:ind w:left="1134" w:hanging="246"/>
      </w:pPr>
      <w:r>
        <w:rPr>
          <w:rFonts w:ascii="標楷體" w:eastAsia="標楷體" w:hAnsi="標楷體"/>
          <w:color w:val="000000"/>
          <w:szCs w:val="24"/>
        </w:rPr>
        <w:t>Ⅰ.6</w:t>
      </w:r>
      <w:r>
        <w:rPr>
          <w:rFonts w:ascii="標楷體" w:eastAsia="標楷體" w:hAnsi="標楷體"/>
          <w:color w:val="000000"/>
          <w:szCs w:val="24"/>
        </w:rPr>
        <w:t>歲以上。</w:t>
      </w:r>
    </w:p>
    <w:p w:rsidR="00203445" w:rsidRDefault="003100F1">
      <w:pPr>
        <w:ind w:left="1232" w:hanging="381"/>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身高低於第三百分位以下且生長速率一年小於</w:t>
      </w:r>
      <w:r>
        <w:rPr>
          <w:rFonts w:ascii="標楷體" w:eastAsia="標楷體" w:hAnsi="標楷體"/>
          <w:color w:val="000000"/>
          <w:szCs w:val="24"/>
        </w:rPr>
        <w:t>4</w:t>
      </w:r>
      <w:r>
        <w:rPr>
          <w:rFonts w:ascii="標楷體" w:eastAsia="標楷體" w:hAnsi="標楷體"/>
          <w:color w:val="000000"/>
          <w:szCs w:val="24"/>
        </w:rPr>
        <w:t>公分，需具有資格申請生長激素治療的醫療機構身高檢查，每隔</w:t>
      </w:r>
      <w:r>
        <w:rPr>
          <w:rFonts w:ascii="標楷體" w:eastAsia="標楷體" w:hAnsi="標楷體"/>
          <w:color w:val="000000"/>
          <w:szCs w:val="24"/>
        </w:rPr>
        <w:t>3</w:t>
      </w:r>
      <w:r>
        <w:rPr>
          <w:rFonts w:ascii="標楷體" w:eastAsia="標楷體" w:hAnsi="標楷體"/>
          <w:color w:val="000000"/>
          <w:szCs w:val="24"/>
        </w:rPr>
        <w:t>個月一次，至少</w:t>
      </w:r>
      <w:r>
        <w:rPr>
          <w:rFonts w:ascii="標楷體" w:eastAsia="標楷體" w:hAnsi="標楷體"/>
          <w:color w:val="000000"/>
          <w:szCs w:val="24"/>
        </w:rPr>
        <w:t>6</w:t>
      </w:r>
      <w:r>
        <w:rPr>
          <w:rFonts w:ascii="標楷體" w:eastAsia="標楷體" w:hAnsi="標楷體"/>
          <w:color w:val="000000"/>
          <w:szCs w:val="24"/>
        </w:rPr>
        <w:t>個月以上之紀錄。</w:t>
      </w:r>
    </w:p>
    <w:p w:rsidR="00203445" w:rsidRDefault="003100F1">
      <w:pPr>
        <w:ind w:left="1134" w:hanging="244"/>
        <w:rPr>
          <w:rFonts w:ascii="標楷體" w:eastAsia="標楷體" w:hAnsi="標楷體"/>
          <w:color w:val="000000"/>
          <w:szCs w:val="24"/>
        </w:rPr>
      </w:pPr>
      <w:r>
        <w:rPr>
          <w:rFonts w:ascii="標楷體" w:eastAsia="標楷體" w:hAnsi="標楷體"/>
          <w:color w:val="000000"/>
          <w:szCs w:val="24"/>
        </w:rPr>
        <w:t>Ⅲ.</w:t>
      </w:r>
      <w:proofErr w:type="gramStart"/>
      <w:r>
        <w:rPr>
          <w:rFonts w:ascii="標楷體" w:eastAsia="標楷體" w:hAnsi="標楷體"/>
          <w:color w:val="000000"/>
          <w:szCs w:val="24"/>
        </w:rPr>
        <w:t>骨齡</w:t>
      </w:r>
      <w:proofErr w:type="gramEnd"/>
      <w:r>
        <w:rPr>
          <w:rFonts w:ascii="標楷體" w:eastAsia="標楷體" w:hAnsi="標楷體"/>
          <w:color w:val="000000"/>
          <w:szCs w:val="24"/>
        </w:rPr>
        <w:t>：男性</w:t>
      </w:r>
      <w:r>
        <w:rPr>
          <w:rFonts w:ascii="標楷體" w:eastAsia="標楷體" w:hAnsi="標楷體"/>
          <w:color w:val="000000"/>
          <w:szCs w:val="24"/>
        </w:rPr>
        <w:t xml:space="preserve"> 16 </w:t>
      </w:r>
      <w:r>
        <w:rPr>
          <w:rFonts w:ascii="標楷體" w:eastAsia="標楷體" w:hAnsi="標楷體"/>
          <w:color w:val="000000"/>
          <w:szCs w:val="24"/>
        </w:rPr>
        <w:t>歲以下、女性</w:t>
      </w:r>
      <w:r>
        <w:rPr>
          <w:rFonts w:ascii="標楷體" w:eastAsia="標楷體" w:hAnsi="標楷體"/>
          <w:color w:val="000000"/>
          <w:szCs w:val="24"/>
        </w:rPr>
        <w:t xml:space="preserve"> 14 </w:t>
      </w:r>
      <w:r>
        <w:rPr>
          <w:rFonts w:ascii="標楷體" w:eastAsia="標楷體" w:hAnsi="標楷體"/>
          <w:color w:val="000000"/>
          <w:szCs w:val="24"/>
        </w:rPr>
        <w:t>歲以下</w:t>
      </w:r>
      <w:r>
        <w:rPr>
          <w:rFonts w:ascii="標楷體" w:eastAsia="標楷體" w:hAnsi="標楷體"/>
          <w:color w:val="000000"/>
          <w:szCs w:val="24"/>
        </w:rPr>
        <w:t>(</w:t>
      </w:r>
      <w:r>
        <w:rPr>
          <w:rFonts w:ascii="標楷體" w:eastAsia="標楷體" w:hAnsi="標楷體"/>
          <w:color w:val="000000"/>
          <w:szCs w:val="24"/>
        </w:rPr>
        <w:t>請檢</w:t>
      </w:r>
      <w:proofErr w:type="gramStart"/>
      <w:r>
        <w:rPr>
          <w:rFonts w:ascii="標楷體" w:eastAsia="標楷體" w:hAnsi="標楷體"/>
          <w:color w:val="000000"/>
          <w:szCs w:val="24"/>
        </w:rPr>
        <w:t>附骨齡</w:t>
      </w:r>
      <w:proofErr w:type="gramEnd"/>
      <w:r>
        <w:rPr>
          <w:rFonts w:ascii="標楷體" w:eastAsia="標楷體" w:hAnsi="標楷體"/>
          <w:color w:val="000000"/>
          <w:szCs w:val="24"/>
        </w:rPr>
        <w:t>X</w:t>
      </w:r>
      <w:r>
        <w:rPr>
          <w:rFonts w:ascii="標楷體" w:eastAsia="標楷體" w:hAnsi="標楷體"/>
          <w:color w:val="000000"/>
          <w:szCs w:val="24"/>
        </w:rPr>
        <w:t>光片</w:t>
      </w:r>
      <w:r>
        <w:rPr>
          <w:rFonts w:ascii="標楷體" w:eastAsia="標楷體" w:hAnsi="標楷體"/>
          <w:color w:val="000000"/>
          <w:szCs w:val="24"/>
        </w:rPr>
        <w:t>)</w:t>
      </w:r>
    </w:p>
    <w:p w:rsidR="00203445" w:rsidRDefault="003100F1">
      <w:pPr>
        <w:ind w:left="1276" w:hanging="386"/>
        <w:rPr>
          <w:rFonts w:ascii="標楷體" w:eastAsia="標楷體" w:hAnsi="標楷體"/>
          <w:color w:val="000000"/>
          <w:szCs w:val="24"/>
        </w:rPr>
      </w:pPr>
      <w:r>
        <w:rPr>
          <w:rFonts w:ascii="標楷體" w:eastAsia="標楷體" w:hAnsi="標楷體"/>
          <w:color w:val="000000"/>
          <w:szCs w:val="24"/>
        </w:rPr>
        <w:t>(3)</w:t>
      </w:r>
      <w:r>
        <w:rPr>
          <w:rFonts w:ascii="標楷體" w:eastAsia="標楷體" w:hAnsi="標楷體"/>
          <w:color w:val="000000"/>
          <w:szCs w:val="24"/>
        </w:rPr>
        <w:t>治療劑量：不超過</w:t>
      </w:r>
      <w:r>
        <w:rPr>
          <w:rFonts w:ascii="標楷體" w:eastAsia="標楷體" w:hAnsi="標楷體"/>
          <w:color w:val="000000"/>
          <w:szCs w:val="24"/>
        </w:rPr>
        <w:t xml:space="preserve"> 0.35mg/kg/</w:t>
      </w:r>
      <w:proofErr w:type="spellStart"/>
      <w:r>
        <w:rPr>
          <w:rFonts w:ascii="標楷體" w:eastAsia="標楷體" w:hAnsi="標楷體"/>
          <w:color w:val="000000"/>
          <w:szCs w:val="24"/>
        </w:rPr>
        <w:t>wk</w:t>
      </w:r>
      <w:proofErr w:type="spellEnd"/>
      <w:r>
        <w:rPr>
          <w:rFonts w:ascii="標楷體" w:eastAsia="標楷體" w:hAnsi="標楷體"/>
          <w:color w:val="000000"/>
          <w:szCs w:val="24"/>
        </w:rPr>
        <w:t>。</w:t>
      </w:r>
    </w:p>
    <w:p w:rsidR="00203445" w:rsidRDefault="003100F1">
      <w:pPr>
        <w:ind w:left="1560" w:hanging="672"/>
        <w:rPr>
          <w:rFonts w:ascii="標楷體" w:eastAsia="標楷體" w:hAnsi="標楷體"/>
          <w:color w:val="000000"/>
          <w:szCs w:val="24"/>
        </w:rPr>
      </w:pPr>
      <w:r>
        <w:rPr>
          <w:rFonts w:ascii="標楷體" w:eastAsia="標楷體" w:hAnsi="標楷體"/>
          <w:color w:val="000000"/>
          <w:szCs w:val="24"/>
        </w:rPr>
        <w:t>(4)</w:t>
      </w:r>
      <w:bookmarkStart w:id="2" w:name="_Hlk90825075"/>
      <w:r>
        <w:rPr>
          <w:rFonts w:ascii="標楷體" w:eastAsia="標楷體" w:hAnsi="標楷體"/>
          <w:color w:val="000000"/>
          <w:szCs w:val="24"/>
        </w:rPr>
        <w:t>繼續治療條件</w:t>
      </w:r>
      <w:r>
        <w:rPr>
          <w:rFonts w:ascii="標楷體" w:eastAsia="標楷體" w:hAnsi="標楷體"/>
          <w:color w:val="000000"/>
          <w:szCs w:val="24"/>
        </w:rPr>
        <w:t>(</w:t>
      </w:r>
      <w:r>
        <w:rPr>
          <w:rFonts w:ascii="標楷體" w:eastAsia="標楷體" w:hAnsi="標楷體"/>
          <w:color w:val="000000"/>
          <w:szCs w:val="24"/>
        </w:rPr>
        <w:t>每年評估</w:t>
      </w:r>
      <w:r>
        <w:rPr>
          <w:rFonts w:ascii="標楷體" w:eastAsia="標楷體" w:hAnsi="標楷體"/>
          <w:color w:val="000000"/>
          <w:szCs w:val="24"/>
        </w:rPr>
        <w:t>1</w:t>
      </w:r>
      <w:r>
        <w:rPr>
          <w:rFonts w:ascii="標楷體" w:eastAsia="標楷體" w:hAnsi="標楷體"/>
          <w:color w:val="000000"/>
          <w:szCs w:val="24"/>
        </w:rPr>
        <w:t>次</w:t>
      </w:r>
      <w:r>
        <w:rPr>
          <w:rFonts w:ascii="標楷體" w:eastAsia="標楷體" w:hAnsi="標楷體"/>
          <w:color w:val="000000"/>
          <w:szCs w:val="24"/>
        </w:rPr>
        <w:t>)</w:t>
      </w:r>
      <w:r>
        <w:rPr>
          <w:rFonts w:ascii="標楷體" w:eastAsia="標楷體" w:hAnsi="標楷體"/>
          <w:color w:val="000000"/>
          <w:szCs w:val="24"/>
        </w:rPr>
        <w:t>：</w:t>
      </w:r>
    </w:p>
    <w:p w:rsidR="00203445" w:rsidRDefault="003100F1">
      <w:pPr>
        <w:ind w:left="1276" w:hanging="428"/>
        <w:rPr>
          <w:rFonts w:ascii="標楷體" w:eastAsia="標楷體" w:hAnsi="標楷體"/>
          <w:color w:val="000000"/>
          <w:szCs w:val="24"/>
        </w:rPr>
      </w:pPr>
      <w:r>
        <w:rPr>
          <w:rFonts w:ascii="標楷體" w:eastAsia="標楷體" w:hAnsi="標楷體"/>
          <w:color w:val="000000"/>
          <w:szCs w:val="24"/>
        </w:rPr>
        <w:t>Ⅰ.</w:t>
      </w:r>
      <w:proofErr w:type="gramStart"/>
      <w:r>
        <w:rPr>
          <w:rFonts w:ascii="標楷體" w:eastAsia="標楷體" w:hAnsi="標楷體"/>
          <w:color w:val="000000"/>
          <w:szCs w:val="24"/>
        </w:rPr>
        <w:t>骨齡</w:t>
      </w:r>
      <w:proofErr w:type="gramEnd"/>
      <w:r>
        <w:rPr>
          <w:rFonts w:ascii="標楷體" w:eastAsia="標楷體" w:hAnsi="標楷體"/>
          <w:color w:val="000000"/>
          <w:szCs w:val="24"/>
        </w:rPr>
        <w:t>：男性</w:t>
      </w:r>
      <w:r>
        <w:rPr>
          <w:rFonts w:ascii="標楷體" w:eastAsia="標楷體" w:hAnsi="標楷體"/>
          <w:color w:val="000000"/>
          <w:szCs w:val="24"/>
        </w:rPr>
        <w:t>16</w:t>
      </w:r>
      <w:r>
        <w:rPr>
          <w:rFonts w:ascii="標楷體" w:eastAsia="標楷體" w:hAnsi="標楷體"/>
          <w:color w:val="000000"/>
          <w:szCs w:val="24"/>
        </w:rPr>
        <w:t>歲以下、女性</w:t>
      </w:r>
      <w:r>
        <w:rPr>
          <w:rFonts w:ascii="標楷體" w:eastAsia="標楷體" w:hAnsi="標楷體"/>
          <w:color w:val="000000"/>
          <w:szCs w:val="24"/>
        </w:rPr>
        <w:t xml:space="preserve"> 14 </w:t>
      </w:r>
      <w:r>
        <w:rPr>
          <w:rFonts w:ascii="標楷體" w:eastAsia="標楷體" w:hAnsi="標楷體"/>
          <w:color w:val="000000"/>
          <w:szCs w:val="24"/>
        </w:rPr>
        <w:t>歲以下</w:t>
      </w:r>
      <w:r>
        <w:rPr>
          <w:rFonts w:ascii="標楷體" w:eastAsia="標楷體" w:hAnsi="標楷體"/>
          <w:color w:val="000000"/>
          <w:szCs w:val="24"/>
        </w:rPr>
        <w:t>(</w:t>
      </w:r>
      <w:r>
        <w:rPr>
          <w:rFonts w:ascii="標楷體" w:eastAsia="標楷體" w:hAnsi="標楷體"/>
          <w:color w:val="000000"/>
          <w:szCs w:val="24"/>
        </w:rPr>
        <w:t>請檢</w:t>
      </w:r>
      <w:proofErr w:type="gramStart"/>
      <w:r>
        <w:rPr>
          <w:rFonts w:ascii="標楷體" w:eastAsia="標楷體" w:hAnsi="標楷體"/>
          <w:color w:val="000000"/>
          <w:szCs w:val="24"/>
        </w:rPr>
        <w:t>附骨齡</w:t>
      </w:r>
      <w:proofErr w:type="gramEnd"/>
      <w:r>
        <w:rPr>
          <w:rFonts w:ascii="標楷體" w:eastAsia="標楷體" w:hAnsi="標楷體"/>
          <w:color w:val="000000"/>
          <w:szCs w:val="24"/>
        </w:rPr>
        <w:t>X</w:t>
      </w:r>
      <w:r>
        <w:rPr>
          <w:rFonts w:ascii="標楷體" w:eastAsia="標楷體" w:hAnsi="標楷體"/>
          <w:color w:val="000000"/>
          <w:szCs w:val="24"/>
        </w:rPr>
        <w:t>光片</w:t>
      </w:r>
      <w:r>
        <w:rPr>
          <w:rFonts w:ascii="標楷體" w:eastAsia="標楷體" w:hAnsi="標楷體"/>
          <w:color w:val="000000"/>
          <w:szCs w:val="24"/>
        </w:rPr>
        <w:t>)</w:t>
      </w:r>
    </w:p>
    <w:p w:rsidR="00203445" w:rsidRDefault="003100F1">
      <w:pPr>
        <w:ind w:left="1276" w:hanging="428"/>
        <w:rPr>
          <w:rFonts w:ascii="標楷體" w:eastAsia="標楷體" w:hAnsi="標楷體"/>
          <w:color w:val="000000"/>
          <w:szCs w:val="24"/>
        </w:rPr>
      </w:pPr>
      <w:r>
        <w:rPr>
          <w:rFonts w:ascii="標楷體" w:eastAsia="標楷體" w:hAnsi="標楷體"/>
          <w:color w:val="000000"/>
          <w:szCs w:val="24"/>
        </w:rPr>
        <w:t>Ⅱ.</w:t>
      </w:r>
      <w:r>
        <w:rPr>
          <w:rFonts w:ascii="標楷體" w:eastAsia="標楷體" w:hAnsi="標楷體"/>
          <w:color w:val="000000"/>
          <w:szCs w:val="24"/>
        </w:rPr>
        <w:t>第一年生長速率比治療前增加至少</w:t>
      </w:r>
      <w:r>
        <w:rPr>
          <w:rFonts w:ascii="標楷體" w:eastAsia="標楷體" w:hAnsi="標楷體"/>
          <w:color w:val="000000"/>
          <w:szCs w:val="24"/>
        </w:rPr>
        <w:t>2</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1276" w:hanging="428"/>
        <w:rPr>
          <w:rFonts w:ascii="標楷體" w:eastAsia="標楷體" w:hAnsi="標楷體"/>
          <w:color w:val="000000"/>
          <w:szCs w:val="24"/>
        </w:rPr>
      </w:pPr>
      <w:r>
        <w:rPr>
          <w:rFonts w:ascii="標楷體" w:eastAsia="標楷體" w:hAnsi="標楷體"/>
          <w:color w:val="000000"/>
          <w:szCs w:val="24"/>
        </w:rPr>
        <w:t>Ⅲ.</w:t>
      </w:r>
      <w:r>
        <w:rPr>
          <w:rFonts w:ascii="標楷體" w:eastAsia="標楷體" w:hAnsi="標楷體"/>
          <w:color w:val="000000"/>
          <w:szCs w:val="24"/>
        </w:rPr>
        <w:t>第二年開始，生長速率至少</w:t>
      </w:r>
      <w:r>
        <w:rPr>
          <w:rFonts w:ascii="標楷體" w:eastAsia="標楷體" w:hAnsi="標楷體"/>
          <w:color w:val="000000"/>
          <w:szCs w:val="24"/>
        </w:rPr>
        <w:t>4</w:t>
      </w:r>
      <w:r>
        <w:rPr>
          <w:rFonts w:ascii="標楷體" w:eastAsia="標楷體" w:hAnsi="標楷體"/>
          <w:color w:val="000000"/>
          <w:szCs w:val="24"/>
        </w:rPr>
        <w:t>公分</w:t>
      </w:r>
      <w:r>
        <w:rPr>
          <w:rFonts w:ascii="標楷體" w:eastAsia="標楷體" w:hAnsi="標楷體"/>
          <w:color w:val="000000"/>
          <w:szCs w:val="24"/>
        </w:rPr>
        <w:t>/</w:t>
      </w:r>
      <w:r>
        <w:rPr>
          <w:rFonts w:ascii="標楷體" w:eastAsia="標楷體" w:hAnsi="標楷體"/>
          <w:color w:val="000000"/>
          <w:szCs w:val="24"/>
        </w:rPr>
        <w:t>年。</w:t>
      </w:r>
    </w:p>
    <w:p w:rsidR="00203445" w:rsidRDefault="003100F1">
      <w:pPr>
        <w:ind w:left="1134" w:hanging="272"/>
        <w:rPr>
          <w:rFonts w:ascii="標楷體" w:eastAsia="標楷體" w:hAnsi="標楷體"/>
          <w:color w:val="000000"/>
          <w:szCs w:val="24"/>
        </w:rPr>
      </w:pPr>
      <w:r>
        <w:rPr>
          <w:rFonts w:ascii="標楷體" w:eastAsia="標楷體" w:hAnsi="標楷體"/>
          <w:color w:val="000000"/>
          <w:szCs w:val="24"/>
        </w:rPr>
        <w:t>(5)</w:t>
      </w:r>
      <w:r>
        <w:rPr>
          <w:rFonts w:ascii="標楷體" w:eastAsia="標楷體" w:hAnsi="標楷體"/>
          <w:color w:val="000000"/>
          <w:szCs w:val="24"/>
        </w:rPr>
        <w:t>需事前審查核准後使用</w:t>
      </w:r>
      <w:bookmarkEnd w:id="2"/>
      <w:r>
        <w:rPr>
          <w:rFonts w:ascii="標楷體" w:eastAsia="標楷體" w:hAnsi="標楷體"/>
          <w:color w:val="000000"/>
          <w:szCs w:val="24"/>
        </w:rPr>
        <w:t>，治療後每年需再提出申請，審查同意後使</w:t>
      </w:r>
      <w:r>
        <w:rPr>
          <w:rFonts w:ascii="標楷體" w:eastAsia="標楷體" w:hAnsi="標楷體"/>
          <w:color w:val="000000"/>
          <w:szCs w:val="24"/>
        </w:rPr>
        <w:lastRenderedPageBreak/>
        <w:t>用。</w:t>
      </w:r>
    </w:p>
    <w:p w:rsidR="00203445" w:rsidRDefault="003100F1">
      <w:pPr>
        <w:ind w:left="672" w:hanging="386"/>
        <w:rPr>
          <w:rFonts w:ascii="標楷體" w:eastAsia="標楷體" w:hAnsi="標楷體"/>
          <w:color w:val="000000"/>
        </w:rPr>
      </w:pPr>
      <w:r>
        <w:rPr>
          <w:rFonts w:ascii="標楷體" w:eastAsia="標楷體" w:hAnsi="標楷體"/>
          <w:color w:val="000000"/>
        </w:rPr>
        <w:t>5.4.1.2.</w:t>
      </w:r>
      <w:r>
        <w:rPr>
          <w:rFonts w:ascii="標楷體" w:eastAsia="標楷體" w:hAnsi="標楷體"/>
          <w:color w:val="000000"/>
        </w:rPr>
        <w:t>生長激素（如</w:t>
      </w:r>
      <w:proofErr w:type="spellStart"/>
      <w:r>
        <w:rPr>
          <w:rFonts w:ascii="標楷體" w:eastAsia="標楷體" w:hAnsi="標楷體"/>
          <w:color w:val="000000"/>
        </w:rPr>
        <w:t>Genotropin</w:t>
      </w:r>
      <w:proofErr w:type="spellEnd"/>
      <w:r>
        <w:rPr>
          <w:rFonts w:ascii="標楷體" w:eastAsia="標楷體" w:hAnsi="標楷體"/>
          <w:color w:val="000000"/>
        </w:rPr>
        <w:t>）用於治療普瑞德威利氏症候群</w:t>
      </w:r>
      <w:r>
        <w:rPr>
          <w:rFonts w:ascii="標楷體" w:eastAsia="標楷體" w:hAnsi="標楷體"/>
          <w:color w:val="000000"/>
        </w:rPr>
        <w:t xml:space="preserve"> </w:t>
      </w:r>
      <w:r>
        <w:rPr>
          <w:rFonts w:ascii="標楷體" w:eastAsia="標楷體" w:hAnsi="標楷體"/>
          <w:color w:val="000000"/>
        </w:rPr>
        <w:t>（</w:t>
      </w:r>
      <w:r>
        <w:rPr>
          <w:rFonts w:ascii="標楷體" w:eastAsia="標楷體" w:hAnsi="標楷體"/>
          <w:color w:val="000000"/>
        </w:rPr>
        <w:t>Prader-Willi Syndrome</w:t>
      </w:r>
      <w:r>
        <w:rPr>
          <w:rFonts w:ascii="標楷體" w:eastAsia="標楷體" w:hAnsi="標楷體"/>
          <w:color w:val="000000"/>
        </w:rPr>
        <w:t>）患者時：（</w:t>
      </w:r>
      <w:r>
        <w:rPr>
          <w:rFonts w:ascii="標楷體" w:eastAsia="標楷體" w:hAnsi="標楷體"/>
          <w:color w:val="000000"/>
        </w:rPr>
        <w:t>93/5/1</w:t>
      </w:r>
      <w:r>
        <w:rPr>
          <w:rFonts w:ascii="標楷體" w:eastAsia="標楷體" w:hAnsi="標楷體"/>
          <w:color w:val="000000"/>
        </w:rPr>
        <w:t>、</w:t>
      </w:r>
      <w:r>
        <w:rPr>
          <w:rFonts w:ascii="標楷體" w:eastAsia="標楷體" w:hAnsi="標楷體"/>
          <w:color w:val="000000"/>
        </w:rPr>
        <w:t>106/8/1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限用於經由醫學中</w:t>
      </w:r>
      <w:r>
        <w:rPr>
          <w:rFonts w:ascii="標楷體" w:eastAsia="標楷體" w:hAnsi="標楷體"/>
          <w:color w:val="000000"/>
        </w:rPr>
        <w:t>心或區域醫院小兒或內分泌專科醫師具小兒遺傳或小兒內分泌專長醫師診斷確認，且患者之</w:t>
      </w:r>
      <w:proofErr w:type="gramStart"/>
      <w:r>
        <w:rPr>
          <w:rFonts w:ascii="標楷體" w:eastAsia="標楷體" w:hAnsi="標楷體"/>
          <w:color w:val="000000"/>
        </w:rPr>
        <w:t>骨齡男性</w:t>
      </w:r>
      <w:r>
        <w:rPr>
          <w:rFonts w:ascii="標楷體" w:eastAsia="標楷體" w:hAnsi="標楷體"/>
          <w:color w:val="000000"/>
        </w:rPr>
        <w:t>≦</w:t>
      </w:r>
      <w:proofErr w:type="gramEnd"/>
      <w:r>
        <w:rPr>
          <w:rFonts w:ascii="標楷體" w:eastAsia="標楷體" w:hAnsi="標楷體"/>
          <w:color w:val="000000"/>
        </w:rPr>
        <w:t>16</w:t>
      </w:r>
      <w:r>
        <w:rPr>
          <w:rFonts w:ascii="標楷體" w:eastAsia="標楷體" w:hAnsi="標楷體"/>
          <w:color w:val="000000"/>
        </w:rPr>
        <w:t>歲、女性</w:t>
      </w:r>
      <w:r>
        <w:rPr>
          <w:rFonts w:ascii="標楷體" w:eastAsia="標楷體" w:hAnsi="標楷體"/>
          <w:color w:val="000000"/>
        </w:rPr>
        <w:t>≦14</w:t>
      </w:r>
      <w:r>
        <w:rPr>
          <w:rFonts w:ascii="標楷體" w:eastAsia="標楷體" w:hAnsi="標楷體"/>
          <w:color w:val="000000"/>
        </w:rPr>
        <w:t>歲之病患。</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治療期間發生下列情形應停止治療：發生糖尿病、或其他嚴重副作用時。</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建議治療劑量：給予每天</w:t>
      </w:r>
      <w:r>
        <w:rPr>
          <w:rFonts w:ascii="標楷體" w:eastAsia="標楷體" w:hAnsi="標楷體"/>
          <w:color w:val="000000"/>
        </w:rPr>
        <w:t>0.1 IU/kg</w:t>
      </w:r>
      <w:r>
        <w:rPr>
          <w:rFonts w:ascii="標楷體" w:eastAsia="標楷體" w:hAnsi="標楷體"/>
          <w:color w:val="000000"/>
        </w:rPr>
        <w:t>（約等於</w:t>
      </w:r>
      <w:r>
        <w:rPr>
          <w:rFonts w:ascii="標楷體" w:eastAsia="標楷體" w:hAnsi="標楷體"/>
          <w:color w:val="000000"/>
        </w:rPr>
        <w:t>0.035mg/kg</w:t>
      </w:r>
      <w:r>
        <w:rPr>
          <w:rFonts w:ascii="標楷體" w:eastAsia="標楷體" w:hAnsi="標楷體"/>
          <w:color w:val="000000"/>
        </w:rPr>
        <w:t>）之生長激素治療。</w:t>
      </w:r>
    </w:p>
    <w:p w:rsidR="00203445" w:rsidRDefault="003100F1">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治療時注意事項：</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應於開始治療之前及每三至六個月定期監測血糖及血脂檢查</w:t>
      </w:r>
      <w:r>
        <w:rPr>
          <w:rFonts w:ascii="標楷體" w:eastAsia="標楷體" w:hAnsi="標楷體"/>
          <w:color w:val="000000"/>
        </w:rPr>
        <w:t xml:space="preserve"> (Lipid profile) </w:t>
      </w:r>
      <w:r>
        <w:rPr>
          <w:rFonts w:ascii="標楷體" w:eastAsia="標楷體" w:hAnsi="標楷體"/>
          <w:color w:val="000000"/>
        </w:rPr>
        <w:t>等臨床生化指標、重高指數變化、活動力與肌肉張力、</w:t>
      </w:r>
      <w:r>
        <w:rPr>
          <w:rFonts w:ascii="標楷體" w:eastAsia="標楷體" w:hAnsi="標楷體"/>
          <w:color w:val="000000"/>
        </w:rPr>
        <w:t>Sleeping Study</w:t>
      </w:r>
      <w:r>
        <w:rPr>
          <w:rFonts w:ascii="標楷體" w:eastAsia="標楷體" w:hAnsi="標楷體"/>
          <w:color w:val="000000"/>
        </w:rPr>
        <w:t>。治療</w:t>
      </w:r>
      <w:proofErr w:type="gramStart"/>
      <w:r>
        <w:rPr>
          <w:rFonts w:ascii="標楷體" w:eastAsia="標楷體" w:hAnsi="標楷體"/>
          <w:color w:val="000000"/>
        </w:rPr>
        <w:t>一</w:t>
      </w:r>
      <w:proofErr w:type="gramEnd"/>
      <w:r>
        <w:rPr>
          <w:rFonts w:ascii="標楷體" w:eastAsia="標楷體" w:hAnsi="標楷體"/>
          <w:color w:val="000000"/>
        </w:rPr>
        <w:t>年後測量身體組成</w:t>
      </w:r>
      <w:r>
        <w:rPr>
          <w:rFonts w:ascii="標楷體" w:eastAsia="標楷體" w:hAnsi="標楷體"/>
          <w:color w:val="000000"/>
        </w:rPr>
        <w:t xml:space="preserve">Body </w:t>
      </w:r>
      <w:r>
        <w:rPr>
          <w:rFonts w:ascii="標楷體" w:eastAsia="標楷體" w:hAnsi="標楷體"/>
          <w:color w:val="000000"/>
        </w:rPr>
        <w:t>Composition (DXA)</w:t>
      </w:r>
      <w:r>
        <w:rPr>
          <w:rFonts w:ascii="標楷體" w:eastAsia="標楷體" w:hAnsi="標楷體"/>
          <w:color w:val="000000"/>
        </w:rPr>
        <w:t>、</w:t>
      </w:r>
      <w:proofErr w:type="gramStart"/>
      <w:r>
        <w:rPr>
          <w:rFonts w:ascii="標楷體" w:eastAsia="標楷體" w:hAnsi="標楷體"/>
          <w:color w:val="000000"/>
        </w:rPr>
        <w:t>骨</w:t>
      </w:r>
      <w:proofErr w:type="gramEnd"/>
      <w:r>
        <w:rPr>
          <w:rFonts w:ascii="標楷體" w:eastAsia="標楷體" w:hAnsi="標楷體"/>
          <w:color w:val="000000"/>
        </w:rPr>
        <w:t>齡</w:t>
      </w:r>
      <w:r>
        <w:rPr>
          <w:rFonts w:ascii="標楷體" w:eastAsia="標楷體" w:hAnsi="標楷體"/>
          <w:color w:val="000000"/>
        </w:rPr>
        <w:t>X</w:t>
      </w:r>
      <w:r>
        <w:rPr>
          <w:rFonts w:ascii="標楷體" w:eastAsia="標楷體" w:hAnsi="標楷體"/>
          <w:color w:val="000000"/>
        </w:rPr>
        <w:t>光片。</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普瑞德威利氏症候群患者容易發生睡眠窒息，這種現象或許治療後可減輕。最近發現年幼之患者可能因為一般之上呼吸道感染而引發猝死，也曾經發生在生長激素治療中的病人身上。目前並不</w:t>
      </w:r>
      <w:proofErr w:type="gramStart"/>
      <w:r>
        <w:rPr>
          <w:rFonts w:ascii="標楷體" w:eastAsia="標楷體" w:hAnsi="標楷體"/>
          <w:color w:val="000000"/>
        </w:rPr>
        <w:t>清楚生長激素</w:t>
      </w:r>
      <w:proofErr w:type="gramEnd"/>
      <w:r>
        <w:rPr>
          <w:rFonts w:ascii="標楷體" w:eastAsia="標楷體" w:hAnsi="標楷體"/>
          <w:color w:val="000000"/>
        </w:rPr>
        <w:t>治療是否會改變猝死的發生，故不論是否接受治療，都需要提醒普瑞德威利氏症候群年幼患者之家長，在患者有呼吸道問題時需要特別的注意。</w:t>
      </w:r>
    </w:p>
    <w:p w:rsidR="00203445" w:rsidRDefault="003100F1">
      <w:pPr>
        <w:ind w:left="672" w:hanging="386"/>
        <w:rPr>
          <w:rFonts w:ascii="標楷體" w:eastAsia="標楷體" w:hAnsi="標楷體"/>
          <w:color w:val="000000"/>
        </w:rPr>
      </w:pPr>
      <w:r>
        <w:rPr>
          <w:rFonts w:ascii="標楷體" w:eastAsia="標楷體" w:hAnsi="標楷體"/>
          <w:color w:val="000000"/>
        </w:rPr>
        <w:t>5.4.2.Bromocriptine</w:t>
      </w:r>
      <w:r>
        <w:rPr>
          <w:rFonts w:ascii="標楷體" w:eastAsia="標楷體" w:hAnsi="標楷體"/>
          <w:color w:val="000000"/>
        </w:rPr>
        <w:t>：</w:t>
      </w:r>
    </w:p>
    <w:p w:rsidR="00203445" w:rsidRDefault="003100F1">
      <w:pPr>
        <w:ind w:left="798" w:hanging="1"/>
        <w:rPr>
          <w:rFonts w:ascii="標楷體" w:eastAsia="標楷體" w:hAnsi="標楷體"/>
          <w:color w:val="000000"/>
        </w:rPr>
      </w:pPr>
      <w:r>
        <w:rPr>
          <w:rFonts w:ascii="標楷體" w:eastAsia="標楷體" w:hAnsi="標楷體"/>
          <w:color w:val="000000"/>
        </w:rPr>
        <w:t>如用於產後正常性</w:t>
      </w:r>
      <w:proofErr w:type="gramStart"/>
      <w:r>
        <w:rPr>
          <w:rFonts w:ascii="標楷體" w:eastAsia="標楷體" w:hAnsi="標楷體"/>
          <w:color w:val="000000"/>
        </w:rPr>
        <w:t>泌</w:t>
      </w:r>
      <w:proofErr w:type="gramEnd"/>
      <w:r>
        <w:rPr>
          <w:rFonts w:ascii="標楷體" w:eastAsia="標楷體" w:hAnsi="標楷體"/>
          <w:color w:val="000000"/>
        </w:rPr>
        <w:t>乳之抑制，不予給付。</w:t>
      </w:r>
    </w:p>
    <w:p w:rsidR="00203445" w:rsidRDefault="003100F1">
      <w:pPr>
        <w:ind w:left="672" w:hanging="386"/>
      </w:pPr>
      <w:r>
        <w:rPr>
          <w:rFonts w:ascii="標楷體" w:eastAsia="標楷體" w:hAnsi="標楷體"/>
        </w:rPr>
        <w:t xml:space="preserve">5.4.3.Octreotide </w:t>
      </w:r>
      <w:proofErr w:type="spellStart"/>
      <w:r>
        <w:rPr>
          <w:rFonts w:ascii="標楷體" w:eastAsia="標楷體" w:hAnsi="標楷體"/>
        </w:rPr>
        <w:t>inj</w:t>
      </w:r>
      <w:proofErr w:type="spellEnd"/>
      <w:r>
        <w:rPr>
          <w:rFonts w:ascii="標楷體" w:eastAsia="標楷體" w:hAnsi="標楷體"/>
        </w:rPr>
        <w:t xml:space="preserve"> (</w:t>
      </w:r>
      <w:r>
        <w:rPr>
          <w:rFonts w:ascii="標楷體" w:eastAsia="標楷體" w:hAnsi="標楷體"/>
        </w:rPr>
        <w:t>如</w:t>
      </w:r>
      <w:proofErr w:type="spellStart"/>
      <w:r>
        <w:rPr>
          <w:rFonts w:ascii="標楷體" w:eastAsia="標楷體" w:hAnsi="標楷體"/>
        </w:rPr>
        <w:t>Sandostati</w:t>
      </w:r>
      <w:r>
        <w:rPr>
          <w:rFonts w:ascii="標楷體" w:eastAsia="標楷體" w:hAnsi="標楷體"/>
        </w:rPr>
        <w:t>n</w:t>
      </w:r>
      <w:proofErr w:type="spellEnd"/>
      <w:r>
        <w:rPr>
          <w:rFonts w:ascii="標楷體" w:eastAsia="標楷體" w:hAnsi="標楷體"/>
        </w:rPr>
        <w:t xml:space="preserve"> </w:t>
      </w:r>
      <w:proofErr w:type="spellStart"/>
      <w:r>
        <w:rPr>
          <w:rFonts w:ascii="標楷體" w:eastAsia="標楷體" w:hAnsi="標楷體"/>
        </w:rPr>
        <w:t>inj</w:t>
      </w:r>
      <w:proofErr w:type="spellEnd"/>
      <w:r>
        <w:rPr>
          <w:rFonts w:ascii="標楷體" w:eastAsia="標楷體" w:hAnsi="標楷體"/>
        </w:rPr>
        <w:t xml:space="preserve">) </w:t>
      </w:r>
      <w:r>
        <w:rPr>
          <w:rFonts w:ascii="標楷體" w:eastAsia="標楷體" w:hAnsi="標楷體"/>
        </w:rPr>
        <w:t>限：（</w:t>
      </w:r>
      <w:r>
        <w:rPr>
          <w:rFonts w:ascii="標楷體" w:eastAsia="標楷體" w:hAnsi="標楷體"/>
        </w:rPr>
        <w:t>87/11/1</w:t>
      </w:r>
      <w:r>
        <w:rPr>
          <w:rFonts w:ascii="標楷體" w:eastAsia="標楷體" w:hAnsi="標楷體"/>
        </w:rPr>
        <w:t>、</w:t>
      </w:r>
      <w:r>
        <w:rPr>
          <w:rFonts w:ascii="標楷體" w:eastAsia="標楷體" w:hAnsi="標楷體"/>
        </w:rPr>
        <w:t>102/1/1</w:t>
      </w:r>
      <w:r>
        <w:rPr>
          <w:rFonts w:ascii="標楷體" w:eastAsia="標楷體" w:hAnsi="標楷體"/>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對手術、放射線療法或</w:t>
      </w:r>
      <w:r>
        <w:rPr>
          <w:rFonts w:ascii="標楷體" w:eastAsia="標楷體" w:hAnsi="標楷體"/>
          <w:color w:val="000000"/>
        </w:rPr>
        <w:t>dopamine</w:t>
      </w:r>
      <w:r>
        <w:rPr>
          <w:rFonts w:ascii="標楷體" w:eastAsia="標楷體" w:hAnsi="標楷體"/>
          <w:color w:val="000000"/>
        </w:rPr>
        <w:t>作用劑療法控制無效</w:t>
      </w:r>
      <w:proofErr w:type="gramStart"/>
      <w:r>
        <w:rPr>
          <w:rFonts w:ascii="標楷體" w:eastAsia="標楷體" w:hAnsi="標楷體"/>
          <w:color w:val="000000"/>
        </w:rPr>
        <w:t>的肢端肥大</w:t>
      </w:r>
      <w:proofErr w:type="gramEnd"/>
      <w:r>
        <w:rPr>
          <w:rFonts w:ascii="標楷體" w:eastAsia="標楷體" w:hAnsi="標楷體"/>
          <w:color w:val="000000"/>
        </w:rPr>
        <w:t>症患者。</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預防胰臟手術後的併發症，最長使用七天。</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w:t>
      </w:r>
      <w:proofErr w:type="gramStart"/>
      <w:r>
        <w:rPr>
          <w:rFonts w:ascii="標楷體" w:eastAsia="標楷體" w:hAnsi="標楷體"/>
          <w:color w:val="000000"/>
        </w:rPr>
        <w:t>於胃、</w:t>
      </w:r>
      <w:proofErr w:type="gramEnd"/>
      <w:r>
        <w:rPr>
          <w:rFonts w:ascii="標楷體" w:eastAsia="標楷體" w:hAnsi="標楷體"/>
          <w:color w:val="000000"/>
        </w:rPr>
        <w:t>食道靜脈曲張出血，最長以三天為原則。</w:t>
      </w:r>
    </w:p>
    <w:p w:rsidR="00203445" w:rsidRDefault="003100F1">
      <w:pPr>
        <w:ind w:left="811" w:hanging="245"/>
      </w:pPr>
      <w:r>
        <w:rPr>
          <w:rFonts w:ascii="標楷體" w:eastAsia="標楷體" w:hAnsi="標楷體"/>
        </w:rPr>
        <w:t>4.</w:t>
      </w:r>
      <w:r>
        <w:rPr>
          <w:rFonts w:ascii="標楷體" w:eastAsia="標楷體" w:hAnsi="標楷體"/>
        </w:rPr>
        <w:t>治療患有功能性症狀之胃、腸、胰內分泌腫瘤的患者。（</w:t>
      </w:r>
      <w:r>
        <w:rPr>
          <w:rFonts w:ascii="標楷體" w:eastAsia="標楷體" w:hAnsi="標楷體"/>
        </w:rPr>
        <w:t>102/1/1</w:t>
      </w:r>
      <w:r>
        <w:rPr>
          <w:rFonts w:ascii="標楷體" w:eastAsia="標楷體" w:hAnsi="標楷體"/>
        </w:rPr>
        <w:t>）</w:t>
      </w:r>
    </w:p>
    <w:p w:rsidR="00203445" w:rsidRDefault="003100F1">
      <w:pPr>
        <w:ind w:left="672" w:hanging="386"/>
      </w:pPr>
      <w:r>
        <w:rPr>
          <w:rFonts w:ascii="標楷體" w:eastAsia="標楷體" w:hAnsi="標楷體"/>
        </w:rPr>
        <w:t>5.4.4.</w:t>
      </w:r>
      <w:r>
        <w:t xml:space="preserve"> </w:t>
      </w:r>
      <w:r>
        <w:rPr>
          <w:rFonts w:ascii="標楷體" w:eastAsia="標楷體" w:hAnsi="標楷體"/>
        </w:rPr>
        <w:t>Octreotide</w:t>
      </w:r>
      <w:r>
        <w:rPr>
          <w:rFonts w:ascii="標楷體" w:eastAsia="標楷體" w:hAnsi="標楷體"/>
        </w:rPr>
        <w:t>長效型注射劑</w:t>
      </w:r>
      <w:r>
        <w:rPr>
          <w:rFonts w:ascii="標楷體" w:eastAsia="標楷體" w:hAnsi="標楷體"/>
        </w:rPr>
        <w:t xml:space="preserve"> (</w:t>
      </w:r>
      <w:r>
        <w:rPr>
          <w:rFonts w:ascii="標楷體" w:eastAsia="標楷體" w:hAnsi="標楷體"/>
        </w:rPr>
        <w:t>如</w:t>
      </w:r>
      <w:proofErr w:type="spellStart"/>
      <w:r>
        <w:rPr>
          <w:rFonts w:ascii="標楷體" w:eastAsia="標楷體" w:hAnsi="標楷體"/>
        </w:rPr>
        <w:t>Sandostatin</w:t>
      </w:r>
      <w:proofErr w:type="spellEnd"/>
      <w:r>
        <w:rPr>
          <w:rFonts w:ascii="標楷體" w:eastAsia="標楷體" w:hAnsi="標楷體"/>
        </w:rPr>
        <w:t xml:space="preserve"> LAR Microspheres for Injection)</w:t>
      </w:r>
      <w:r>
        <w:rPr>
          <w:rFonts w:ascii="標楷體" w:eastAsia="標楷體" w:hAnsi="標楷體"/>
        </w:rPr>
        <w:t>：（</w:t>
      </w:r>
      <w:r>
        <w:rPr>
          <w:rFonts w:ascii="標楷體" w:eastAsia="標楷體" w:hAnsi="標楷體"/>
        </w:rPr>
        <w:t>89/7/1</w:t>
      </w:r>
      <w:r>
        <w:rPr>
          <w:rFonts w:ascii="標楷體" w:eastAsia="標楷體" w:hAnsi="標楷體"/>
        </w:rPr>
        <w:t>、</w:t>
      </w:r>
      <w:r>
        <w:rPr>
          <w:rFonts w:ascii="標楷體" w:eastAsia="標楷體" w:hAnsi="標楷體"/>
        </w:rPr>
        <w:t>102/1/1</w:t>
      </w:r>
      <w:r>
        <w:rPr>
          <w:rFonts w:ascii="標楷體" w:eastAsia="標楷體" w:hAnsi="標楷體"/>
        </w:rPr>
        <w:t>、</w:t>
      </w:r>
      <w:r>
        <w:rPr>
          <w:rFonts w:ascii="標楷體" w:eastAsia="標楷體" w:hAnsi="標楷體"/>
        </w:rPr>
        <w:t>104/4/1</w:t>
      </w:r>
      <w:r>
        <w:rPr>
          <w:rFonts w:ascii="標楷體" w:eastAsia="標楷體" w:hAnsi="標楷體"/>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對手術、放射線療法</w:t>
      </w:r>
      <w:r>
        <w:rPr>
          <w:rFonts w:ascii="標楷體" w:eastAsia="標楷體" w:hAnsi="標楷體"/>
          <w:color w:val="000000"/>
        </w:rPr>
        <w:t>或</w:t>
      </w:r>
      <w:r>
        <w:rPr>
          <w:rFonts w:ascii="標楷體" w:eastAsia="標楷體" w:hAnsi="標楷體"/>
          <w:color w:val="000000"/>
        </w:rPr>
        <w:t>dopamine</w:t>
      </w:r>
      <w:r>
        <w:rPr>
          <w:rFonts w:ascii="標楷體" w:eastAsia="標楷體" w:hAnsi="標楷體"/>
          <w:color w:val="000000"/>
        </w:rPr>
        <w:t>作用劑療法控制無效</w:t>
      </w:r>
      <w:proofErr w:type="gramStart"/>
      <w:r>
        <w:rPr>
          <w:rFonts w:ascii="標楷體" w:eastAsia="標楷體" w:hAnsi="標楷體"/>
          <w:color w:val="000000"/>
        </w:rPr>
        <w:t>的肢端肥大</w:t>
      </w:r>
      <w:proofErr w:type="gramEnd"/>
      <w:r>
        <w:rPr>
          <w:rFonts w:ascii="標楷體" w:eastAsia="標楷體" w:hAnsi="標楷體"/>
          <w:color w:val="000000"/>
        </w:rPr>
        <w:t>症患者。</w:t>
      </w:r>
    </w:p>
    <w:p w:rsidR="00203445" w:rsidRDefault="003100F1">
      <w:pPr>
        <w:ind w:left="811" w:hanging="245"/>
      </w:pPr>
      <w:r>
        <w:rPr>
          <w:rFonts w:ascii="標楷體" w:eastAsia="標楷體" w:hAnsi="標楷體"/>
        </w:rPr>
        <w:t>2.</w:t>
      </w:r>
      <w:r>
        <w:rPr>
          <w:rFonts w:ascii="標楷體" w:eastAsia="標楷體" w:hAnsi="標楷體"/>
        </w:rPr>
        <w:t>治療患有功能性症狀之胃、腸、胰內分泌腫瘤的患者。（</w:t>
      </w:r>
      <w:r>
        <w:rPr>
          <w:rFonts w:ascii="標楷體" w:eastAsia="標楷體" w:hAnsi="標楷體"/>
        </w:rPr>
        <w:t>102/1/1</w:t>
      </w:r>
      <w:r>
        <w:rPr>
          <w:rFonts w:ascii="標楷體" w:eastAsia="標楷體" w:hAnsi="標楷體"/>
        </w:rPr>
        <w:t>）</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治療患有晚期</w:t>
      </w:r>
      <w:proofErr w:type="gramStart"/>
      <w:r>
        <w:rPr>
          <w:rFonts w:ascii="標楷體" w:eastAsia="標楷體" w:hAnsi="標楷體"/>
          <w:color w:val="000000"/>
        </w:rPr>
        <w:t>間腸</w:t>
      </w:r>
      <w:r>
        <w:rPr>
          <w:rFonts w:ascii="標楷體" w:eastAsia="標楷體" w:hAnsi="標楷體"/>
          <w:color w:val="000000"/>
        </w:rPr>
        <w:t>(</w:t>
      </w:r>
      <w:proofErr w:type="gramEnd"/>
      <w:r>
        <w:rPr>
          <w:rFonts w:ascii="標楷體" w:eastAsia="標楷體" w:hAnsi="標楷體"/>
          <w:color w:val="000000"/>
        </w:rPr>
        <w:t>midgut)</w:t>
      </w:r>
      <w:r>
        <w:rPr>
          <w:rFonts w:ascii="標楷體" w:eastAsia="標楷體" w:hAnsi="標楷體"/>
          <w:color w:val="000000"/>
        </w:rPr>
        <w:t>或已排除原位非</w:t>
      </w:r>
      <w:proofErr w:type="gramStart"/>
      <w:r>
        <w:rPr>
          <w:rFonts w:ascii="標楷體" w:eastAsia="標楷體" w:hAnsi="標楷體"/>
          <w:color w:val="000000"/>
        </w:rPr>
        <w:t>間腸</w:t>
      </w:r>
      <w:proofErr w:type="gramEnd"/>
      <w:r>
        <w:rPr>
          <w:rFonts w:ascii="標楷體" w:eastAsia="標楷體" w:hAnsi="標楷體"/>
          <w:color w:val="000000"/>
        </w:rPr>
        <w:t>處而原位不明之分化良</w:t>
      </w:r>
      <w:r>
        <w:rPr>
          <w:rFonts w:ascii="標楷體" w:eastAsia="標楷體" w:hAnsi="標楷體"/>
          <w:color w:val="000000"/>
        </w:rPr>
        <w:lastRenderedPageBreak/>
        <w:t>好</w:t>
      </w:r>
      <w:r>
        <w:rPr>
          <w:rFonts w:ascii="標楷體" w:eastAsia="標楷體" w:hAnsi="標楷體"/>
          <w:color w:val="000000"/>
        </w:rPr>
        <w:t>(well-differentiated)</w:t>
      </w:r>
      <w:r>
        <w:rPr>
          <w:rFonts w:ascii="標楷體" w:eastAsia="標楷體" w:hAnsi="標楷體"/>
          <w:color w:val="000000"/>
        </w:rPr>
        <w:t>的神經內分泌瘤患者。（</w:t>
      </w:r>
      <w:r>
        <w:rPr>
          <w:rFonts w:ascii="標楷體" w:eastAsia="標楷體" w:hAnsi="標楷體"/>
          <w:color w:val="000000"/>
        </w:rPr>
        <w:t>104/4/1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需經事前審查核准後使用，每次申請以一年為限，期滿須經再次申請核准後才得以續用。（</w:t>
      </w:r>
      <w:r>
        <w:rPr>
          <w:rFonts w:ascii="標楷體" w:eastAsia="標楷體" w:hAnsi="標楷體"/>
          <w:color w:val="000000"/>
        </w:rPr>
        <w:t>104/4/1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用於治療</w:t>
      </w:r>
      <w:proofErr w:type="gramStart"/>
      <w:r>
        <w:rPr>
          <w:rFonts w:ascii="標楷體" w:eastAsia="標楷體" w:hAnsi="標楷體"/>
          <w:color w:val="000000"/>
        </w:rPr>
        <w:t>上述第</w:t>
      </w:r>
      <w:r>
        <w:rPr>
          <w:rFonts w:ascii="標楷體" w:eastAsia="標楷體" w:hAnsi="標楷體"/>
          <w:color w:val="000000"/>
        </w:rPr>
        <w:t>1</w:t>
      </w:r>
      <w:proofErr w:type="gramEnd"/>
      <w:r>
        <w:rPr>
          <w:rFonts w:ascii="標楷體" w:eastAsia="標楷體" w:hAnsi="標楷體"/>
          <w:color w:val="000000"/>
        </w:rPr>
        <w:t>、</w:t>
      </w:r>
      <w:r>
        <w:rPr>
          <w:rFonts w:ascii="標楷體" w:eastAsia="標楷體" w:hAnsi="標楷體"/>
          <w:color w:val="000000"/>
        </w:rPr>
        <w:t>2</w:t>
      </w:r>
      <w:r>
        <w:rPr>
          <w:rFonts w:ascii="標楷體" w:eastAsia="標楷體" w:hAnsi="標楷體"/>
          <w:color w:val="000000"/>
        </w:rPr>
        <w:t>項患者時，每次注射以</w:t>
      </w:r>
      <w:r>
        <w:rPr>
          <w:rFonts w:ascii="標楷體" w:eastAsia="標楷體" w:hAnsi="標楷體"/>
          <w:color w:val="000000"/>
        </w:rPr>
        <w:t>20 mg</w:t>
      </w:r>
      <w:r>
        <w:rPr>
          <w:rFonts w:ascii="標楷體" w:eastAsia="標楷體" w:hAnsi="標楷體"/>
          <w:color w:val="000000"/>
        </w:rPr>
        <w:t>為原則，每次注射需間隔四週；用於治療上述第</w:t>
      </w:r>
      <w:r>
        <w:rPr>
          <w:rFonts w:ascii="標楷體" w:eastAsia="標楷體" w:hAnsi="標楷體"/>
          <w:color w:val="000000"/>
        </w:rPr>
        <w:t>3</w:t>
      </w:r>
      <w:r>
        <w:rPr>
          <w:rFonts w:ascii="標楷體" w:eastAsia="標楷體" w:hAnsi="標楷體"/>
          <w:color w:val="000000"/>
        </w:rPr>
        <w:t>項患者時，每次注射以</w:t>
      </w:r>
      <w:r>
        <w:rPr>
          <w:rFonts w:ascii="標楷體" w:eastAsia="標楷體" w:hAnsi="標楷體"/>
          <w:color w:val="000000"/>
        </w:rPr>
        <w:t xml:space="preserve">30 </w:t>
      </w:r>
      <w:r>
        <w:rPr>
          <w:rFonts w:ascii="標楷體" w:eastAsia="標楷體" w:hAnsi="標楷體"/>
          <w:color w:val="000000"/>
        </w:rPr>
        <w:t>mg</w:t>
      </w:r>
      <w:r>
        <w:rPr>
          <w:rFonts w:ascii="標楷體" w:eastAsia="標楷體" w:hAnsi="標楷體"/>
          <w:color w:val="000000"/>
        </w:rPr>
        <w:t>為原則，每次注射需間隔四</w:t>
      </w:r>
      <w:proofErr w:type="gramStart"/>
      <w:r>
        <w:rPr>
          <w:rFonts w:ascii="標楷體" w:eastAsia="標楷體" w:hAnsi="標楷體"/>
          <w:color w:val="000000"/>
        </w:rPr>
        <w:t>週</w:t>
      </w:r>
      <w:proofErr w:type="gramEnd"/>
      <w:r>
        <w:rPr>
          <w:rFonts w:ascii="標楷體" w:eastAsia="標楷體" w:hAnsi="標楷體"/>
          <w:color w:val="000000"/>
        </w:rPr>
        <w:t>。若因病情需要超過使用量，應於病歷詳細紀錄以備查核。（</w:t>
      </w:r>
      <w:r>
        <w:rPr>
          <w:rFonts w:ascii="標楷體" w:eastAsia="標楷體" w:hAnsi="標楷體"/>
          <w:color w:val="000000"/>
        </w:rPr>
        <w:t>104/4/1</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5.4.5.Somatostatin</w:t>
      </w:r>
      <w:r>
        <w:rPr>
          <w:rFonts w:ascii="標楷體" w:eastAsia="標楷體" w:hAnsi="標楷體"/>
          <w:color w:val="000000"/>
        </w:rPr>
        <w:t>：（</w:t>
      </w:r>
      <w:r>
        <w:rPr>
          <w:rFonts w:ascii="標楷體" w:eastAsia="標楷體" w:hAnsi="標楷體"/>
          <w:color w:val="000000"/>
        </w:rPr>
        <w:t>87/11/1</w:t>
      </w:r>
      <w:r>
        <w:rPr>
          <w:rFonts w:ascii="標楷體" w:eastAsia="標楷體" w:hAnsi="標楷體"/>
          <w:color w:val="000000"/>
        </w:rPr>
        <w:t>、</w:t>
      </w:r>
      <w:r>
        <w:rPr>
          <w:rFonts w:ascii="標楷體" w:eastAsia="標楷體" w:hAnsi="標楷體"/>
          <w:color w:val="000000"/>
        </w:rPr>
        <w:t>89/5/1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預防胰臟手術後的併發症，最長使用五天。</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w:t>
      </w:r>
      <w:proofErr w:type="gramStart"/>
      <w:r>
        <w:rPr>
          <w:rFonts w:ascii="標楷體" w:eastAsia="標楷體" w:hAnsi="標楷體"/>
          <w:color w:val="000000"/>
        </w:rPr>
        <w:t>於胃、</w:t>
      </w:r>
      <w:proofErr w:type="gramEnd"/>
      <w:r>
        <w:rPr>
          <w:rFonts w:ascii="標楷體" w:eastAsia="標楷體" w:hAnsi="標楷體"/>
          <w:color w:val="000000"/>
        </w:rPr>
        <w:t>食道靜脈曲張出血最長以三天為原則。</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嚴重性急性消化性潰瘍出血，急性之糜爛或出血性胃炎之急性嚴重出血，經內視鏡處理</w:t>
      </w:r>
      <w:proofErr w:type="gramStart"/>
      <w:r>
        <w:rPr>
          <w:rFonts w:ascii="標楷體" w:eastAsia="標楷體" w:hAnsi="標楷體"/>
          <w:color w:val="000000"/>
        </w:rPr>
        <w:t>同時經氫離子</w:t>
      </w:r>
      <w:proofErr w:type="gramEnd"/>
      <w:r>
        <w:rPr>
          <w:rFonts w:ascii="標楷體" w:eastAsia="標楷體" w:hAnsi="標楷體"/>
          <w:color w:val="000000"/>
        </w:rPr>
        <w:t>幫浦阻斷劑或乙型組織胺受體阻斷劑注射治療仍不能止血，且不適合外科手術者，得</w:t>
      </w:r>
      <w:proofErr w:type="gramStart"/>
      <w:r>
        <w:rPr>
          <w:rFonts w:ascii="標楷體" w:eastAsia="標楷體" w:hAnsi="標楷體"/>
          <w:color w:val="000000"/>
        </w:rPr>
        <w:t>使用本品作</w:t>
      </w:r>
      <w:proofErr w:type="gramEnd"/>
      <w:r>
        <w:rPr>
          <w:rFonts w:ascii="標楷體" w:eastAsia="標楷體" w:hAnsi="標楷體"/>
          <w:color w:val="000000"/>
        </w:rPr>
        <w:t>為輔助治療三天。</w:t>
      </w:r>
    </w:p>
    <w:p w:rsidR="00203445" w:rsidRDefault="003100F1">
      <w:pPr>
        <w:ind w:left="672" w:hanging="386"/>
      </w:pPr>
      <w:r>
        <w:rPr>
          <w:rFonts w:ascii="標楷體" w:eastAsia="標楷體" w:hAnsi="標楷體"/>
          <w:color w:val="000000"/>
        </w:rPr>
        <w:t xml:space="preserve">5.4.6.Lanreotide </w:t>
      </w:r>
      <w:r>
        <w:rPr>
          <w:rFonts w:ascii="標楷體" w:eastAsia="標楷體" w:hAnsi="標楷體"/>
          <w:color w:val="000000"/>
        </w:rPr>
        <w:t>（如</w:t>
      </w:r>
      <w:proofErr w:type="spellStart"/>
      <w:r>
        <w:rPr>
          <w:rFonts w:ascii="標楷體" w:eastAsia="標楷體" w:hAnsi="標楷體"/>
          <w:color w:val="000000"/>
        </w:rPr>
        <w:t>Somatu</w:t>
      </w:r>
      <w:r>
        <w:rPr>
          <w:rFonts w:ascii="標楷體" w:eastAsia="標楷體" w:hAnsi="標楷體"/>
          <w:color w:val="000000"/>
        </w:rPr>
        <w:t>line</w:t>
      </w:r>
      <w:proofErr w:type="spellEnd"/>
      <w:r>
        <w:rPr>
          <w:rFonts w:ascii="標楷體" w:eastAsia="標楷體" w:hAnsi="標楷體"/>
          <w:color w:val="000000"/>
        </w:rPr>
        <w:t>）：（</w:t>
      </w:r>
      <w:r>
        <w:rPr>
          <w:rFonts w:ascii="標楷體" w:eastAsia="標楷體" w:hAnsi="標楷體"/>
          <w:color w:val="000000"/>
        </w:rPr>
        <w:t>88/6/1</w:t>
      </w:r>
      <w:r>
        <w:rPr>
          <w:rFonts w:ascii="標楷體" w:eastAsia="標楷體" w:hAnsi="標楷體"/>
          <w:color w:val="000000"/>
        </w:rPr>
        <w:t>、</w:t>
      </w:r>
      <w:r>
        <w:rPr>
          <w:rFonts w:ascii="標楷體" w:eastAsia="標楷體" w:hAnsi="標楷體"/>
          <w:color w:val="000000"/>
        </w:rPr>
        <w:t>89/5/1</w:t>
      </w:r>
      <w:r>
        <w:rPr>
          <w:rFonts w:ascii="標楷體" w:eastAsia="標楷體" w:hAnsi="標楷體"/>
          <w:color w:val="000000"/>
        </w:rPr>
        <w:t>、</w:t>
      </w:r>
      <w:r>
        <w:rPr>
          <w:rFonts w:ascii="標楷體" w:eastAsia="標楷體" w:hAnsi="標楷體"/>
          <w:color w:val="000000"/>
        </w:rPr>
        <w:t>93/12/1</w:t>
      </w:r>
      <w:r>
        <w:rPr>
          <w:rFonts w:ascii="標楷體" w:eastAsia="標楷體" w:hAnsi="標楷體"/>
          <w:color w:val="000000"/>
        </w:rPr>
        <w:t>、</w:t>
      </w:r>
      <w:r>
        <w:rPr>
          <w:rFonts w:ascii="標楷體" w:eastAsia="標楷體" w:hAnsi="標楷體"/>
          <w:color w:val="000000"/>
        </w:rPr>
        <w:t>98/1/1</w:t>
      </w:r>
      <w:r>
        <w:rPr>
          <w:rFonts w:ascii="標楷體" w:eastAsia="標楷體" w:hAnsi="標楷體"/>
          <w:color w:val="000000"/>
        </w:rPr>
        <w:t>、</w:t>
      </w:r>
      <w:r>
        <w:rPr>
          <w:rFonts w:ascii="標楷體" w:eastAsia="標楷體" w:hAnsi="標楷體"/>
          <w:color w:val="000000"/>
        </w:rPr>
        <w:t>106/8/1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限使用於對手術、放射線療法或</w:t>
      </w:r>
      <w:r>
        <w:rPr>
          <w:rFonts w:ascii="標楷體" w:eastAsia="標楷體" w:hAnsi="標楷體"/>
          <w:color w:val="000000"/>
        </w:rPr>
        <w:t>dopamine</w:t>
      </w:r>
      <w:r>
        <w:rPr>
          <w:rFonts w:ascii="標楷體" w:eastAsia="標楷體" w:hAnsi="標楷體"/>
          <w:color w:val="000000"/>
        </w:rPr>
        <w:t>作用劑療法控制無效</w:t>
      </w:r>
      <w:proofErr w:type="gramStart"/>
      <w:r>
        <w:rPr>
          <w:rFonts w:ascii="標楷體" w:eastAsia="標楷體" w:hAnsi="標楷體"/>
          <w:color w:val="000000"/>
        </w:rPr>
        <w:t>的肢端肥大</w:t>
      </w:r>
      <w:proofErr w:type="gramEnd"/>
      <w:r>
        <w:rPr>
          <w:rFonts w:ascii="標楷體" w:eastAsia="標楷體" w:hAnsi="標楷體"/>
          <w:color w:val="000000"/>
        </w:rPr>
        <w:t>症病患。</w:t>
      </w:r>
    </w:p>
    <w:p w:rsidR="00203445" w:rsidRDefault="003100F1">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類癌瘤</w:t>
      </w:r>
      <w:proofErr w:type="gramEnd"/>
      <w:r>
        <w:rPr>
          <w:rFonts w:ascii="標楷體" w:eastAsia="標楷體" w:hAnsi="標楷體"/>
          <w:color w:val="000000"/>
        </w:rPr>
        <w:t>患者：</w:t>
      </w:r>
      <w:r>
        <w:rPr>
          <w:rFonts w:ascii="標楷體" w:eastAsia="標楷體" w:hAnsi="標楷體"/>
          <w:color w:val="000000"/>
        </w:rPr>
        <w:t>(93/12/1</w:t>
      </w:r>
      <w:r>
        <w:rPr>
          <w:rFonts w:ascii="標楷體" w:eastAsia="標楷體" w:hAnsi="標楷體"/>
          <w:color w:val="000000"/>
        </w:rPr>
        <w:t>、</w:t>
      </w:r>
      <w:r>
        <w:rPr>
          <w:rFonts w:ascii="標楷體" w:eastAsia="標楷體" w:hAnsi="標楷體"/>
          <w:color w:val="000000"/>
        </w:rPr>
        <w:t>106/8/1)</w:t>
      </w:r>
    </w:p>
    <w:p w:rsidR="00203445" w:rsidRDefault="003100F1">
      <w:pPr>
        <w:ind w:left="1032" w:hanging="326"/>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具有功能性症狀且無法外科手術者</w:t>
      </w:r>
      <w:proofErr w:type="gramStart"/>
      <w:r>
        <w:rPr>
          <w:rFonts w:ascii="標楷體" w:eastAsia="標楷體" w:hAnsi="標楷體"/>
          <w:color w:val="000000"/>
        </w:rPr>
        <w:t>者</w:t>
      </w:r>
      <w:proofErr w:type="gramEnd"/>
      <w:r>
        <w:rPr>
          <w:rFonts w:ascii="標楷體" w:eastAsia="標楷體" w:hAnsi="標楷體"/>
          <w:color w:val="000000"/>
        </w:rPr>
        <w:t>，孕婦、小兒不得使用。</w:t>
      </w:r>
    </w:p>
    <w:p w:rsidR="00203445" w:rsidRDefault="003100F1">
      <w:pPr>
        <w:ind w:left="1032" w:hanging="326"/>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須經事前審查核准後使用，每次申請以一年為限，期滿須經再次申請核准後，才得以續用。</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治療無法切除、分化程度為良好或中度、局部進展或轉移性之胃、腸、胰臟神經內分泌腫瘤</w:t>
      </w:r>
      <w:r>
        <w:rPr>
          <w:rFonts w:ascii="標楷體" w:eastAsia="標楷體" w:hAnsi="標楷體"/>
          <w:color w:val="000000"/>
        </w:rPr>
        <w:t>(GEP-NETs) (106/8/1)</w:t>
      </w:r>
    </w:p>
    <w:p w:rsidR="00203445" w:rsidRDefault="003100F1">
      <w:pPr>
        <w:ind w:left="1077" w:hanging="367"/>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用於治療功能性患者，孕婦、小兒不得使用。</w:t>
      </w:r>
    </w:p>
    <w:p w:rsidR="00203445" w:rsidRDefault="003100F1">
      <w:pPr>
        <w:ind w:left="1077" w:hanging="367"/>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用於治療非功能性患者，須附</w:t>
      </w:r>
      <w:r>
        <w:rPr>
          <w:rFonts w:ascii="標楷體" w:eastAsia="標楷體" w:hAnsi="標楷體"/>
          <w:color w:val="000000"/>
        </w:rPr>
        <w:t>6</w:t>
      </w:r>
      <w:r>
        <w:rPr>
          <w:rFonts w:ascii="標楷體" w:eastAsia="標楷體" w:hAnsi="標楷體"/>
          <w:color w:val="000000"/>
        </w:rPr>
        <w:t>個月內</w:t>
      </w:r>
      <w:r>
        <w:rPr>
          <w:rFonts w:ascii="標楷體" w:eastAsia="標楷體" w:hAnsi="標楷體"/>
          <w:color w:val="000000"/>
        </w:rPr>
        <w:t xml:space="preserve">somatostatin-receptor </w:t>
      </w:r>
      <w:r>
        <w:rPr>
          <w:rFonts w:ascii="標楷體" w:eastAsia="標楷體" w:hAnsi="標楷體"/>
          <w:color w:val="000000"/>
        </w:rPr>
        <w:t>陽性報告。</w:t>
      </w:r>
    </w:p>
    <w:p w:rsidR="00203445" w:rsidRDefault="003100F1">
      <w:pPr>
        <w:ind w:left="1077" w:hanging="367"/>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每月限用</w:t>
      </w:r>
      <w:proofErr w:type="spellStart"/>
      <w:r>
        <w:rPr>
          <w:rFonts w:ascii="標楷體" w:eastAsia="標楷體" w:hAnsi="標楷體"/>
          <w:color w:val="000000"/>
        </w:rPr>
        <w:t>lanreotide</w:t>
      </w:r>
      <w:proofErr w:type="spellEnd"/>
      <w:r>
        <w:rPr>
          <w:rFonts w:ascii="標楷體" w:eastAsia="標楷體" w:hAnsi="標楷體"/>
          <w:color w:val="000000"/>
        </w:rPr>
        <w:t xml:space="preserve"> 120mg</w:t>
      </w:r>
      <w:r>
        <w:rPr>
          <w:rFonts w:ascii="標楷體" w:eastAsia="標楷體" w:hAnsi="標楷體"/>
          <w:color w:val="000000"/>
        </w:rPr>
        <w:t>長效注射劑一針，每次注射間隔</w:t>
      </w:r>
      <w:r>
        <w:rPr>
          <w:rFonts w:ascii="標楷體" w:eastAsia="標楷體" w:hAnsi="標楷體"/>
          <w:color w:val="000000"/>
        </w:rPr>
        <w:t>4</w:t>
      </w:r>
      <w:proofErr w:type="gramStart"/>
      <w:r>
        <w:rPr>
          <w:rFonts w:ascii="標楷體" w:eastAsia="標楷體" w:hAnsi="標楷體"/>
          <w:color w:val="000000"/>
        </w:rPr>
        <w:t>週</w:t>
      </w:r>
      <w:proofErr w:type="gramEnd"/>
      <w:r>
        <w:rPr>
          <w:rFonts w:ascii="標楷體" w:eastAsia="標楷體" w:hAnsi="標楷體"/>
          <w:color w:val="000000"/>
        </w:rPr>
        <w:t>。須經事前審查核准後使用，每次申請以一年為限，期滿須經再次申請核准後，才得以續用。</w:t>
      </w:r>
    </w:p>
    <w:p w:rsidR="00203445" w:rsidRDefault="003100F1">
      <w:pPr>
        <w:ind w:left="672" w:hanging="386"/>
        <w:rPr>
          <w:rFonts w:ascii="標楷體" w:eastAsia="標楷體" w:hAnsi="標楷體"/>
          <w:color w:val="000000"/>
        </w:rPr>
      </w:pPr>
      <w:r>
        <w:rPr>
          <w:rFonts w:ascii="標楷體" w:eastAsia="標楷體" w:hAnsi="標楷體"/>
          <w:color w:val="000000"/>
        </w:rPr>
        <w:t>5.4.7.Cabergoline (</w:t>
      </w:r>
      <w:r>
        <w:rPr>
          <w:rFonts w:ascii="標楷體" w:eastAsia="標楷體" w:hAnsi="標楷體"/>
          <w:color w:val="000000"/>
        </w:rPr>
        <w:t>如</w:t>
      </w:r>
      <w:r>
        <w:rPr>
          <w:rFonts w:ascii="標楷體" w:eastAsia="標楷體" w:hAnsi="標楷體"/>
          <w:color w:val="000000"/>
        </w:rPr>
        <w:t xml:space="preserve"> </w:t>
      </w:r>
      <w:proofErr w:type="spellStart"/>
      <w:r>
        <w:rPr>
          <w:rFonts w:ascii="標楷體" w:eastAsia="標楷體" w:hAnsi="標楷體"/>
          <w:color w:val="000000"/>
        </w:rPr>
        <w:t>Dostinex</w:t>
      </w:r>
      <w:proofErr w:type="spellEnd"/>
      <w:r>
        <w:rPr>
          <w:rFonts w:ascii="標楷體" w:eastAsia="標楷體" w:hAnsi="標楷體"/>
          <w:color w:val="000000"/>
        </w:rPr>
        <w:t xml:space="preserve"> Tab.</w:t>
      </w:r>
      <w:proofErr w:type="gramStart"/>
      <w:r>
        <w:rPr>
          <w:rFonts w:ascii="標楷體" w:eastAsia="標楷體" w:hAnsi="標楷體"/>
          <w:color w:val="000000"/>
        </w:rPr>
        <w:t>)</w:t>
      </w:r>
      <w:r>
        <w:rPr>
          <w:rFonts w:ascii="標楷體" w:eastAsia="標楷體" w:hAnsi="標楷體"/>
          <w:color w:val="000000"/>
        </w:rPr>
        <w:t>：</w:t>
      </w:r>
      <w:proofErr w:type="gramEnd"/>
      <w:r>
        <w:rPr>
          <w:rFonts w:ascii="標楷體" w:eastAsia="標楷體" w:hAnsi="標楷體"/>
          <w:color w:val="000000"/>
        </w:rPr>
        <w:t>(91/6/1)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w:t>
      </w:r>
      <w:proofErr w:type="gramStart"/>
      <w:r>
        <w:rPr>
          <w:rFonts w:ascii="標楷體" w:eastAsia="標楷體" w:hAnsi="標楷體"/>
          <w:color w:val="000000"/>
        </w:rPr>
        <w:t>高乳促素血</w:t>
      </w:r>
      <w:proofErr w:type="gramEnd"/>
      <w:r>
        <w:rPr>
          <w:rFonts w:ascii="標楷體" w:eastAsia="標楷體" w:hAnsi="標楷體"/>
          <w:color w:val="000000"/>
        </w:rPr>
        <w:t>症引起之狀況。</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如用於產後正常性</w:t>
      </w:r>
      <w:proofErr w:type="gramStart"/>
      <w:r>
        <w:rPr>
          <w:rFonts w:ascii="標楷體" w:eastAsia="標楷體" w:hAnsi="標楷體"/>
          <w:color w:val="000000"/>
        </w:rPr>
        <w:t>泌</w:t>
      </w:r>
      <w:proofErr w:type="gramEnd"/>
      <w:r>
        <w:rPr>
          <w:rFonts w:ascii="標楷體" w:eastAsia="標楷體" w:hAnsi="標楷體"/>
          <w:color w:val="000000"/>
        </w:rPr>
        <w:t>乳之抑制，不予給付。</w:t>
      </w:r>
    </w:p>
    <w:p w:rsidR="00203445" w:rsidRDefault="003100F1">
      <w:pPr>
        <w:ind w:firstLine="240"/>
        <w:rPr>
          <w:rFonts w:ascii="標楷體" w:eastAsia="標楷體" w:hAnsi="標楷體"/>
          <w:color w:val="000000"/>
        </w:rPr>
      </w:pPr>
      <w:r>
        <w:rPr>
          <w:rFonts w:ascii="標楷體" w:eastAsia="標楷體" w:hAnsi="標楷體"/>
          <w:color w:val="000000"/>
        </w:rPr>
        <w:t xml:space="preserve">5.4.8. </w:t>
      </w:r>
      <w:proofErr w:type="spellStart"/>
      <w:r>
        <w:rPr>
          <w:rFonts w:ascii="標楷體" w:eastAsia="標楷體" w:hAnsi="標楷體"/>
          <w:color w:val="000000"/>
        </w:rPr>
        <w:t>Pasireotide</w:t>
      </w:r>
      <w:proofErr w:type="spellEnd"/>
      <w:r>
        <w:rPr>
          <w:rFonts w:ascii="標楷體" w:eastAsia="標楷體" w:hAnsi="標楷體"/>
          <w:color w:val="000000"/>
        </w:rPr>
        <w:t>：</w:t>
      </w:r>
      <w:r>
        <w:rPr>
          <w:rFonts w:ascii="標楷體" w:eastAsia="標楷體" w:hAnsi="標楷體"/>
          <w:color w:val="000000"/>
        </w:rPr>
        <w:t>(</w:t>
      </w:r>
      <w:r>
        <w:rPr>
          <w:rFonts w:ascii="標楷體" w:eastAsia="標楷體" w:hAnsi="標楷體"/>
          <w:color w:val="000000"/>
        </w:rPr>
        <w:t>如</w:t>
      </w:r>
      <w:proofErr w:type="spellStart"/>
      <w:r>
        <w:rPr>
          <w:rFonts w:ascii="標楷體" w:eastAsia="標楷體" w:hAnsi="標楷體"/>
          <w:color w:val="000000"/>
        </w:rPr>
        <w:t>Signifor</w:t>
      </w:r>
      <w:proofErr w:type="spellEnd"/>
      <w:r>
        <w:rPr>
          <w:rFonts w:ascii="標楷體" w:eastAsia="標楷體" w:hAnsi="標楷體"/>
          <w:color w:val="000000"/>
        </w:rPr>
        <w:t>) (103/7/1</w:t>
      </w:r>
      <w:r>
        <w:rPr>
          <w:rFonts w:ascii="標楷體" w:eastAsia="標楷體" w:hAnsi="標楷體"/>
          <w:color w:val="000000"/>
        </w:rPr>
        <w:t>、</w:t>
      </w:r>
      <w:r>
        <w:rPr>
          <w:rFonts w:ascii="標楷體" w:eastAsia="標楷體" w:hAnsi="標楷體"/>
          <w:color w:val="000000"/>
        </w:rPr>
        <w:t>106/10/1</w:t>
      </w:r>
      <w:proofErr w:type="gramStart"/>
      <w:r>
        <w:rPr>
          <w:rFonts w:ascii="標楷體" w:eastAsia="標楷體" w:hAnsi="標楷體"/>
          <w:color w:val="000000"/>
        </w:rPr>
        <w:t>）</w:t>
      </w:r>
      <w:proofErr w:type="gramEnd"/>
    </w:p>
    <w:p w:rsidR="00203445" w:rsidRDefault="003100F1">
      <w:pPr>
        <w:pStyle w:val="a"/>
        <w:rPr>
          <w:rFonts w:cs="Times New Roman"/>
          <w:color w:val="000000"/>
          <w:sz w:val="24"/>
          <w:szCs w:val="22"/>
        </w:rPr>
      </w:pPr>
      <w:r>
        <w:rPr>
          <w:rFonts w:cs="Times New Roman"/>
          <w:color w:val="000000"/>
          <w:sz w:val="24"/>
          <w:szCs w:val="22"/>
        </w:rPr>
        <w:t>限用於治療無法接受腦下垂體手術或已接受此手術未能治療的庫欣氏病</w:t>
      </w:r>
      <w:r>
        <w:rPr>
          <w:rFonts w:cs="Times New Roman"/>
          <w:color w:val="000000"/>
          <w:sz w:val="24"/>
          <w:szCs w:val="22"/>
        </w:rPr>
        <w:t xml:space="preserve"> </w:t>
      </w:r>
      <w:r>
        <w:rPr>
          <w:rFonts w:cs="Times New Roman"/>
          <w:color w:val="000000"/>
          <w:sz w:val="24"/>
          <w:szCs w:val="22"/>
        </w:rPr>
        <w:lastRenderedPageBreak/>
        <w:t>(Cushing's disease)</w:t>
      </w:r>
      <w:r>
        <w:rPr>
          <w:rFonts w:cs="Times New Roman"/>
          <w:color w:val="000000"/>
          <w:sz w:val="24"/>
          <w:szCs w:val="22"/>
        </w:rPr>
        <w:t>患者。</w:t>
      </w:r>
    </w:p>
    <w:p w:rsidR="00203445" w:rsidRDefault="003100F1">
      <w:pPr>
        <w:pStyle w:val="a"/>
        <w:rPr>
          <w:rFonts w:cs="Times New Roman"/>
          <w:color w:val="000000"/>
          <w:sz w:val="24"/>
          <w:szCs w:val="22"/>
        </w:rPr>
      </w:pPr>
      <w:r>
        <w:rPr>
          <w:rFonts w:cs="Times New Roman"/>
          <w:color w:val="000000"/>
          <w:sz w:val="24"/>
          <w:szCs w:val="22"/>
        </w:rPr>
        <w:t>限內分泌及神經外科專科醫師使用。</w:t>
      </w:r>
    </w:p>
    <w:p w:rsidR="00203445" w:rsidRDefault="003100F1">
      <w:pPr>
        <w:ind w:firstLine="240"/>
        <w:rPr>
          <w:rFonts w:ascii="標楷體" w:eastAsia="標楷體" w:hAnsi="標楷體"/>
          <w:color w:val="000000"/>
        </w:rPr>
      </w:pPr>
      <w:r>
        <w:rPr>
          <w:rFonts w:ascii="標楷體" w:eastAsia="標楷體" w:hAnsi="標楷體"/>
          <w:color w:val="000000"/>
        </w:rPr>
        <w:t>5.4.9.Pasireotide</w:t>
      </w:r>
      <w:r>
        <w:rPr>
          <w:rFonts w:ascii="標楷體" w:eastAsia="標楷體" w:hAnsi="標楷體"/>
          <w:color w:val="000000"/>
        </w:rPr>
        <w:t>長</w:t>
      </w:r>
      <w:proofErr w:type="gramStart"/>
      <w:r>
        <w:rPr>
          <w:rFonts w:ascii="標楷體" w:eastAsia="標楷體" w:hAnsi="標楷體"/>
          <w:color w:val="000000"/>
        </w:rPr>
        <w:t>效緩釋注射</w:t>
      </w:r>
      <w:proofErr w:type="gramEnd"/>
      <w:r>
        <w:rPr>
          <w:rFonts w:ascii="標楷體" w:eastAsia="標楷體" w:hAnsi="標楷體"/>
          <w:color w:val="000000"/>
        </w:rPr>
        <w:t>劑</w:t>
      </w:r>
      <w:r>
        <w:rPr>
          <w:rFonts w:ascii="標楷體" w:eastAsia="標楷體" w:hAnsi="標楷體"/>
          <w:color w:val="000000"/>
        </w:rPr>
        <w:t xml:space="preserve"> (</w:t>
      </w:r>
      <w:r>
        <w:rPr>
          <w:rFonts w:ascii="標楷體" w:eastAsia="標楷體" w:hAnsi="標楷體"/>
          <w:color w:val="000000"/>
        </w:rPr>
        <w:t>如</w:t>
      </w:r>
      <w:proofErr w:type="spellStart"/>
      <w:r>
        <w:rPr>
          <w:rFonts w:ascii="標楷體" w:eastAsia="標楷體" w:hAnsi="標楷體"/>
          <w:color w:val="000000"/>
        </w:rPr>
        <w:t>Signifor</w:t>
      </w:r>
      <w:proofErr w:type="spellEnd"/>
      <w:r>
        <w:rPr>
          <w:rFonts w:ascii="標楷體" w:eastAsia="標楷體" w:hAnsi="標楷體"/>
          <w:color w:val="000000"/>
        </w:rPr>
        <w:t xml:space="preserve"> LAR)</w:t>
      </w:r>
      <w:r>
        <w:rPr>
          <w:rFonts w:ascii="標楷體" w:eastAsia="標楷體" w:hAnsi="標楷體"/>
          <w:color w:val="000000"/>
        </w:rPr>
        <w:t>：</w:t>
      </w:r>
      <w:r>
        <w:rPr>
          <w:rFonts w:ascii="標楷體" w:eastAsia="標楷體" w:hAnsi="標楷體"/>
          <w:color w:val="000000"/>
        </w:rPr>
        <w:t>(108/12/1</w:t>
      </w:r>
      <w:proofErr w:type="gramStart"/>
      <w:r>
        <w:rPr>
          <w:rFonts w:ascii="標楷體" w:eastAsia="標楷體" w:hAnsi="標楷體"/>
          <w:color w:val="000000"/>
        </w:rPr>
        <w:t>）</w:t>
      </w:r>
      <w:proofErr w:type="gramEnd"/>
    </w:p>
    <w:p w:rsidR="00203445" w:rsidRDefault="003100F1">
      <w:pPr>
        <w:ind w:left="708"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對手術反應不佳和</w:t>
      </w:r>
      <w:r>
        <w:rPr>
          <w:rFonts w:ascii="標楷體" w:eastAsia="標楷體" w:hAnsi="標楷體"/>
          <w:color w:val="000000"/>
        </w:rPr>
        <w:t>/</w:t>
      </w:r>
      <w:r>
        <w:rPr>
          <w:rFonts w:ascii="標楷體" w:eastAsia="標楷體" w:hAnsi="標楷體"/>
          <w:color w:val="000000"/>
        </w:rPr>
        <w:t>或無法接受手術治療，且以另一種</w:t>
      </w:r>
      <w:proofErr w:type="gramStart"/>
      <w:r>
        <w:rPr>
          <w:rFonts w:ascii="標楷體" w:eastAsia="標楷體" w:hAnsi="標楷體"/>
          <w:color w:val="000000"/>
        </w:rPr>
        <w:t>體抑素類似</w:t>
      </w:r>
      <w:proofErr w:type="gramEnd"/>
      <w:r>
        <w:rPr>
          <w:rFonts w:ascii="標楷體" w:eastAsia="標楷體" w:hAnsi="標楷體"/>
          <w:color w:val="000000"/>
        </w:rPr>
        <w:t>物</w:t>
      </w:r>
      <w:r>
        <w:rPr>
          <w:rFonts w:ascii="標楷體" w:eastAsia="標楷體" w:hAnsi="標楷體"/>
          <w:color w:val="000000"/>
        </w:rPr>
        <w:t>(somatostatin analogue)</w:t>
      </w:r>
      <w:r>
        <w:rPr>
          <w:rFonts w:ascii="標楷體" w:eastAsia="標楷體" w:hAnsi="標楷體"/>
          <w:color w:val="000000"/>
        </w:rPr>
        <w:t>治療控制不良</w:t>
      </w:r>
      <w:proofErr w:type="gramStart"/>
      <w:r>
        <w:rPr>
          <w:rFonts w:ascii="標楷體" w:eastAsia="標楷體" w:hAnsi="標楷體"/>
          <w:color w:val="000000"/>
        </w:rPr>
        <w:t>之肢</w:t>
      </w:r>
      <w:proofErr w:type="gramEnd"/>
      <w:r>
        <w:rPr>
          <w:rFonts w:ascii="標楷體" w:eastAsia="標楷體" w:hAnsi="標楷體"/>
          <w:color w:val="000000"/>
        </w:rPr>
        <w:t>端肥大症成人患者。</w:t>
      </w:r>
    </w:p>
    <w:p w:rsidR="00203445" w:rsidRDefault="003100F1">
      <w:pPr>
        <w:ind w:left="708" w:hanging="28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每年至多使用</w:t>
      </w:r>
      <w:r>
        <w:rPr>
          <w:rFonts w:ascii="標楷體" w:eastAsia="標楷體" w:hAnsi="標楷體"/>
          <w:color w:val="000000"/>
        </w:rPr>
        <w:t>13</w:t>
      </w:r>
      <w:r>
        <w:rPr>
          <w:rFonts w:ascii="標楷體" w:eastAsia="標楷體" w:hAnsi="標楷體"/>
          <w:color w:val="000000"/>
        </w:rPr>
        <w:t>支。</w:t>
      </w:r>
    </w:p>
    <w:p w:rsidR="00203445" w:rsidRDefault="003100F1">
      <w:pPr>
        <w:ind w:left="708" w:hanging="28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限內分泌及神經外科專科醫師使用。</w:t>
      </w:r>
    </w:p>
    <w:p w:rsidR="00203445" w:rsidRDefault="003100F1">
      <w:pPr>
        <w:ind w:left="708" w:hanging="281"/>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須經事前審查核准後使用，每一年須重新申請。</w:t>
      </w:r>
    </w:p>
    <w:p w:rsidR="00203445" w:rsidRDefault="003100F1">
      <w:pPr>
        <w:ind w:left="672" w:hanging="386"/>
        <w:rPr>
          <w:rFonts w:ascii="標楷體" w:eastAsia="標楷體" w:hAnsi="標楷體"/>
          <w:color w:val="000000"/>
        </w:rPr>
      </w:pPr>
      <w:r>
        <w:rPr>
          <w:rFonts w:ascii="標楷體" w:eastAsia="標楷體" w:hAnsi="標楷體"/>
          <w:color w:val="000000"/>
        </w:rPr>
        <w:t>5.5.</w:t>
      </w:r>
      <w:r>
        <w:rPr>
          <w:rFonts w:ascii="標楷體" w:eastAsia="標楷體" w:hAnsi="標楷體"/>
          <w:color w:val="000000"/>
        </w:rPr>
        <w:t>其他</w:t>
      </w:r>
      <w:r>
        <w:rPr>
          <w:rFonts w:ascii="標楷體" w:eastAsia="標楷體" w:hAnsi="標楷體"/>
          <w:color w:val="000000"/>
        </w:rPr>
        <w:t xml:space="preserve">  Miscellaneous</w:t>
      </w:r>
    </w:p>
    <w:p w:rsidR="00203445" w:rsidRDefault="003100F1">
      <w:pPr>
        <w:ind w:left="567" w:hanging="281"/>
        <w:rPr>
          <w:rFonts w:ascii="標楷體" w:eastAsia="標楷體" w:hAnsi="標楷體"/>
          <w:color w:val="000000"/>
        </w:rPr>
      </w:pPr>
      <w:r>
        <w:rPr>
          <w:rFonts w:ascii="標楷體" w:eastAsia="標楷體" w:hAnsi="標楷體"/>
          <w:color w:val="000000"/>
        </w:rPr>
        <w:t xml:space="preserve">5.5.1.Gn-RH analogue </w:t>
      </w:r>
      <w:proofErr w:type="gramStart"/>
      <w:r>
        <w:rPr>
          <w:rFonts w:ascii="標楷體" w:eastAsia="標楷體" w:hAnsi="標楷體"/>
          <w:color w:val="000000"/>
        </w:rPr>
        <w:t>（</w:t>
      </w:r>
      <w:proofErr w:type="gramEnd"/>
      <w:r>
        <w:rPr>
          <w:rFonts w:ascii="標楷體" w:eastAsia="標楷體" w:hAnsi="標楷體"/>
          <w:color w:val="000000"/>
        </w:rPr>
        <w:t>如</w:t>
      </w:r>
      <w:proofErr w:type="spellStart"/>
      <w:r>
        <w:rPr>
          <w:rFonts w:ascii="標楷體" w:eastAsia="標楷體" w:hAnsi="標楷體"/>
          <w:color w:val="000000"/>
        </w:rPr>
        <w:t>Buserelin</w:t>
      </w:r>
      <w:proofErr w:type="spellEnd"/>
      <w:r>
        <w:rPr>
          <w:rFonts w:ascii="標楷體" w:eastAsia="標楷體" w:hAnsi="標楷體"/>
          <w:color w:val="000000"/>
        </w:rPr>
        <w:t>；</w:t>
      </w:r>
      <w:proofErr w:type="spellStart"/>
      <w:r>
        <w:rPr>
          <w:rFonts w:ascii="標楷體" w:eastAsia="標楷體" w:hAnsi="標楷體"/>
          <w:color w:val="000000"/>
        </w:rPr>
        <w:t>Goserelin</w:t>
      </w:r>
      <w:proofErr w:type="spellEnd"/>
      <w:r>
        <w:rPr>
          <w:rFonts w:ascii="標楷體" w:eastAsia="標楷體" w:hAnsi="標楷體"/>
          <w:color w:val="000000"/>
        </w:rPr>
        <w:t>；</w:t>
      </w:r>
      <w:r>
        <w:rPr>
          <w:rFonts w:ascii="標楷體" w:eastAsia="標楷體" w:hAnsi="標楷體"/>
          <w:color w:val="000000"/>
        </w:rPr>
        <w:t>Leuprorelin</w:t>
      </w:r>
      <w:r>
        <w:rPr>
          <w:rFonts w:ascii="標楷體" w:eastAsia="標楷體" w:hAnsi="標楷體"/>
          <w:color w:val="000000"/>
        </w:rPr>
        <w:t>；</w:t>
      </w:r>
      <w:r>
        <w:rPr>
          <w:rFonts w:ascii="標楷體" w:eastAsia="標楷體" w:hAnsi="標楷體"/>
          <w:color w:val="000000"/>
        </w:rPr>
        <w:t>Triptorelin</w:t>
      </w:r>
      <w:r>
        <w:rPr>
          <w:rFonts w:ascii="標楷體" w:eastAsia="標楷體" w:hAnsi="標楷體"/>
          <w:color w:val="000000"/>
        </w:rPr>
        <w:t>；</w:t>
      </w:r>
      <w:proofErr w:type="spellStart"/>
      <w:r>
        <w:rPr>
          <w:rFonts w:ascii="標楷體" w:eastAsia="標楷體" w:hAnsi="標楷體"/>
          <w:color w:val="000000"/>
        </w:rPr>
        <w:t>Nafarelin</w:t>
      </w:r>
      <w:proofErr w:type="spellEnd"/>
      <w:r>
        <w:rPr>
          <w:rFonts w:ascii="標楷體" w:eastAsia="標楷體" w:hAnsi="標楷體"/>
          <w:color w:val="000000"/>
        </w:rPr>
        <w:t>(acetate)</w:t>
      </w:r>
      <w:r>
        <w:rPr>
          <w:rFonts w:ascii="標楷體" w:eastAsia="標楷體" w:hAnsi="標楷體"/>
          <w:color w:val="000000"/>
        </w:rPr>
        <w:t>等製劑</w:t>
      </w:r>
      <w:proofErr w:type="gramStart"/>
      <w:r>
        <w:rPr>
          <w:rFonts w:ascii="標楷體" w:eastAsia="標楷體" w:hAnsi="標楷體"/>
          <w:color w:val="000000"/>
        </w:rPr>
        <w:t>）</w:t>
      </w:r>
      <w:proofErr w:type="gramEnd"/>
      <w:r>
        <w:rPr>
          <w:rFonts w:ascii="標楷體" w:eastAsia="標楷體" w:hAnsi="標楷體"/>
          <w:color w:val="000000"/>
        </w:rPr>
        <w:t>(92/1/1</w:t>
      </w:r>
      <w:r>
        <w:rPr>
          <w:rFonts w:ascii="標楷體" w:eastAsia="標楷體" w:hAnsi="標楷體"/>
          <w:color w:val="000000"/>
        </w:rPr>
        <w:t>、</w:t>
      </w:r>
      <w:r>
        <w:rPr>
          <w:rFonts w:ascii="標楷體" w:eastAsia="標楷體" w:hAnsi="標楷體"/>
          <w:color w:val="000000"/>
        </w:rPr>
        <w:t>93/4/1</w:t>
      </w:r>
      <w:r>
        <w:rPr>
          <w:rFonts w:ascii="標楷體" w:eastAsia="標楷體" w:hAnsi="標楷體"/>
          <w:color w:val="000000"/>
        </w:rPr>
        <w:t>、</w:t>
      </w:r>
      <w:r>
        <w:rPr>
          <w:rFonts w:ascii="標楷體" w:eastAsia="標楷體" w:hAnsi="標楷體"/>
          <w:color w:val="000000"/>
        </w:rPr>
        <w:t>95/4/1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r>
        <w:rPr>
          <w:rFonts w:ascii="標楷體" w:eastAsia="標楷體" w:hAnsi="標楷體"/>
          <w:color w:val="000000"/>
        </w:rPr>
        <w:t>100/2/1</w:t>
      </w:r>
      <w:r>
        <w:rPr>
          <w:rFonts w:ascii="標楷體" w:eastAsia="標楷體" w:hAnsi="標楷體"/>
          <w:color w:val="000000"/>
        </w:rPr>
        <w:t>、</w:t>
      </w:r>
      <w:r>
        <w:rPr>
          <w:rFonts w:ascii="標楷體" w:eastAsia="標楷體" w:hAnsi="標楷體"/>
          <w:color w:val="000000"/>
        </w:rPr>
        <w:t>106/2/1</w:t>
      </w:r>
      <w:r>
        <w:rPr>
          <w:rFonts w:ascii="標楷體" w:eastAsia="標楷體" w:hAnsi="標楷體"/>
          <w:color w:val="000000"/>
        </w:rPr>
        <w:t>、</w:t>
      </w:r>
      <w:r>
        <w:rPr>
          <w:rFonts w:ascii="標楷體" w:eastAsia="標楷體" w:hAnsi="標楷體"/>
          <w:color w:val="000000"/>
        </w:rPr>
        <w:t>109/2/1</w:t>
      </w:r>
      <w:r>
        <w:rPr>
          <w:rFonts w:ascii="標楷體" w:eastAsia="標楷體" w:hAnsi="標楷體"/>
          <w:color w:val="000000"/>
        </w:rPr>
        <w:t>、</w:t>
      </w:r>
      <w:r>
        <w:rPr>
          <w:rFonts w:ascii="標楷體" w:eastAsia="標楷體" w:hAnsi="標楷體"/>
          <w:color w:val="000000"/>
        </w:rPr>
        <w:t>110/12/1</w:t>
      </w:r>
      <w:r>
        <w:rPr>
          <w:rFonts w:ascii="標楷體" w:eastAsia="標楷體" w:hAnsi="標楷體"/>
          <w:color w:val="000000"/>
        </w:rPr>
        <w:t>、</w:t>
      </w:r>
      <w:r>
        <w:rPr>
          <w:rFonts w:ascii="標楷體" w:eastAsia="標楷體" w:hAnsi="標楷體"/>
          <w:color w:val="000000"/>
        </w:rPr>
        <w:t>111/2/1</w:t>
      </w:r>
      <w:r>
        <w:rPr>
          <w:rFonts w:ascii="標楷體" w:eastAsia="標楷體" w:hAnsi="標楷體"/>
          <w:color w:val="000000"/>
        </w:rPr>
        <w:t>、</w:t>
      </w:r>
      <w:r>
        <w:rPr>
          <w:rFonts w:ascii="標楷體" w:eastAsia="標楷體" w:hAnsi="標楷體"/>
          <w:color w:val="000000"/>
        </w:rPr>
        <w:t>113/6/1)</w:t>
      </w:r>
    </w:p>
    <w:p w:rsidR="00203445" w:rsidRDefault="003100F1">
      <w:pPr>
        <w:ind w:left="850" w:hanging="28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本類藥品限依</w:t>
      </w:r>
      <w:proofErr w:type="gramEnd"/>
      <w:r>
        <w:rPr>
          <w:rFonts w:ascii="標楷體" w:eastAsia="標楷體" w:hAnsi="標楷體"/>
          <w:color w:val="000000"/>
        </w:rPr>
        <w:t>藥品許可證登載之適應症範圍內用於前列腺癌、中樞性早熟、子宮內膜異位症及停經前</w:t>
      </w:r>
      <w:r>
        <w:rPr>
          <w:rFonts w:ascii="標楷體" w:eastAsia="標楷體" w:hAnsi="標楷體"/>
          <w:color w:val="000000"/>
        </w:rPr>
        <w:t>(</w:t>
      </w:r>
      <w:r>
        <w:rPr>
          <w:rFonts w:ascii="標楷體" w:eastAsia="標楷體" w:hAnsi="標楷體"/>
          <w:color w:val="000000"/>
        </w:rPr>
        <w:t>或更年期前</w:t>
      </w:r>
      <w:r>
        <w:rPr>
          <w:rFonts w:ascii="標楷體" w:eastAsia="標楷體" w:hAnsi="標楷體"/>
          <w:color w:val="000000"/>
        </w:rPr>
        <w:t>)</w:t>
      </w:r>
      <w:r>
        <w:rPr>
          <w:rFonts w:ascii="標楷體" w:eastAsia="標楷體" w:hAnsi="標楷體"/>
          <w:color w:val="000000"/>
        </w:rPr>
        <w:t>之乳癌病例。</w:t>
      </w:r>
      <w:proofErr w:type="gramStart"/>
      <w:r>
        <w:rPr>
          <w:rFonts w:ascii="標楷體" w:eastAsia="標楷體" w:hAnsi="標楷體"/>
          <w:color w:val="000000"/>
        </w:rPr>
        <w:t>（</w:t>
      </w:r>
      <w:proofErr w:type="gramEnd"/>
      <w:r>
        <w:rPr>
          <w:rFonts w:ascii="標楷體" w:eastAsia="標楷體" w:hAnsi="標楷體"/>
          <w:color w:val="000000"/>
        </w:rPr>
        <w:t>85/1/1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106/2/1</w:t>
      </w:r>
      <w:r>
        <w:rPr>
          <w:rFonts w:ascii="標楷體" w:eastAsia="標楷體" w:hAnsi="標楷體"/>
          <w:color w:val="000000"/>
        </w:rPr>
        <w:t>、</w:t>
      </w:r>
      <w:r>
        <w:rPr>
          <w:rFonts w:ascii="標楷體" w:eastAsia="標楷體" w:hAnsi="標楷體"/>
          <w:color w:val="000000"/>
        </w:rPr>
        <w:t>113/6/1)</w:t>
      </w:r>
    </w:p>
    <w:p w:rsidR="00203445" w:rsidRDefault="003100F1">
      <w:pPr>
        <w:ind w:left="850" w:hanging="281"/>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本類製</w:t>
      </w:r>
      <w:proofErr w:type="gramEnd"/>
      <w:r>
        <w:rPr>
          <w:rFonts w:ascii="標楷體" w:eastAsia="標楷體" w:hAnsi="標楷體"/>
          <w:color w:val="000000"/>
        </w:rPr>
        <w:t>劑用於中樞性早熟、乳癌及子宮內膜異位症病例需經事前審查核准後依下列規範使用</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99/10/1)</w:t>
      </w:r>
      <w:r>
        <w:rPr>
          <w:rFonts w:ascii="標楷體" w:eastAsia="標楷體" w:hAnsi="標楷體"/>
          <w:color w:val="000000"/>
        </w:rPr>
        <w:t>：</w:t>
      </w:r>
    </w:p>
    <w:p w:rsidR="00203445" w:rsidRDefault="003100F1">
      <w:pPr>
        <w:ind w:left="850"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中樞性早熟</w:t>
      </w:r>
    </w:p>
    <w:p w:rsidR="00203445" w:rsidRDefault="003100F1">
      <w:pPr>
        <w:ind w:left="1133" w:hanging="28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診斷：中樞性早熟（</w:t>
      </w:r>
      <w:r>
        <w:rPr>
          <w:rFonts w:ascii="標楷體" w:eastAsia="標楷體" w:hAnsi="標楷體"/>
          <w:color w:val="000000"/>
        </w:rPr>
        <w:t>central precocious puberty, CPP</w:t>
      </w:r>
      <w:r>
        <w:rPr>
          <w:rFonts w:ascii="標楷體" w:eastAsia="標楷體" w:hAnsi="標楷體"/>
          <w:color w:val="000000"/>
        </w:rPr>
        <w:t>）</w:t>
      </w:r>
      <w:r>
        <w:rPr>
          <w:rFonts w:ascii="標楷體" w:eastAsia="標楷體" w:hAnsi="標楷體"/>
          <w:color w:val="000000"/>
        </w:rPr>
        <w:t>LHRH</w:t>
      </w:r>
      <w:r>
        <w:rPr>
          <w:rFonts w:ascii="標楷體" w:eastAsia="標楷體" w:hAnsi="標楷體"/>
          <w:color w:val="000000"/>
        </w:rPr>
        <w:t>測驗呈</w:t>
      </w:r>
      <w:r>
        <w:rPr>
          <w:rFonts w:ascii="標楷體" w:eastAsia="標楷體" w:hAnsi="標楷體"/>
          <w:color w:val="000000"/>
        </w:rPr>
        <w:t>LH</w:t>
      </w:r>
      <w:r>
        <w:rPr>
          <w:rFonts w:ascii="標楷體" w:eastAsia="標楷體" w:hAnsi="標楷體"/>
          <w:color w:val="000000"/>
        </w:rPr>
        <w:t>反應最高值</w:t>
      </w:r>
      <w:proofErr w:type="gramStart"/>
      <w:r>
        <w:rPr>
          <w:rFonts w:ascii="標楷體" w:eastAsia="標楷體" w:hAnsi="標楷體"/>
          <w:color w:val="000000"/>
        </w:rPr>
        <w:t>≧</w:t>
      </w:r>
      <w:proofErr w:type="gramEnd"/>
      <w:r>
        <w:rPr>
          <w:rFonts w:ascii="標楷體" w:eastAsia="標楷體" w:hAnsi="標楷體"/>
          <w:color w:val="000000"/>
        </w:rPr>
        <w:t xml:space="preserve">10 </w:t>
      </w:r>
      <w:proofErr w:type="spellStart"/>
      <w:r>
        <w:rPr>
          <w:rFonts w:ascii="標楷體" w:eastAsia="標楷體" w:hAnsi="標楷體"/>
          <w:color w:val="000000"/>
        </w:rPr>
        <w:t>mIU</w:t>
      </w:r>
      <w:proofErr w:type="spellEnd"/>
      <w:r>
        <w:rPr>
          <w:rFonts w:ascii="標楷體" w:eastAsia="標楷體" w:hAnsi="標楷體"/>
          <w:color w:val="000000"/>
        </w:rPr>
        <w:t>/mL</w:t>
      </w:r>
      <w:r>
        <w:rPr>
          <w:rFonts w:ascii="標楷體" w:eastAsia="標楷體" w:hAnsi="標楷體"/>
          <w:color w:val="000000"/>
        </w:rPr>
        <w:t>且合併第二性徵。包括特發性</w:t>
      </w:r>
      <w:r>
        <w:rPr>
          <w:rFonts w:ascii="標楷體" w:eastAsia="標楷體" w:hAnsi="標楷體"/>
          <w:color w:val="000000"/>
        </w:rPr>
        <w:t xml:space="preserve">   (Idiopathic CPP, </w:t>
      </w:r>
      <w:r>
        <w:rPr>
          <w:rFonts w:ascii="標楷體" w:eastAsia="標楷體" w:hAnsi="標楷體"/>
          <w:color w:val="000000"/>
        </w:rPr>
        <w:t xml:space="preserve">ICPP) </w:t>
      </w:r>
      <w:r>
        <w:rPr>
          <w:rFonts w:ascii="標楷體" w:eastAsia="標楷體" w:hAnsi="標楷體"/>
          <w:color w:val="000000"/>
        </w:rPr>
        <w:t>和病理性</w:t>
      </w:r>
      <w:r>
        <w:rPr>
          <w:rFonts w:ascii="標楷體" w:eastAsia="標楷體" w:hAnsi="標楷體"/>
          <w:color w:val="000000"/>
        </w:rPr>
        <w:t>(Pathologic CPP, PCPP)</w:t>
      </w:r>
    </w:p>
    <w:p w:rsidR="00203445" w:rsidRDefault="003100F1">
      <w:pPr>
        <w:ind w:left="1133" w:hanging="28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治療條件：</w:t>
      </w:r>
    </w:p>
    <w:p w:rsidR="00203445" w:rsidRDefault="003100F1">
      <w:pPr>
        <w:ind w:left="1416" w:hanging="281"/>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ab/>
      </w:r>
      <w:r>
        <w:rPr>
          <w:rFonts w:ascii="標楷體" w:eastAsia="標楷體" w:hAnsi="標楷體"/>
          <w:color w:val="000000"/>
        </w:rPr>
        <w:t>年齡：開始發育的年齡，女孩</w:t>
      </w:r>
      <w:r>
        <w:rPr>
          <w:rFonts w:ascii="標楷體" w:eastAsia="標楷體" w:hAnsi="標楷體"/>
          <w:color w:val="000000"/>
        </w:rPr>
        <w:t>7</w:t>
      </w:r>
      <w:r>
        <w:rPr>
          <w:rFonts w:ascii="標楷體" w:eastAsia="標楷體" w:hAnsi="標楷體"/>
          <w:color w:val="000000"/>
        </w:rPr>
        <w:t>歲以下，男孩</w:t>
      </w:r>
      <w:r>
        <w:rPr>
          <w:rFonts w:ascii="標楷體" w:eastAsia="標楷體" w:hAnsi="標楷體"/>
          <w:color w:val="000000"/>
        </w:rPr>
        <w:t>8</w:t>
      </w:r>
      <w:proofErr w:type="gramStart"/>
      <w:r>
        <w:rPr>
          <w:rFonts w:ascii="標楷體" w:eastAsia="標楷體" w:hAnsi="標楷體"/>
          <w:color w:val="000000"/>
        </w:rPr>
        <w:t>歲以下</w:t>
      </w:r>
      <w:r>
        <w:rPr>
          <w:rFonts w:ascii="標楷體" w:eastAsia="標楷體" w:hAnsi="標楷體"/>
          <w:color w:val="000000"/>
        </w:rPr>
        <w:t>(</w:t>
      </w:r>
      <w:proofErr w:type="gramEnd"/>
      <w:r>
        <w:rPr>
          <w:rFonts w:ascii="標楷體" w:eastAsia="標楷體" w:hAnsi="標楷體"/>
          <w:color w:val="000000"/>
        </w:rPr>
        <w:t>111/2/1)</w:t>
      </w:r>
      <w:r>
        <w:rPr>
          <w:rFonts w:ascii="標楷體" w:eastAsia="標楷體" w:hAnsi="標楷體"/>
          <w:color w:val="000000"/>
        </w:rPr>
        <w:t>。</w:t>
      </w:r>
    </w:p>
    <w:p w:rsidR="00203445" w:rsidRDefault="003100F1">
      <w:pPr>
        <w:ind w:left="1416" w:hanging="281"/>
        <w:rPr>
          <w:rFonts w:ascii="標楷體" w:eastAsia="標楷體" w:hAnsi="標楷體"/>
          <w:color w:val="000000"/>
        </w:rPr>
      </w:pPr>
      <w:r>
        <w:rPr>
          <w:rFonts w:ascii="標楷體" w:eastAsia="標楷體" w:hAnsi="標楷體"/>
          <w:color w:val="000000"/>
        </w:rPr>
        <w:t>ii.</w:t>
      </w:r>
      <w:proofErr w:type="gramStart"/>
      <w:r>
        <w:rPr>
          <w:rFonts w:ascii="標楷體" w:eastAsia="標楷體" w:hAnsi="標楷體"/>
          <w:color w:val="000000"/>
        </w:rPr>
        <w:t>骨齡加速</w:t>
      </w:r>
      <w:proofErr w:type="gramEnd"/>
      <w:r>
        <w:rPr>
          <w:rFonts w:ascii="標楷體" w:eastAsia="標楷體" w:hAnsi="標楷體"/>
          <w:color w:val="000000"/>
        </w:rPr>
        <w:t>：較年齡至少超前二年。</w:t>
      </w:r>
    </w:p>
    <w:p w:rsidR="00203445" w:rsidRDefault="003100F1">
      <w:pPr>
        <w:ind w:left="1416" w:hanging="281"/>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預估成人身高需兼具下列</w:t>
      </w:r>
      <w:r>
        <w:rPr>
          <w:rFonts w:ascii="標楷體" w:eastAsia="標楷體" w:hAnsi="標楷體"/>
          <w:color w:val="000000"/>
        </w:rPr>
        <w:t>3</w:t>
      </w:r>
      <w:r>
        <w:rPr>
          <w:rFonts w:ascii="標楷體" w:eastAsia="標楷體" w:hAnsi="標楷體"/>
          <w:color w:val="000000"/>
        </w:rPr>
        <w:t>條件：</w:t>
      </w:r>
      <w:r>
        <w:rPr>
          <w:rFonts w:ascii="標楷體" w:eastAsia="標楷體" w:hAnsi="標楷體"/>
          <w:color w:val="000000"/>
        </w:rPr>
        <w:t>(95/4/1)</w:t>
      </w:r>
    </w:p>
    <w:p w:rsidR="00203445" w:rsidRDefault="003100F1">
      <w:pPr>
        <w:ind w:left="1699" w:hanging="281"/>
        <w:rPr>
          <w:rFonts w:ascii="標楷體" w:eastAsia="標楷體" w:hAnsi="標楷體"/>
          <w:color w:val="000000"/>
        </w:rPr>
      </w:pPr>
      <w:r>
        <w:rPr>
          <w:rFonts w:ascii="標楷體" w:eastAsia="標楷體" w:hAnsi="標楷體"/>
          <w:color w:val="000000"/>
        </w:rPr>
        <w:t>a.</w:t>
      </w:r>
      <w:r>
        <w:rPr>
          <w:rFonts w:ascii="標楷體" w:eastAsia="標楷體" w:hAnsi="標楷體"/>
          <w:color w:val="000000"/>
        </w:rPr>
        <w:t>女</w:t>
      </w:r>
      <w:proofErr w:type="gramStart"/>
      <w:r>
        <w:rPr>
          <w:rFonts w:ascii="標楷體" w:eastAsia="標楷體" w:hAnsi="標楷體"/>
          <w:color w:val="000000"/>
        </w:rPr>
        <w:t>≦</w:t>
      </w:r>
      <w:proofErr w:type="gramEnd"/>
      <w:r>
        <w:rPr>
          <w:rFonts w:ascii="標楷體" w:eastAsia="標楷體" w:hAnsi="標楷體"/>
          <w:color w:val="000000"/>
        </w:rPr>
        <w:t>一五三</w:t>
      </w:r>
      <w:proofErr w:type="gramStart"/>
      <w:r>
        <w:rPr>
          <w:rFonts w:ascii="標楷體" w:eastAsia="標楷體" w:hAnsi="標楷體"/>
          <w:color w:val="000000"/>
        </w:rPr>
        <w:t>公分，男</w:t>
      </w:r>
      <w:proofErr w:type="gramEnd"/>
      <w:r>
        <w:rPr>
          <w:rFonts w:ascii="標楷體" w:eastAsia="標楷體" w:hAnsi="標楷體"/>
          <w:color w:val="000000"/>
        </w:rPr>
        <w:t>≦</w:t>
      </w:r>
      <w:r>
        <w:rPr>
          <w:rFonts w:ascii="標楷體" w:eastAsia="標楷體" w:hAnsi="標楷體"/>
          <w:color w:val="000000"/>
        </w:rPr>
        <w:t>一六五公分</w:t>
      </w:r>
    </w:p>
    <w:p w:rsidR="00203445" w:rsidRDefault="003100F1">
      <w:pPr>
        <w:ind w:left="1699" w:hanging="281"/>
        <w:rPr>
          <w:rFonts w:ascii="標楷體" w:eastAsia="標楷體" w:hAnsi="標楷體"/>
          <w:color w:val="000000"/>
        </w:rPr>
      </w:pPr>
      <w:r>
        <w:rPr>
          <w:rFonts w:ascii="標楷體" w:eastAsia="標楷體" w:hAnsi="標楷體"/>
          <w:color w:val="000000"/>
        </w:rPr>
        <w:t>b.</w:t>
      </w:r>
      <w:r>
        <w:rPr>
          <w:rFonts w:ascii="標楷體" w:eastAsia="標楷體" w:hAnsi="標楷體"/>
          <w:color w:val="000000"/>
        </w:rPr>
        <w:t>比標的身高（</w:t>
      </w:r>
      <w:r>
        <w:rPr>
          <w:rFonts w:ascii="標楷體" w:eastAsia="標楷體" w:hAnsi="標楷體"/>
          <w:color w:val="000000"/>
        </w:rPr>
        <w:t>target height</w:t>
      </w:r>
      <w:r>
        <w:rPr>
          <w:rFonts w:ascii="標楷體" w:eastAsia="標楷體" w:hAnsi="標楷體"/>
          <w:color w:val="000000"/>
        </w:rPr>
        <w:t>，</w:t>
      </w:r>
      <w:r>
        <w:rPr>
          <w:rFonts w:ascii="標楷體" w:eastAsia="標楷體" w:hAnsi="標楷體"/>
          <w:color w:val="000000"/>
        </w:rPr>
        <w:t>TH</w:t>
      </w:r>
      <w:r>
        <w:rPr>
          <w:rFonts w:ascii="標楷體" w:eastAsia="標楷體" w:hAnsi="標楷體"/>
          <w:color w:val="000000"/>
        </w:rPr>
        <w:t>）至少相同或較矮；</w:t>
      </w:r>
      <w:r>
        <w:rPr>
          <w:rFonts w:ascii="標楷體" w:eastAsia="標楷體" w:hAnsi="標楷體"/>
          <w:color w:val="000000"/>
        </w:rPr>
        <w:t>TH=</w:t>
      </w:r>
      <w:r>
        <w:rPr>
          <w:rFonts w:ascii="標楷體" w:eastAsia="標楷體" w:hAnsi="標楷體"/>
          <w:color w:val="000000"/>
        </w:rPr>
        <w:t>【父親身高＋母親身高＋</w:t>
      </w:r>
      <w:r>
        <w:rPr>
          <w:rFonts w:ascii="標楷體" w:eastAsia="標楷體" w:hAnsi="標楷體"/>
          <w:color w:val="000000"/>
        </w:rPr>
        <w:t>11</w:t>
      </w:r>
      <w:r>
        <w:rPr>
          <w:rFonts w:ascii="標楷體" w:eastAsia="標楷體" w:hAnsi="標楷體"/>
          <w:color w:val="000000"/>
        </w:rPr>
        <w:t>（男）－</w:t>
      </w:r>
      <w:r>
        <w:rPr>
          <w:rFonts w:ascii="標楷體" w:eastAsia="標楷體" w:hAnsi="標楷體"/>
          <w:color w:val="000000"/>
        </w:rPr>
        <w:t>11</w:t>
      </w:r>
      <w:r>
        <w:rPr>
          <w:rFonts w:ascii="標楷體" w:eastAsia="標楷體" w:hAnsi="標楷體"/>
          <w:color w:val="000000"/>
        </w:rPr>
        <w:t>（女）】</w:t>
      </w:r>
      <w:r>
        <w:rPr>
          <w:rFonts w:ascii="標楷體" w:eastAsia="標楷體" w:hAnsi="標楷體"/>
          <w:color w:val="000000"/>
        </w:rPr>
        <w:t>÷ 2</w:t>
      </w:r>
      <w:r>
        <w:rPr>
          <w:rFonts w:ascii="標楷體" w:eastAsia="標楷體" w:hAnsi="標楷體"/>
          <w:color w:val="000000"/>
        </w:rPr>
        <w:t>。</w:t>
      </w:r>
    </w:p>
    <w:p w:rsidR="00203445" w:rsidRDefault="003100F1">
      <w:pPr>
        <w:ind w:left="1699" w:hanging="281"/>
        <w:rPr>
          <w:rFonts w:ascii="標楷體" w:eastAsia="標楷體" w:hAnsi="標楷體"/>
          <w:color w:val="000000"/>
        </w:rPr>
      </w:pPr>
      <w:r>
        <w:rPr>
          <w:rFonts w:ascii="標楷體" w:eastAsia="標楷體" w:hAnsi="標楷體"/>
          <w:color w:val="000000"/>
        </w:rPr>
        <w:t>c.</w:t>
      </w:r>
      <w:r>
        <w:rPr>
          <w:rFonts w:ascii="標楷體" w:eastAsia="標楷體" w:hAnsi="標楷體"/>
          <w:color w:val="000000"/>
        </w:rPr>
        <w:t>在追蹤六至十二</w:t>
      </w:r>
      <w:proofErr w:type="gramStart"/>
      <w:r>
        <w:rPr>
          <w:rFonts w:ascii="標楷體" w:eastAsia="標楷體" w:hAnsi="標楷體"/>
          <w:color w:val="000000"/>
        </w:rPr>
        <w:t>個</w:t>
      </w:r>
      <w:proofErr w:type="gramEnd"/>
      <w:r>
        <w:rPr>
          <w:rFonts w:ascii="標楷體" w:eastAsia="標楷體" w:hAnsi="標楷體"/>
          <w:color w:val="000000"/>
        </w:rPr>
        <w:t>月</w:t>
      </w:r>
      <w:proofErr w:type="gramStart"/>
      <w:r>
        <w:rPr>
          <w:rFonts w:ascii="標楷體" w:eastAsia="標楷體" w:hAnsi="標楷體"/>
          <w:color w:val="000000"/>
        </w:rPr>
        <w:t>期間，骨</w:t>
      </w:r>
      <w:proofErr w:type="gramEnd"/>
      <w:r>
        <w:rPr>
          <w:rFonts w:ascii="標楷體" w:eastAsia="標楷體" w:hAnsi="標楷體"/>
          <w:color w:val="000000"/>
        </w:rPr>
        <w:t>齡增加與年齡增加比率</w:t>
      </w:r>
      <w:r>
        <w:rPr>
          <w:rFonts w:ascii="標楷體" w:eastAsia="標楷體" w:hAnsi="標楷體"/>
          <w:color w:val="000000"/>
        </w:rPr>
        <w:t>≧2.0</w:t>
      </w:r>
      <w:r>
        <w:rPr>
          <w:rFonts w:ascii="標楷體" w:eastAsia="標楷體" w:hAnsi="標楷體"/>
          <w:color w:val="000000"/>
        </w:rPr>
        <w:t>，且預估身高</w:t>
      </w:r>
      <w:r>
        <w:rPr>
          <w:rFonts w:ascii="標楷體" w:eastAsia="標楷體" w:hAnsi="標楷體"/>
          <w:color w:val="000000"/>
        </w:rPr>
        <w:t xml:space="preserve"> (PAH) </w:t>
      </w:r>
      <w:r>
        <w:rPr>
          <w:rFonts w:ascii="標楷體" w:eastAsia="標楷體" w:hAnsi="標楷體"/>
          <w:color w:val="000000"/>
        </w:rPr>
        <w:t>減少至少五公</w:t>
      </w:r>
      <w:r>
        <w:rPr>
          <w:rFonts w:ascii="標楷體" w:eastAsia="標楷體" w:hAnsi="標楷體"/>
          <w:color w:val="000000"/>
        </w:rPr>
        <w:t>分。</w:t>
      </w:r>
    </w:p>
    <w:p w:rsidR="00203445" w:rsidRDefault="003100F1">
      <w:pPr>
        <w:ind w:left="1416" w:hanging="281"/>
        <w:rPr>
          <w:rFonts w:ascii="標楷體" w:eastAsia="標楷體" w:hAnsi="標楷體"/>
          <w:color w:val="000000"/>
        </w:rPr>
      </w:pPr>
      <w:proofErr w:type="spellStart"/>
      <w:r>
        <w:rPr>
          <w:rFonts w:ascii="標楷體" w:eastAsia="標楷體" w:hAnsi="標楷體"/>
          <w:color w:val="000000"/>
        </w:rPr>
        <w:t>iv.PCPP</w:t>
      </w:r>
      <w:proofErr w:type="spellEnd"/>
      <w:r>
        <w:rPr>
          <w:rFonts w:ascii="標楷體" w:eastAsia="標楷體" w:hAnsi="標楷體"/>
          <w:color w:val="000000"/>
        </w:rPr>
        <w:t>中合併中樞神經疾病者，不受</w:t>
      </w:r>
      <w:r>
        <w:rPr>
          <w:rFonts w:ascii="標楷體" w:eastAsia="標楷體" w:hAnsi="標楷體"/>
          <w:color w:val="000000"/>
        </w:rPr>
        <w:t>ii</w:t>
      </w:r>
      <w:r>
        <w:rPr>
          <w:rFonts w:ascii="標楷體" w:eastAsia="標楷體" w:hAnsi="標楷體"/>
          <w:color w:val="000000"/>
        </w:rPr>
        <w:t>、</w:t>
      </w:r>
      <w:r>
        <w:rPr>
          <w:rFonts w:ascii="標楷體" w:eastAsia="標楷體" w:hAnsi="標楷體"/>
          <w:color w:val="000000"/>
        </w:rPr>
        <w:t>iii</w:t>
      </w:r>
      <w:r>
        <w:rPr>
          <w:rFonts w:ascii="標楷體" w:eastAsia="標楷體" w:hAnsi="標楷體"/>
          <w:color w:val="000000"/>
        </w:rPr>
        <w:t>之限制。</w:t>
      </w:r>
    </w:p>
    <w:p w:rsidR="00203445" w:rsidRDefault="003100F1">
      <w:pPr>
        <w:ind w:left="1176" w:hanging="324"/>
        <w:rPr>
          <w:rFonts w:ascii="標楷體" w:eastAsia="標楷體" w:hAnsi="標楷體"/>
          <w:color w:val="000000"/>
        </w:rPr>
      </w:pPr>
      <w:r>
        <w:rPr>
          <w:rFonts w:ascii="標楷體" w:eastAsia="標楷體" w:hAnsi="標楷體"/>
          <w:color w:val="000000"/>
        </w:rPr>
        <w:t>Ⅲ.</w:t>
      </w:r>
      <w:r>
        <w:rPr>
          <w:rFonts w:ascii="標楷體" w:eastAsia="標楷體" w:hAnsi="標楷體"/>
          <w:color w:val="000000"/>
        </w:rPr>
        <w:t>治療劑量及使用法：</w:t>
      </w:r>
      <w:r>
        <w:rPr>
          <w:rFonts w:ascii="標楷體" w:eastAsia="標楷體" w:hAnsi="標楷體"/>
          <w:color w:val="000000"/>
        </w:rPr>
        <w:t xml:space="preserve">GnRH analogue </w:t>
      </w:r>
      <w:r>
        <w:rPr>
          <w:rFonts w:ascii="標楷體" w:eastAsia="標楷體" w:hAnsi="標楷體"/>
          <w:color w:val="000000"/>
        </w:rPr>
        <w:t>最高</w:t>
      </w:r>
      <w:r>
        <w:rPr>
          <w:rFonts w:ascii="標楷體" w:eastAsia="標楷體" w:hAnsi="標楷體"/>
          <w:color w:val="000000"/>
        </w:rPr>
        <w:t>3.75 mg</w:t>
      </w:r>
      <w:r>
        <w:rPr>
          <w:rFonts w:ascii="標楷體" w:eastAsia="標楷體" w:hAnsi="標楷體"/>
          <w:color w:val="000000"/>
        </w:rPr>
        <w:t>，每三至四</w:t>
      </w:r>
      <w:proofErr w:type="gramStart"/>
      <w:r>
        <w:rPr>
          <w:rFonts w:ascii="標楷體" w:eastAsia="標楷體" w:hAnsi="標楷體"/>
          <w:color w:val="000000"/>
        </w:rPr>
        <w:t>週</w:t>
      </w:r>
      <w:proofErr w:type="gramEnd"/>
      <w:r>
        <w:rPr>
          <w:rFonts w:ascii="標楷體" w:eastAsia="標楷體" w:hAnsi="標楷體"/>
          <w:color w:val="000000"/>
        </w:rPr>
        <w:t>注射一次</w:t>
      </w:r>
      <w:r>
        <w:rPr>
          <w:rFonts w:ascii="標楷體" w:eastAsia="標楷體" w:hAnsi="標楷體"/>
          <w:color w:val="000000"/>
        </w:rPr>
        <w:t xml:space="preserve"> (</w:t>
      </w:r>
      <w:r>
        <w:rPr>
          <w:rFonts w:ascii="標楷體" w:eastAsia="標楷體" w:hAnsi="標楷體"/>
          <w:color w:val="000000"/>
        </w:rPr>
        <w:t>途徑依藥廠規定</w:t>
      </w:r>
      <w:r>
        <w:rPr>
          <w:rFonts w:ascii="標楷體" w:eastAsia="標楷體" w:hAnsi="標楷體"/>
          <w:color w:val="000000"/>
        </w:rPr>
        <w:t>)</w:t>
      </w:r>
    </w:p>
    <w:p w:rsidR="00203445" w:rsidRDefault="003100F1">
      <w:pPr>
        <w:ind w:left="1176" w:hanging="324"/>
        <w:rPr>
          <w:rFonts w:ascii="標楷體" w:eastAsia="標楷體" w:hAnsi="標楷體"/>
          <w:color w:val="000000"/>
        </w:rPr>
      </w:pPr>
      <w:r>
        <w:rPr>
          <w:rFonts w:ascii="標楷體" w:eastAsia="標楷體" w:hAnsi="標楷體"/>
          <w:color w:val="000000"/>
        </w:rPr>
        <w:lastRenderedPageBreak/>
        <w:t>Ⅳ.</w:t>
      </w:r>
      <w:r>
        <w:rPr>
          <w:rFonts w:ascii="標楷體" w:eastAsia="標楷體" w:hAnsi="標楷體"/>
          <w:color w:val="000000"/>
        </w:rPr>
        <w:t>治療監測：身高和體重至少每三</w:t>
      </w:r>
      <w:proofErr w:type="gramStart"/>
      <w:r>
        <w:rPr>
          <w:rFonts w:ascii="標楷體" w:eastAsia="標楷體" w:hAnsi="標楷體"/>
          <w:color w:val="000000"/>
        </w:rPr>
        <w:t>個</w:t>
      </w:r>
      <w:proofErr w:type="gramEnd"/>
      <w:r>
        <w:rPr>
          <w:rFonts w:ascii="標楷體" w:eastAsia="標楷體" w:hAnsi="標楷體"/>
          <w:color w:val="000000"/>
        </w:rPr>
        <w:t>月測量一次，</w:t>
      </w:r>
      <w:proofErr w:type="gramStart"/>
      <w:r>
        <w:rPr>
          <w:rFonts w:ascii="標楷體" w:eastAsia="標楷體" w:hAnsi="標楷體"/>
          <w:color w:val="000000"/>
        </w:rPr>
        <w:t>骨齡至</w:t>
      </w:r>
      <w:proofErr w:type="gramEnd"/>
      <w:r>
        <w:rPr>
          <w:rFonts w:ascii="標楷體" w:eastAsia="標楷體" w:hAnsi="標楷體"/>
          <w:color w:val="000000"/>
        </w:rPr>
        <w:t>少每六至十二個月測定一次。</w:t>
      </w:r>
    </w:p>
    <w:p w:rsidR="00203445" w:rsidRDefault="003100F1">
      <w:pPr>
        <w:ind w:left="1176" w:hanging="324"/>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繼續治療條件：</w:t>
      </w:r>
    </w:p>
    <w:p w:rsidR="00203445" w:rsidRDefault="003100F1">
      <w:pPr>
        <w:ind w:left="1416" w:hanging="281"/>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生長速率</w:t>
      </w:r>
      <w:proofErr w:type="gramStart"/>
      <w:r>
        <w:rPr>
          <w:rFonts w:ascii="標楷體" w:eastAsia="標楷體" w:hAnsi="標楷體"/>
          <w:color w:val="000000"/>
        </w:rPr>
        <w:t>≧</w:t>
      </w:r>
      <w:proofErr w:type="gramEnd"/>
      <w:r>
        <w:rPr>
          <w:rFonts w:ascii="標楷體" w:eastAsia="標楷體" w:hAnsi="標楷體"/>
          <w:color w:val="000000"/>
        </w:rPr>
        <w:t>2</w:t>
      </w:r>
      <w:r>
        <w:rPr>
          <w:rFonts w:ascii="標楷體" w:eastAsia="標楷體" w:hAnsi="標楷體"/>
          <w:color w:val="000000"/>
        </w:rPr>
        <w:t>公分／年，</w:t>
      </w:r>
    </w:p>
    <w:p w:rsidR="00203445" w:rsidRDefault="003100F1">
      <w:pPr>
        <w:ind w:left="1416" w:hanging="281"/>
        <w:rPr>
          <w:rFonts w:ascii="標楷體" w:eastAsia="標楷體" w:hAnsi="標楷體"/>
          <w:color w:val="000000"/>
        </w:rPr>
      </w:pPr>
      <w:r>
        <w:rPr>
          <w:rFonts w:ascii="標楷體" w:eastAsia="標楷體" w:hAnsi="標楷體"/>
          <w:color w:val="000000"/>
        </w:rPr>
        <w:t>ii.</w:t>
      </w:r>
      <w:proofErr w:type="gramStart"/>
      <w:r>
        <w:rPr>
          <w:rFonts w:ascii="標楷體" w:eastAsia="標楷體" w:hAnsi="標楷體"/>
          <w:color w:val="000000"/>
        </w:rPr>
        <w:t>骨齡</w:t>
      </w:r>
      <w:proofErr w:type="gramEnd"/>
      <w:r>
        <w:rPr>
          <w:rFonts w:ascii="標楷體" w:eastAsia="標楷體" w:hAnsi="標楷體"/>
          <w:color w:val="000000"/>
        </w:rPr>
        <w:t>：女</w:t>
      </w:r>
      <w:r>
        <w:rPr>
          <w:rFonts w:ascii="標楷體" w:eastAsia="標楷體" w:hAnsi="標楷體"/>
          <w:color w:val="000000"/>
        </w:rPr>
        <w:t>14</w:t>
      </w:r>
      <w:r>
        <w:rPr>
          <w:rFonts w:ascii="標楷體" w:eastAsia="標楷體" w:hAnsi="標楷體"/>
          <w:color w:val="000000"/>
        </w:rPr>
        <w:t>歲以下，男</w:t>
      </w:r>
      <w:r>
        <w:rPr>
          <w:rFonts w:ascii="標楷體" w:eastAsia="標楷體" w:hAnsi="標楷體"/>
          <w:color w:val="000000"/>
        </w:rPr>
        <w:t>15</w:t>
      </w:r>
      <w:r>
        <w:rPr>
          <w:rFonts w:ascii="標楷體" w:eastAsia="標楷體" w:hAnsi="標楷體"/>
          <w:color w:val="000000"/>
        </w:rPr>
        <w:t>歲以下</w:t>
      </w:r>
      <w:r>
        <w:rPr>
          <w:rFonts w:ascii="標楷體" w:eastAsia="標楷體" w:hAnsi="標楷體"/>
          <w:color w:val="000000"/>
        </w:rPr>
        <w:t>(111/2/1)</w:t>
      </w:r>
      <w:r>
        <w:rPr>
          <w:rFonts w:ascii="標楷體" w:eastAsia="標楷體" w:hAnsi="標楷體"/>
          <w:color w:val="000000"/>
        </w:rPr>
        <w:t>。</w:t>
      </w:r>
    </w:p>
    <w:p w:rsidR="00203445" w:rsidRDefault="003100F1">
      <w:pPr>
        <w:ind w:left="1133" w:hanging="281"/>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使用醫師：限兒科</w:t>
      </w:r>
      <w:proofErr w:type="gramStart"/>
      <w:r>
        <w:rPr>
          <w:rFonts w:ascii="標楷體" w:eastAsia="標楷體" w:hAnsi="標楷體"/>
          <w:color w:val="000000"/>
        </w:rPr>
        <w:t>內分泌學次專科</w:t>
      </w:r>
      <w:proofErr w:type="gramEnd"/>
      <w:r>
        <w:rPr>
          <w:rFonts w:ascii="標楷體" w:eastAsia="標楷體" w:hAnsi="標楷體"/>
          <w:color w:val="000000"/>
        </w:rPr>
        <w:t>、兒科醫學遺傳學及</w:t>
      </w:r>
      <w:proofErr w:type="gramStart"/>
      <w:r>
        <w:rPr>
          <w:rFonts w:ascii="標楷體" w:eastAsia="標楷體" w:hAnsi="標楷體"/>
          <w:color w:val="000000"/>
        </w:rPr>
        <w:t>新陳代謝學次專</w:t>
      </w:r>
      <w:proofErr w:type="gramEnd"/>
      <w:r>
        <w:rPr>
          <w:rFonts w:ascii="標楷體" w:eastAsia="標楷體" w:hAnsi="標楷體"/>
          <w:color w:val="000000"/>
        </w:rPr>
        <w:t>科醫師或新陳代謝專科醫師。</w:t>
      </w:r>
      <w:r>
        <w:rPr>
          <w:rFonts w:ascii="標楷體" w:eastAsia="標楷體" w:hAnsi="標楷體"/>
          <w:color w:val="000000"/>
        </w:rPr>
        <w:t>(110/12/1)</w:t>
      </w:r>
    </w:p>
    <w:p w:rsidR="00203445" w:rsidRDefault="003100F1">
      <w:pPr>
        <w:ind w:left="1133" w:hanging="281"/>
        <w:rPr>
          <w:rFonts w:ascii="標楷體" w:eastAsia="標楷體" w:hAnsi="標楷體"/>
          <w:color w:val="000000"/>
        </w:rPr>
      </w:pPr>
      <w:r>
        <w:rPr>
          <w:rFonts w:ascii="標楷體" w:eastAsia="標楷體" w:hAnsi="標楷體"/>
          <w:color w:val="000000"/>
        </w:rPr>
        <w:t>Ⅶ.</w:t>
      </w:r>
      <w:r>
        <w:rPr>
          <w:rFonts w:ascii="標楷體" w:eastAsia="標楷體" w:hAnsi="標楷體"/>
          <w:color w:val="000000"/>
        </w:rPr>
        <w:t>限地區醫院以上層級之醫院使用</w:t>
      </w:r>
      <w:r>
        <w:rPr>
          <w:rFonts w:ascii="標楷體" w:eastAsia="標楷體" w:hAnsi="標楷體"/>
          <w:color w:val="000000"/>
        </w:rPr>
        <w:t>。</w:t>
      </w:r>
      <w:r>
        <w:rPr>
          <w:rFonts w:ascii="標楷體" w:eastAsia="標楷體" w:hAnsi="標楷體"/>
          <w:color w:val="000000"/>
        </w:rPr>
        <w:t>(110/12/1)</w:t>
      </w:r>
    </w:p>
    <w:p w:rsidR="00203445" w:rsidRDefault="003100F1">
      <w:pPr>
        <w:ind w:left="850" w:hanging="28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停經前（或更年期前）之嚴重乳癌，須完全符合以下二點：</w:t>
      </w:r>
      <w:r>
        <w:rPr>
          <w:rFonts w:ascii="標楷體" w:eastAsia="標楷體" w:hAnsi="標楷體"/>
          <w:color w:val="000000"/>
        </w:rPr>
        <w:t>(86/9/1</w:t>
      </w:r>
      <w:r>
        <w:rPr>
          <w:rFonts w:ascii="標楷體" w:eastAsia="標楷體" w:hAnsi="標楷體"/>
          <w:color w:val="000000"/>
        </w:rPr>
        <w:t>、</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113/6/1)</w:t>
      </w:r>
    </w:p>
    <w:p w:rsidR="00203445" w:rsidRDefault="003100F1">
      <w:pPr>
        <w:ind w:left="1217" w:hanging="365"/>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荷爾蒙接受體陽性。</w:t>
      </w:r>
    </w:p>
    <w:p w:rsidR="00203445" w:rsidRDefault="003100F1">
      <w:pPr>
        <w:ind w:left="1217" w:hanging="365"/>
      </w:pPr>
      <w:r>
        <w:rPr>
          <w:rFonts w:ascii="標楷體" w:eastAsia="標楷體" w:hAnsi="標楷體"/>
          <w:color w:val="000000"/>
        </w:rPr>
        <w:t>Ⅱ.</w:t>
      </w:r>
      <w:r>
        <w:rPr>
          <w:rFonts w:ascii="標楷體" w:eastAsia="標楷體" w:hAnsi="標楷體"/>
          <w:sz w:val="28"/>
          <w:szCs w:val="28"/>
        </w:rPr>
        <w:t xml:space="preserve"> </w:t>
      </w:r>
      <w:r>
        <w:rPr>
          <w:rFonts w:ascii="標楷體" w:eastAsia="標楷體" w:hAnsi="標楷體"/>
          <w:color w:val="000000"/>
        </w:rPr>
        <w:t>停經前婦女有轉移性乳癌者。</w:t>
      </w:r>
      <w:r>
        <w:rPr>
          <w:rFonts w:ascii="標楷體" w:eastAsia="標楷體" w:hAnsi="標楷體"/>
          <w:color w:val="000000"/>
        </w:rPr>
        <w:t>(86/9/1</w:t>
      </w:r>
      <w:r>
        <w:rPr>
          <w:rFonts w:ascii="標楷體" w:eastAsia="標楷體" w:hAnsi="標楷體"/>
          <w:color w:val="000000"/>
        </w:rPr>
        <w:t>、</w:t>
      </w:r>
      <w:r>
        <w:rPr>
          <w:rFonts w:ascii="標楷體" w:eastAsia="標楷體" w:hAnsi="標楷體"/>
          <w:color w:val="000000"/>
        </w:rPr>
        <w:t>99/2/1</w:t>
      </w:r>
      <w:r>
        <w:rPr>
          <w:rFonts w:ascii="標楷體" w:eastAsia="標楷體" w:hAnsi="標楷體"/>
          <w:color w:val="000000"/>
        </w:rPr>
        <w:t>、</w:t>
      </w:r>
      <w:r>
        <w:rPr>
          <w:rFonts w:ascii="標楷體" w:eastAsia="標楷體" w:hAnsi="標楷體"/>
          <w:color w:val="000000"/>
        </w:rPr>
        <w:t>113/6/1)</w:t>
      </w:r>
    </w:p>
    <w:p w:rsidR="00203445" w:rsidRDefault="003100F1">
      <w:pPr>
        <w:ind w:left="850" w:hanging="28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停經前</w:t>
      </w:r>
      <w:r>
        <w:rPr>
          <w:rFonts w:ascii="標楷體" w:eastAsia="標楷體" w:hAnsi="標楷體"/>
          <w:color w:val="000000"/>
        </w:rPr>
        <w:t>(</w:t>
      </w:r>
      <w:r>
        <w:rPr>
          <w:rFonts w:ascii="標楷體" w:eastAsia="標楷體" w:hAnsi="標楷體"/>
          <w:color w:val="000000"/>
        </w:rPr>
        <w:t>或更年期前</w:t>
      </w:r>
      <w:r>
        <w:rPr>
          <w:rFonts w:ascii="標楷體" w:eastAsia="標楷體" w:hAnsi="標楷體"/>
          <w:color w:val="000000"/>
        </w:rPr>
        <w:t>)</w:t>
      </w:r>
      <w:r>
        <w:rPr>
          <w:rFonts w:ascii="標楷體" w:eastAsia="標楷體" w:hAnsi="標楷體"/>
          <w:color w:val="000000"/>
        </w:rPr>
        <w:t>之早期乳癌，且須完全符合以下六點：</w:t>
      </w:r>
      <w:r>
        <w:rPr>
          <w:rFonts w:ascii="標楷體" w:eastAsia="標楷體" w:hAnsi="標楷體"/>
          <w:color w:val="000000"/>
        </w:rPr>
        <w:t>(100/2/1</w:t>
      </w:r>
      <w:r>
        <w:rPr>
          <w:rFonts w:ascii="標楷體" w:eastAsia="標楷體" w:hAnsi="標楷體"/>
          <w:color w:val="000000"/>
        </w:rPr>
        <w:t>、</w:t>
      </w:r>
      <w:r>
        <w:rPr>
          <w:rFonts w:ascii="標楷體" w:eastAsia="標楷體" w:hAnsi="標楷體"/>
          <w:color w:val="000000"/>
        </w:rPr>
        <w:t>106/2/1</w:t>
      </w:r>
      <w:r>
        <w:rPr>
          <w:rFonts w:ascii="標楷體" w:eastAsia="標楷體" w:hAnsi="標楷體"/>
          <w:color w:val="000000"/>
        </w:rPr>
        <w:t>、</w:t>
      </w:r>
      <w:r>
        <w:rPr>
          <w:rFonts w:ascii="標楷體" w:eastAsia="標楷體" w:hAnsi="標楷體"/>
          <w:color w:val="000000"/>
        </w:rPr>
        <w:t>109/2/1)</w:t>
      </w:r>
    </w:p>
    <w:p w:rsidR="00203445" w:rsidRDefault="003100F1">
      <w:pPr>
        <w:ind w:left="1133" w:hanging="28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與</w:t>
      </w:r>
      <w:r>
        <w:rPr>
          <w:rFonts w:ascii="標楷體" w:eastAsia="標楷體" w:hAnsi="標楷體"/>
          <w:color w:val="000000"/>
        </w:rPr>
        <w:t>tamoxifen</w:t>
      </w:r>
      <w:r>
        <w:rPr>
          <w:rFonts w:ascii="標楷體" w:eastAsia="標楷體" w:hAnsi="標楷體"/>
          <w:color w:val="000000"/>
        </w:rPr>
        <w:t>合併使用，作為手術後取代化學治療之輔助療法。</w:t>
      </w:r>
    </w:p>
    <w:p w:rsidR="00203445" w:rsidRDefault="003100F1">
      <w:pPr>
        <w:ind w:left="1133" w:hanging="28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荷爾蒙接受體為強陽性：</w:t>
      </w:r>
      <w:r>
        <w:rPr>
          <w:rFonts w:ascii="標楷體" w:eastAsia="標楷體" w:hAnsi="標楷體"/>
          <w:color w:val="000000"/>
        </w:rPr>
        <w:t>ER/PR</w:t>
      </w:r>
      <w:r>
        <w:rPr>
          <w:rFonts w:ascii="標楷體" w:eastAsia="標楷體" w:hAnsi="標楷體"/>
          <w:color w:val="000000"/>
        </w:rPr>
        <w:t>為</w:t>
      </w:r>
      <w:r>
        <w:rPr>
          <w:rFonts w:ascii="標楷體" w:eastAsia="標楷體" w:hAnsi="標楷體"/>
          <w:color w:val="000000"/>
        </w:rPr>
        <w:t>2+</w:t>
      </w:r>
      <w:r>
        <w:rPr>
          <w:rFonts w:ascii="標楷體" w:eastAsia="標楷體" w:hAnsi="標楷體"/>
          <w:color w:val="000000"/>
        </w:rPr>
        <w:t>或</w:t>
      </w:r>
      <w:r>
        <w:rPr>
          <w:rFonts w:ascii="標楷體" w:eastAsia="標楷體" w:hAnsi="標楷體"/>
          <w:color w:val="000000"/>
        </w:rPr>
        <w:t>3+</w:t>
      </w:r>
      <w:r>
        <w:rPr>
          <w:rFonts w:ascii="標楷體" w:eastAsia="標楷體" w:hAnsi="標楷體"/>
          <w:color w:val="000000"/>
        </w:rPr>
        <w:t>。</w:t>
      </w:r>
    </w:p>
    <w:p w:rsidR="00203445" w:rsidRDefault="003100F1">
      <w:pPr>
        <w:ind w:left="1133" w:hanging="281"/>
        <w:rPr>
          <w:rFonts w:ascii="標楷體" w:eastAsia="標楷體" w:hAnsi="標楷體"/>
          <w:color w:val="000000"/>
        </w:rPr>
      </w:pPr>
      <w:r>
        <w:rPr>
          <w:rFonts w:ascii="標楷體" w:eastAsia="標楷體" w:hAnsi="標楷體"/>
          <w:color w:val="000000"/>
        </w:rPr>
        <w:t xml:space="preserve">Ⅲ.Her-2 </w:t>
      </w:r>
      <w:r>
        <w:rPr>
          <w:rFonts w:ascii="標楷體" w:eastAsia="標楷體" w:hAnsi="標楷體"/>
          <w:color w:val="000000"/>
        </w:rPr>
        <w:t>Fish</w:t>
      </w:r>
      <w:r>
        <w:rPr>
          <w:rFonts w:ascii="標楷體" w:eastAsia="標楷體" w:hAnsi="標楷體"/>
          <w:color w:val="000000"/>
        </w:rPr>
        <w:t>檢測為陰性或</w:t>
      </w:r>
      <w:r>
        <w:rPr>
          <w:rFonts w:ascii="標楷體" w:eastAsia="標楷體" w:hAnsi="標楷體"/>
          <w:color w:val="000000"/>
        </w:rPr>
        <w:t>IHC</w:t>
      </w:r>
      <w:r>
        <w:rPr>
          <w:rFonts w:ascii="標楷體" w:eastAsia="標楷體" w:hAnsi="標楷體"/>
          <w:color w:val="000000"/>
        </w:rPr>
        <w:t>為</w:t>
      </w:r>
      <w:r>
        <w:rPr>
          <w:rFonts w:ascii="標楷體" w:eastAsia="標楷體" w:hAnsi="標楷體"/>
          <w:color w:val="000000"/>
        </w:rPr>
        <w:t>1+</w:t>
      </w:r>
      <w:r>
        <w:rPr>
          <w:rFonts w:ascii="標楷體" w:eastAsia="標楷體" w:hAnsi="標楷體"/>
          <w:color w:val="000000"/>
        </w:rPr>
        <w:t>。</w:t>
      </w:r>
    </w:p>
    <w:p w:rsidR="00203445" w:rsidRDefault="003100F1">
      <w:pPr>
        <w:ind w:left="1133" w:hanging="281"/>
        <w:rPr>
          <w:rFonts w:ascii="標楷體" w:eastAsia="標楷體" w:hAnsi="標楷體"/>
          <w:color w:val="000000"/>
        </w:rPr>
      </w:pPr>
      <w:r>
        <w:rPr>
          <w:rFonts w:ascii="標楷體" w:eastAsia="標楷體" w:hAnsi="標楷體"/>
          <w:color w:val="000000"/>
        </w:rPr>
        <w:t>Ⅳ.</w:t>
      </w:r>
      <w:r>
        <w:rPr>
          <w:rFonts w:ascii="標楷體" w:eastAsia="標楷體" w:hAnsi="標楷體"/>
          <w:color w:val="000000"/>
        </w:rPr>
        <w:t>淋巴結轉移數目須</w:t>
      </w:r>
      <w:proofErr w:type="gramStart"/>
      <w:r>
        <w:rPr>
          <w:rFonts w:ascii="標楷體" w:eastAsia="標楷體" w:hAnsi="標楷體"/>
          <w:color w:val="000000"/>
        </w:rPr>
        <w:t>≦</w:t>
      </w:r>
      <w:proofErr w:type="gramEnd"/>
      <w:r>
        <w:rPr>
          <w:rFonts w:ascii="標楷體" w:eastAsia="標楷體" w:hAnsi="標楷體"/>
          <w:color w:val="000000"/>
        </w:rPr>
        <w:t>3</w:t>
      </w:r>
      <w:r>
        <w:rPr>
          <w:rFonts w:ascii="標楷體" w:eastAsia="標楷體" w:hAnsi="標楷體"/>
          <w:color w:val="000000"/>
        </w:rPr>
        <w:t>個。</w:t>
      </w:r>
    </w:p>
    <w:p w:rsidR="00203445" w:rsidRDefault="003100F1">
      <w:pPr>
        <w:ind w:left="1133" w:hanging="281"/>
        <w:rPr>
          <w:rFonts w:ascii="標楷體" w:eastAsia="標楷體" w:hAnsi="標楷體"/>
          <w:color w:val="000000"/>
        </w:rPr>
      </w:pPr>
      <w:r>
        <w:rPr>
          <w:rFonts w:ascii="標楷體" w:eastAsia="標楷體" w:hAnsi="標楷體"/>
          <w:color w:val="000000"/>
        </w:rPr>
        <w:t>Ⅴ.</w:t>
      </w:r>
      <w:r>
        <w:rPr>
          <w:rFonts w:ascii="標楷體" w:eastAsia="標楷體" w:hAnsi="標楷體"/>
          <w:color w:val="000000"/>
        </w:rPr>
        <w:t>使用期限：</w:t>
      </w:r>
      <w:r>
        <w:rPr>
          <w:rFonts w:ascii="標楷體" w:eastAsia="標楷體" w:hAnsi="標楷體"/>
          <w:color w:val="000000"/>
        </w:rPr>
        <w:t>leuprorelin</w:t>
      </w:r>
      <w:r>
        <w:rPr>
          <w:rFonts w:ascii="標楷體" w:eastAsia="標楷體" w:hAnsi="標楷體"/>
          <w:color w:val="000000"/>
        </w:rPr>
        <w:t>、</w:t>
      </w:r>
      <w:proofErr w:type="spellStart"/>
      <w:r>
        <w:rPr>
          <w:rFonts w:ascii="標楷體" w:eastAsia="標楷體" w:hAnsi="標楷體"/>
          <w:color w:val="000000"/>
        </w:rPr>
        <w:t>goserelin</w:t>
      </w:r>
      <w:proofErr w:type="spellEnd"/>
      <w:r>
        <w:rPr>
          <w:rFonts w:ascii="標楷體" w:eastAsia="標楷體" w:hAnsi="標楷體"/>
          <w:color w:val="000000"/>
        </w:rPr>
        <w:t>或</w:t>
      </w:r>
      <w:r>
        <w:rPr>
          <w:rFonts w:ascii="標楷體" w:eastAsia="標楷體" w:hAnsi="標楷體"/>
          <w:color w:val="000000"/>
        </w:rPr>
        <w:t>triptorelin</w:t>
      </w:r>
      <w:r>
        <w:rPr>
          <w:rFonts w:ascii="標楷體" w:eastAsia="標楷體" w:hAnsi="標楷體"/>
          <w:color w:val="000000"/>
        </w:rPr>
        <w:t>使用</w:t>
      </w:r>
      <w:r>
        <w:rPr>
          <w:rFonts w:ascii="標楷體" w:eastAsia="標楷體" w:hAnsi="標楷體"/>
          <w:color w:val="000000"/>
        </w:rPr>
        <w:t>3</w:t>
      </w:r>
      <w:r>
        <w:rPr>
          <w:rFonts w:ascii="標楷體" w:eastAsia="標楷體" w:hAnsi="標楷體"/>
          <w:color w:val="000000"/>
        </w:rPr>
        <w:t>年，</w:t>
      </w:r>
      <w:r>
        <w:rPr>
          <w:rFonts w:ascii="標楷體" w:eastAsia="標楷體" w:hAnsi="標楷體"/>
          <w:color w:val="000000"/>
        </w:rPr>
        <w:t>tamoxifen</w:t>
      </w:r>
      <w:r>
        <w:rPr>
          <w:rFonts w:ascii="標楷體" w:eastAsia="標楷體" w:hAnsi="標楷體"/>
          <w:color w:val="000000"/>
        </w:rPr>
        <w:t>使用</w:t>
      </w:r>
      <w:r>
        <w:rPr>
          <w:rFonts w:ascii="標楷體" w:eastAsia="標楷體" w:hAnsi="標楷體"/>
          <w:color w:val="000000"/>
        </w:rPr>
        <w:t>5</w:t>
      </w:r>
      <w:r>
        <w:rPr>
          <w:rFonts w:ascii="標楷體" w:eastAsia="標楷體" w:hAnsi="標楷體"/>
          <w:color w:val="000000"/>
        </w:rPr>
        <w:t>年。</w:t>
      </w:r>
      <w:r>
        <w:rPr>
          <w:rFonts w:ascii="標楷體" w:eastAsia="標楷體" w:hAnsi="標楷體"/>
          <w:color w:val="000000"/>
        </w:rPr>
        <w:t>(106/2/1</w:t>
      </w:r>
      <w:r>
        <w:rPr>
          <w:rFonts w:ascii="標楷體" w:eastAsia="標楷體" w:hAnsi="標楷體"/>
          <w:color w:val="000000"/>
        </w:rPr>
        <w:t>、</w:t>
      </w:r>
      <w:r>
        <w:rPr>
          <w:rFonts w:ascii="標楷體" w:eastAsia="標楷體" w:hAnsi="標楷體"/>
          <w:color w:val="000000"/>
        </w:rPr>
        <w:t>109/2/1)</w:t>
      </w:r>
    </w:p>
    <w:p w:rsidR="00203445" w:rsidRDefault="003100F1">
      <w:pPr>
        <w:ind w:left="1133" w:hanging="281"/>
        <w:rPr>
          <w:rFonts w:ascii="標楷體" w:eastAsia="標楷體" w:hAnsi="標楷體"/>
          <w:color w:val="000000"/>
        </w:rPr>
      </w:pPr>
      <w:r>
        <w:rPr>
          <w:rFonts w:ascii="標楷體" w:eastAsia="標楷體" w:hAnsi="標楷體"/>
          <w:color w:val="000000"/>
        </w:rPr>
        <w:t>Ⅵ.</w:t>
      </w:r>
      <w:r>
        <w:rPr>
          <w:rFonts w:ascii="標楷體" w:eastAsia="標楷體" w:hAnsi="標楷體"/>
          <w:color w:val="000000"/>
        </w:rPr>
        <w:t>須事前審查，並於申請時說明無法接受化學治療之原因。</w:t>
      </w:r>
    </w:p>
    <w:p w:rsidR="00203445" w:rsidRDefault="003100F1">
      <w:pPr>
        <w:ind w:left="850" w:hanging="281"/>
        <w:rPr>
          <w:rFonts w:ascii="標楷體" w:eastAsia="標楷體" w:hAnsi="標楷體"/>
          <w:color w:val="000000"/>
        </w:rPr>
      </w:pPr>
      <w:r>
        <w:rPr>
          <w:rFonts w:ascii="標楷體" w:eastAsia="標楷體" w:hAnsi="標楷體"/>
          <w:color w:val="000000"/>
        </w:rPr>
        <w:t>(4)</w:t>
      </w:r>
      <w:proofErr w:type="gramStart"/>
      <w:r>
        <w:rPr>
          <w:rFonts w:ascii="標楷體" w:eastAsia="標楷體" w:hAnsi="標楷體"/>
          <w:color w:val="000000"/>
        </w:rPr>
        <w:t>本品使用</w:t>
      </w:r>
      <w:proofErr w:type="gramEnd"/>
      <w:r>
        <w:rPr>
          <w:rFonts w:ascii="標楷體" w:eastAsia="標楷體" w:hAnsi="標楷體"/>
          <w:color w:val="000000"/>
        </w:rPr>
        <w:t>於子宮內膜異位症之規定：（</w:t>
      </w:r>
      <w:r>
        <w:rPr>
          <w:rFonts w:ascii="標楷體" w:eastAsia="標楷體" w:hAnsi="標楷體"/>
          <w:color w:val="000000"/>
        </w:rPr>
        <w:t>87/10/1</w:t>
      </w:r>
      <w:r>
        <w:rPr>
          <w:rFonts w:ascii="標楷體" w:eastAsia="標楷體" w:hAnsi="標楷體"/>
          <w:color w:val="000000"/>
        </w:rPr>
        <w:t>、</w:t>
      </w:r>
      <w:r>
        <w:rPr>
          <w:rFonts w:ascii="標楷體" w:eastAsia="標楷體" w:hAnsi="標楷體"/>
          <w:color w:val="000000"/>
        </w:rPr>
        <w:t>98/5/1</w:t>
      </w:r>
      <w:r>
        <w:rPr>
          <w:rFonts w:ascii="標楷體" w:eastAsia="標楷體" w:hAnsi="標楷體"/>
          <w:color w:val="000000"/>
        </w:rPr>
        <w:t>）</w:t>
      </w:r>
    </w:p>
    <w:p w:rsidR="00203445" w:rsidRDefault="003100F1">
      <w:pPr>
        <w:ind w:left="1133" w:hanging="28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經客觀診斷之第二期</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以上子宮內膜異位症</w:t>
      </w:r>
      <w:r>
        <w:rPr>
          <w:rFonts w:ascii="標楷體" w:eastAsia="標楷體" w:hAnsi="標楷體"/>
          <w:color w:val="000000"/>
        </w:rPr>
        <w:t xml:space="preserve"> </w:t>
      </w:r>
      <w:r>
        <w:rPr>
          <w:rFonts w:ascii="標楷體" w:eastAsia="標楷體" w:hAnsi="標楷體"/>
          <w:color w:val="000000"/>
        </w:rPr>
        <w:t>(AFS</w:t>
      </w:r>
      <w:r>
        <w:rPr>
          <w:rFonts w:ascii="標楷體" w:eastAsia="標楷體" w:hAnsi="標楷體"/>
          <w:color w:val="000000"/>
        </w:rPr>
        <w:t>修訂之評分標準（以下簡稱</w:t>
      </w:r>
      <w:proofErr w:type="spellStart"/>
      <w:r>
        <w:rPr>
          <w:rFonts w:ascii="標楷體" w:eastAsia="標楷體" w:hAnsi="標楷體"/>
          <w:color w:val="000000"/>
        </w:rPr>
        <w:t>rAFS</w:t>
      </w:r>
      <w:proofErr w:type="spellEnd"/>
      <w:r>
        <w:rPr>
          <w:rFonts w:ascii="標楷體" w:eastAsia="標楷體" w:hAnsi="標楷體"/>
          <w:color w:val="000000"/>
        </w:rPr>
        <w:t>），需附手術紀錄及病理報告證明</w:t>
      </w:r>
      <w:r>
        <w:rPr>
          <w:rFonts w:ascii="標楷體" w:eastAsia="標楷體" w:hAnsi="標楷體"/>
          <w:color w:val="000000"/>
        </w:rPr>
        <w:t>)</w:t>
      </w:r>
      <w:r>
        <w:rPr>
          <w:rFonts w:ascii="標楷體" w:eastAsia="標楷體" w:hAnsi="標楷體"/>
          <w:color w:val="000000"/>
        </w:rPr>
        <w:t>；且符合下列各項條件之</w:t>
      </w:r>
      <w:proofErr w:type="gramStart"/>
      <w:r>
        <w:rPr>
          <w:rFonts w:ascii="標楷體" w:eastAsia="標楷體" w:hAnsi="標楷體"/>
          <w:color w:val="000000"/>
        </w:rPr>
        <w:t>一</w:t>
      </w:r>
      <w:proofErr w:type="gramEnd"/>
      <w:r>
        <w:rPr>
          <w:rFonts w:ascii="標楷體" w:eastAsia="標楷體" w:hAnsi="標楷體"/>
          <w:color w:val="000000"/>
        </w:rPr>
        <w:t>者，需經事前審查核准後使用</w:t>
      </w:r>
      <w:r>
        <w:rPr>
          <w:rFonts w:ascii="標楷體" w:eastAsia="標楷體" w:hAnsi="標楷體"/>
          <w:color w:val="000000"/>
        </w:rPr>
        <w:t>GnRH analogue</w:t>
      </w:r>
      <w:r>
        <w:rPr>
          <w:rFonts w:ascii="標楷體" w:eastAsia="標楷體" w:hAnsi="標楷體"/>
          <w:color w:val="000000"/>
        </w:rPr>
        <w:t>。</w:t>
      </w:r>
    </w:p>
    <w:p w:rsidR="00203445" w:rsidRDefault="003100F1">
      <w:pPr>
        <w:ind w:left="1275" w:hanging="281"/>
        <w:rPr>
          <w:rFonts w:ascii="標楷體" w:eastAsia="標楷體" w:hAnsi="標楷體"/>
          <w:color w:val="000000"/>
        </w:rPr>
      </w:pPr>
      <w:proofErr w:type="spellStart"/>
      <w:r>
        <w:rPr>
          <w:rFonts w:ascii="標楷體" w:eastAsia="標楷體" w:hAnsi="標楷體"/>
          <w:color w:val="000000"/>
        </w:rPr>
        <w:t>i</w:t>
      </w:r>
      <w:proofErr w:type="spellEnd"/>
      <w:r>
        <w:rPr>
          <w:rFonts w:ascii="標楷體" w:eastAsia="標楷體" w:hAnsi="標楷體"/>
          <w:color w:val="000000"/>
        </w:rPr>
        <w:t>.</w:t>
      </w:r>
      <w:r>
        <w:rPr>
          <w:rFonts w:ascii="標楷體" w:eastAsia="標楷體" w:hAnsi="標楷體"/>
          <w:color w:val="000000"/>
        </w:rPr>
        <w:t>肝機能不全（</w:t>
      </w:r>
      <w:r>
        <w:rPr>
          <w:rFonts w:ascii="標楷體" w:eastAsia="標楷體" w:hAnsi="標楷體"/>
          <w:color w:val="000000"/>
        </w:rPr>
        <w:t>ALT</w:t>
      </w:r>
      <w:r>
        <w:rPr>
          <w:rFonts w:ascii="標楷體" w:eastAsia="標楷體" w:hAnsi="標楷體"/>
          <w:color w:val="000000"/>
        </w:rPr>
        <w:t>或</w:t>
      </w:r>
      <w:r>
        <w:rPr>
          <w:rFonts w:ascii="標楷體" w:eastAsia="標楷體" w:hAnsi="標楷體"/>
          <w:color w:val="000000"/>
        </w:rPr>
        <w:t>AST</w:t>
      </w:r>
      <w:r>
        <w:rPr>
          <w:rFonts w:ascii="標楷體" w:eastAsia="標楷體" w:hAnsi="標楷體"/>
          <w:color w:val="000000"/>
        </w:rPr>
        <w:t>大於正常值三倍）、腎功能不全（</w:t>
      </w:r>
      <w:r>
        <w:rPr>
          <w:rFonts w:ascii="標楷體" w:eastAsia="標楷體" w:hAnsi="標楷體"/>
          <w:color w:val="000000"/>
        </w:rPr>
        <w:t>creatinine &gt; 2 mg %</w:t>
      </w:r>
      <w:r>
        <w:rPr>
          <w:rFonts w:ascii="標楷體" w:eastAsia="標楷體" w:hAnsi="標楷體"/>
          <w:color w:val="000000"/>
        </w:rPr>
        <w:t>）、鬱血性心臟病，不適用各種荷爾蒙藥物治療者。</w:t>
      </w:r>
    </w:p>
    <w:p w:rsidR="00203445" w:rsidRDefault="003100F1">
      <w:pPr>
        <w:ind w:left="1275" w:hanging="281"/>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曾使用各種荷爾蒙藥物治療，引起藥物過敏或不可逆之藥物不良反應者。</w:t>
      </w:r>
    </w:p>
    <w:p w:rsidR="00203445" w:rsidRDefault="003100F1">
      <w:pPr>
        <w:ind w:left="1231" w:hanging="379"/>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前項藥物治療以連續六個月為上限。</w:t>
      </w:r>
    </w:p>
    <w:p w:rsidR="00203445" w:rsidRDefault="003100F1">
      <w:pPr>
        <w:ind w:left="283"/>
        <w:rPr>
          <w:rFonts w:ascii="標楷體" w:eastAsia="標楷體" w:hAnsi="標楷體"/>
          <w:color w:val="000000"/>
        </w:rPr>
      </w:pPr>
      <w:r>
        <w:rPr>
          <w:rFonts w:ascii="標楷體" w:eastAsia="標楷體" w:hAnsi="標楷體"/>
          <w:color w:val="000000"/>
        </w:rPr>
        <w:t>5.5.1.1.Degarelix</w:t>
      </w:r>
      <w:r>
        <w:rPr>
          <w:rFonts w:ascii="標楷體" w:eastAsia="標楷體" w:hAnsi="標楷體"/>
          <w:color w:val="000000"/>
        </w:rPr>
        <w:t>（如</w:t>
      </w:r>
      <w:proofErr w:type="spellStart"/>
      <w:r>
        <w:rPr>
          <w:rFonts w:ascii="標楷體" w:eastAsia="標楷體" w:hAnsi="標楷體"/>
          <w:color w:val="000000"/>
        </w:rPr>
        <w:t>Firmagon</w:t>
      </w:r>
      <w:proofErr w:type="spellEnd"/>
      <w:r>
        <w:rPr>
          <w:rFonts w:ascii="標楷體" w:eastAsia="標楷體" w:hAnsi="標楷體"/>
          <w:color w:val="000000"/>
        </w:rPr>
        <w:t>）：（</w:t>
      </w:r>
      <w:r>
        <w:rPr>
          <w:rFonts w:ascii="標楷體" w:eastAsia="標楷體" w:hAnsi="標楷體"/>
          <w:color w:val="000000"/>
        </w:rPr>
        <w:t>103/9/1</w:t>
      </w:r>
      <w:r>
        <w:rPr>
          <w:rFonts w:ascii="標楷體" w:eastAsia="標楷體" w:hAnsi="標楷體"/>
          <w:color w:val="000000"/>
        </w:rPr>
        <w:t>）</w:t>
      </w:r>
      <w:r>
        <w:rPr>
          <w:rFonts w:ascii="標楷體" w:eastAsia="標楷體" w:hAnsi="標楷體"/>
          <w:color w:val="000000"/>
        </w:rPr>
        <w:t xml:space="preserve"> </w:t>
      </w:r>
    </w:p>
    <w:p w:rsidR="00203445" w:rsidRDefault="003100F1">
      <w:pPr>
        <w:ind w:left="989" w:hanging="139"/>
        <w:rPr>
          <w:rFonts w:ascii="標楷體" w:eastAsia="標楷體" w:hAnsi="標楷體"/>
          <w:color w:val="000000"/>
        </w:rPr>
      </w:pPr>
      <w:r>
        <w:rPr>
          <w:rFonts w:ascii="標楷體" w:eastAsia="標楷體" w:hAnsi="標楷體"/>
          <w:color w:val="000000"/>
        </w:rPr>
        <w:t>限用於成年男性晚期荷爾蒙</w:t>
      </w:r>
      <w:r>
        <w:rPr>
          <w:rFonts w:ascii="標楷體" w:eastAsia="標楷體" w:hAnsi="標楷體"/>
          <w:color w:val="000000"/>
        </w:rPr>
        <w:t>依賴型前列腺癌患者。</w:t>
      </w:r>
    </w:p>
    <w:p w:rsidR="00203445" w:rsidRDefault="003100F1">
      <w:pPr>
        <w:ind w:left="672" w:hanging="386"/>
        <w:rPr>
          <w:rFonts w:ascii="標楷體" w:eastAsia="標楷體" w:hAnsi="標楷體"/>
          <w:color w:val="000000"/>
        </w:rPr>
      </w:pPr>
      <w:r>
        <w:rPr>
          <w:rFonts w:ascii="標楷體" w:eastAsia="標楷體" w:hAnsi="標楷體"/>
          <w:color w:val="000000"/>
        </w:rPr>
        <w:t>5.5.2.</w:t>
      </w:r>
      <w:r>
        <w:rPr>
          <w:rFonts w:ascii="標楷體" w:eastAsia="標楷體" w:hAnsi="標楷體"/>
          <w:color w:val="000000"/>
        </w:rPr>
        <w:t>抑鈣激素製劑</w:t>
      </w:r>
      <w:r>
        <w:rPr>
          <w:rFonts w:ascii="標楷體" w:eastAsia="標楷體" w:hAnsi="標楷體"/>
          <w:color w:val="000000"/>
        </w:rPr>
        <w:t xml:space="preserve"> (Salmon calcitonin injection)</w:t>
      </w:r>
    </w:p>
    <w:p w:rsidR="00203445" w:rsidRDefault="003100F1">
      <w:pPr>
        <w:ind w:left="798" w:hanging="1"/>
        <w:rPr>
          <w:rFonts w:ascii="標楷體" w:eastAsia="標楷體" w:hAnsi="標楷體"/>
          <w:color w:val="000000"/>
        </w:rPr>
      </w:pPr>
      <w:r>
        <w:rPr>
          <w:rFonts w:ascii="標楷體" w:eastAsia="標楷體" w:hAnsi="標楷體"/>
          <w:color w:val="000000"/>
        </w:rPr>
        <w:t>用於惡性疾病之高</w:t>
      </w:r>
      <w:proofErr w:type="gramStart"/>
      <w:r>
        <w:rPr>
          <w:rFonts w:ascii="標楷體" w:eastAsia="標楷體" w:hAnsi="標楷體"/>
          <w:color w:val="000000"/>
        </w:rPr>
        <w:t>血鈣症或</w:t>
      </w:r>
      <w:proofErr w:type="gramEnd"/>
      <w:r>
        <w:rPr>
          <w:rFonts w:ascii="標楷體" w:eastAsia="標楷體" w:hAnsi="標楷體"/>
          <w:color w:val="000000"/>
        </w:rPr>
        <w:t>變形</w:t>
      </w:r>
      <w:proofErr w:type="gramStart"/>
      <w:r>
        <w:rPr>
          <w:rFonts w:ascii="標楷體" w:eastAsia="標楷體" w:hAnsi="標楷體"/>
          <w:color w:val="000000"/>
        </w:rPr>
        <w:t>性骨</w:t>
      </w:r>
      <w:proofErr w:type="gramEnd"/>
      <w:r>
        <w:rPr>
          <w:rFonts w:ascii="標楷體" w:eastAsia="標楷體" w:hAnsi="標楷體"/>
          <w:color w:val="000000"/>
        </w:rPr>
        <w:t>炎</w:t>
      </w:r>
      <w:r>
        <w:rPr>
          <w:rFonts w:ascii="標楷體" w:eastAsia="標楷體" w:hAnsi="標楷體"/>
          <w:color w:val="000000"/>
        </w:rPr>
        <w:t xml:space="preserve"> ( Paget's disease)</w:t>
      </w:r>
      <w:r>
        <w:rPr>
          <w:rFonts w:ascii="標楷體" w:eastAsia="標楷體" w:hAnsi="標楷體"/>
          <w:color w:val="000000"/>
        </w:rPr>
        <w:lastRenderedPageBreak/>
        <w:t>（</w:t>
      </w:r>
      <w:r>
        <w:rPr>
          <w:rFonts w:ascii="標楷體" w:eastAsia="標楷體" w:hAnsi="標楷體"/>
          <w:color w:val="000000"/>
        </w:rPr>
        <w:t>85/10/1</w:t>
      </w:r>
      <w:r>
        <w:rPr>
          <w:rFonts w:ascii="標楷體" w:eastAsia="標楷體" w:hAnsi="標楷體"/>
          <w:color w:val="000000"/>
        </w:rPr>
        <w:t>、</w:t>
      </w:r>
      <w:r>
        <w:rPr>
          <w:rFonts w:ascii="標楷體" w:eastAsia="標楷體" w:hAnsi="標楷體"/>
          <w:color w:val="000000"/>
        </w:rPr>
        <w:t>93/8/1</w:t>
      </w:r>
      <w:r>
        <w:rPr>
          <w:rFonts w:ascii="標楷體" w:eastAsia="標楷體" w:hAnsi="標楷體"/>
          <w:color w:val="000000"/>
        </w:rPr>
        <w:t>、</w:t>
      </w:r>
      <w:r>
        <w:rPr>
          <w:rFonts w:ascii="標楷體" w:eastAsia="標楷體" w:hAnsi="標楷體"/>
          <w:color w:val="000000"/>
        </w:rPr>
        <w:t>100/1/1</w:t>
      </w:r>
      <w:r>
        <w:rPr>
          <w:rFonts w:ascii="標楷體" w:eastAsia="標楷體" w:hAnsi="標楷體"/>
          <w:color w:val="000000"/>
        </w:rPr>
        <w:t>、</w:t>
      </w:r>
      <w:r>
        <w:rPr>
          <w:rFonts w:ascii="標楷體" w:eastAsia="標楷體" w:hAnsi="標楷體"/>
          <w:color w:val="000000"/>
        </w:rPr>
        <w:t>103/2/1</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5.5.</w:t>
      </w:r>
      <w:proofErr w:type="gramStart"/>
      <w:r>
        <w:rPr>
          <w:rFonts w:ascii="標楷體" w:eastAsia="標楷體" w:hAnsi="標楷體"/>
          <w:color w:val="000000"/>
        </w:rPr>
        <w:t>3.Bisphosphonate</w:t>
      </w:r>
      <w:proofErr w:type="gramEnd"/>
    </w:p>
    <w:p w:rsidR="00203445" w:rsidRDefault="003100F1">
      <w:pPr>
        <w:ind w:left="672" w:hanging="386"/>
        <w:rPr>
          <w:rFonts w:ascii="標楷體" w:eastAsia="標楷體" w:hAnsi="標楷體"/>
          <w:color w:val="000000"/>
        </w:rPr>
      </w:pPr>
      <w:r>
        <w:rPr>
          <w:rFonts w:ascii="標楷體" w:eastAsia="標楷體" w:hAnsi="標楷體"/>
          <w:color w:val="000000"/>
        </w:rPr>
        <w:t>5.5.3.1.Clodronate</w:t>
      </w:r>
      <w:r>
        <w:rPr>
          <w:rFonts w:ascii="標楷體" w:eastAsia="標楷體" w:hAnsi="標楷體"/>
          <w:color w:val="000000"/>
        </w:rPr>
        <w:t>；</w:t>
      </w:r>
      <w:r>
        <w:rPr>
          <w:rFonts w:ascii="標楷體" w:eastAsia="標楷體" w:hAnsi="標楷體"/>
          <w:color w:val="000000"/>
        </w:rPr>
        <w:t>pamidronate</w:t>
      </w:r>
      <w:r>
        <w:rPr>
          <w:rFonts w:ascii="標楷體" w:eastAsia="標楷體" w:hAnsi="標楷體"/>
          <w:color w:val="000000"/>
        </w:rPr>
        <w:t>：（</w:t>
      </w:r>
      <w:r>
        <w:rPr>
          <w:rFonts w:ascii="標楷體" w:eastAsia="標楷體" w:hAnsi="標楷體"/>
          <w:color w:val="000000"/>
        </w:rPr>
        <w:t>85/1/1</w:t>
      </w:r>
      <w:r>
        <w:rPr>
          <w:rFonts w:ascii="標楷體" w:eastAsia="標楷體" w:hAnsi="標楷體"/>
          <w:color w:val="000000"/>
        </w:rPr>
        <w:t>、</w:t>
      </w:r>
      <w:r>
        <w:rPr>
          <w:rFonts w:ascii="標楷體" w:eastAsia="標楷體" w:hAnsi="標楷體"/>
          <w:color w:val="000000"/>
        </w:rPr>
        <w:t>87/4/1</w:t>
      </w:r>
      <w:r>
        <w:rPr>
          <w:rFonts w:ascii="標楷體" w:eastAsia="標楷體" w:hAnsi="標楷體"/>
          <w:color w:val="000000"/>
        </w:rPr>
        <w:t>、</w:t>
      </w:r>
      <w:r>
        <w:rPr>
          <w:rFonts w:ascii="標楷體" w:eastAsia="標楷體" w:hAnsi="標楷體"/>
          <w:color w:val="000000"/>
        </w:rPr>
        <w:t>93/2/1</w:t>
      </w:r>
      <w:r>
        <w:rPr>
          <w:rFonts w:ascii="標楷體" w:eastAsia="標楷體" w:hAnsi="標楷體"/>
          <w:color w:val="000000"/>
        </w:rPr>
        <w:t>、</w:t>
      </w:r>
      <w:r>
        <w:rPr>
          <w:rFonts w:ascii="標楷體" w:eastAsia="標楷體" w:hAnsi="標楷體"/>
          <w:color w:val="000000"/>
        </w:rPr>
        <w:t>96/1/1</w:t>
      </w:r>
      <w:r>
        <w:rPr>
          <w:rFonts w:ascii="標楷體" w:eastAsia="標楷體" w:hAnsi="標楷體"/>
          <w:color w:val="000000"/>
        </w:rPr>
        <w:t>、</w:t>
      </w:r>
      <w:r>
        <w:rPr>
          <w:rFonts w:ascii="標楷體" w:eastAsia="標楷體" w:hAnsi="標楷體"/>
          <w:color w:val="000000"/>
        </w:rPr>
        <w:t>100/1/1</w:t>
      </w:r>
      <w:r>
        <w:rPr>
          <w:rFonts w:ascii="標楷體" w:eastAsia="標楷體" w:hAnsi="標楷體"/>
          <w:color w:val="000000"/>
        </w:rPr>
        <w:t>）</w:t>
      </w:r>
    </w:p>
    <w:p w:rsidR="00203445" w:rsidRDefault="003100F1">
      <w:pPr>
        <w:ind w:left="798" w:hanging="1"/>
        <w:rPr>
          <w:rFonts w:ascii="標楷體" w:eastAsia="標楷體" w:hAnsi="標楷體"/>
          <w:color w:val="000000"/>
        </w:rPr>
      </w:pPr>
      <w:r>
        <w:rPr>
          <w:rFonts w:ascii="標楷體" w:eastAsia="標楷體" w:hAnsi="標楷體"/>
          <w:color w:val="000000"/>
        </w:rPr>
        <w:t>限符合下列條件之</w:t>
      </w:r>
      <w:proofErr w:type="gramStart"/>
      <w:r>
        <w:rPr>
          <w:rFonts w:ascii="標楷體" w:eastAsia="標楷體" w:hAnsi="標楷體"/>
          <w:color w:val="000000"/>
        </w:rPr>
        <w:t>一</w:t>
      </w:r>
      <w:proofErr w:type="gramEnd"/>
      <w:r>
        <w:rPr>
          <w:rFonts w:ascii="標楷體" w:eastAsia="標楷體" w:hAnsi="標楷體"/>
          <w:color w:val="000000"/>
        </w:rPr>
        <w:t>患者使用：</w:t>
      </w:r>
      <w:r>
        <w:rPr>
          <w:rFonts w:ascii="標楷體" w:eastAsia="標楷體" w:hAnsi="標楷體"/>
          <w:color w:val="000000"/>
        </w:rPr>
        <w:t xml:space="preserve"> </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血清鈣濃度超過</w:t>
      </w:r>
      <w:r>
        <w:rPr>
          <w:rFonts w:ascii="標楷體" w:eastAsia="標楷體" w:hAnsi="標楷體"/>
          <w:color w:val="000000"/>
        </w:rPr>
        <w:t>2.75 mmol/L (11.0</w:t>
      </w:r>
      <w:r>
        <w:rPr>
          <w:rFonts w:ascii="標楷體" w:eastAsia="標楷體" w:hAnsi="標楷體"/>
          <w:color w:val="000000"/>
        </w:rPr>
        <w:t xml:space="preserve">mg %) </w:t>
      </w:r>
      <w:r>
        <w:rPr>
          <w:rFonts w:ascii="標楷體" w:eastAsia="標楷體" w:hAnsi="標楷體"/>
          <w:color w:val="000000"/>
        </w:rPr>
        <w:t>或游離鈣大於</w:t>
      </w:r>
      <w:r>
        <w:rPr>
          <w:rFonts w:ascii="標楷體" w:eastAsia="標楷體" w:hAnsi="標楷體"/>
          <w:color w:val="000000"/>
        </w:rPr>
        <w:t>5.6 mg /dL</w:t>
      </w:r>
      <w:r>
        <w:rPr>
          <w:rFonts w:ascii="標楷體" w:eastAsia="標楷體" w:hAnsi="標楷體"/>
          <w:color w:val="000000"/>
        </w:rPr>
        <w:t>者。</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惡性腫瘤</w:t>
      </w:r>
      <w:proofErr w:type="gramStart"/>
      <w:r>
        <w:rPr>
          <w:rFonts w:ascii="標楷體" w:eastAsia="標楷體" w:hAnsi="標楷體"/>
          <w:color w:val="000000"/>
        </w:rPr>
        <w:t>之蝕骨性</w:t>
      </w:r>
      <w:proofErr w:type="gramEnd"/>
      <w:r>
        <w:rPr>
          <w:rFonts w:ascii="標楷體" w:eastAsia="標楷體" w:hAnsi="標楷體"/>
          <w:color w:val="000000"/>
        </w:rPr>
        <w:t>骨頭轉移之病患，在使用嗎啡、可待因等止痛劑後仍不易控制者。</w:t>
      </w:r>
    </w:p>
    <w:p w:rsidR="00203445" w:rsidRDefault="003100F1">
      <w:pPr>
        <w:ind w:left="811" w:hanging="245"/>
        <w:rPr>
          <w:rFonts w:ascii="標楷體" w:eastAsia="標楷體" w:hAnsi="標楷體"/>
          <w:color w:val="000000"/>
        </w:rPr>
      </w:pPr>
      <w:r>
        <w:rPr>
          <w:rFonts w:ascii="標楷體" w:eastAsia="標楷體" w:hAnsi="標楷體"/>
          <w:color w:val="000000"/>
        </w:rPr>
        <w:t>3. Multiple Myeloma, Breast Cancer, Prostate Cancer</w:t>
      </w:r>
      <w:proofErr w:type="gramStart"/>
      <w:r>
        <w:rPr>
          <w:rFonts w:ascii="標楷體" w:eastAsia="標楷體" w:hAnsi="標楷體"/>
          <w:color w:val="000000"/>
        </w:rPr>
        <w:t>併有蝕骨性</w:t>
      </w:r>
      <w:proofErr w:type="gramEnd"/>
      <w:r>
        <w:rPr>
          <w:rFonts w:ascii="標楷體" w:eastAsia="標楷體" w:hAnsi="標楷體"/>
          <w:color w:val="000000"/>
        </w:rPr>
        <w:t>骨轉移之病患</w:t>
      </w:r>
      <w:r>
        <w:rPr>
          <w:rFonts w:ascii="標楷體" w:eastAsia="標楷體" w:hAnsi="標楷體"/>
          <w:color w:val="000000"/>
        </w:rPr>
        <w:t>(96/1/1)</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5.5.3.2.Zoledronic acid</w:t>
      </w:r>
      <w:r>
        <w:rPr>
          <w:rFonts w:ascii="標楷體" w:eastAsia="標楷體" w:hAnsi="標楷體"/>
          <w:color w:val="000000"/>
        </w:rPr>
        <w:t>：</w:t>
      </w:r>
      <w:r>
        <w:rPr>
          <w:rFonts w:ascii="標楷體" w:eastAsia="標楷體" w:hAnsi="標楷體"/>
          <w:color w:val="000000"/>
        </w:rPr>
        <w:t>(93/6/1</w:t>
      </w:r>
      <w:r>
        <w:rPr>
          <w:rFonts w:ascii="標楷體" w:eastAsia="標楷體" w:hAnsi="標楷體"/>
          <w:color w:val="000000"/>
        </w:rPr>
        <w:t>、</w:t>
      </w:r>
      <w:r>
        <w:rPr>
          <w:rFonts w:ascii="標楷體" w:eastAsia="標楷體" w:hAnsi="標楷體"/>
          <w:color w:val="000000"/>
        </w:rPr>
        <w:t>93/12/1</w:t>
      </w:r>
      <w:r>
        <w:rPr>
          <w:rFonts w:ascii="標楷體" w:eastAsia="標楷體" w:hAnsi="標楷體"/>
          <w:color w:val="000000"/>
        </w:rPr>
        <w:t>、</w:t>
      </w:r>
      <w:r>
        <w:rPr>
          <w:rFonts w:ascii="標楷體" w:eastAsia="標楷體" w:hAnsi="標楷體"/>
          <w:color w:val="000000"/>
        </w:rPr>
        <w:t>96/1/1</w:t>
      </w:r>
      <w:r>
        <w:rPr>
          <w:rFonts w:ascii="標楷體" w:eastAsia="標楷體" w:hAnsi="標楷體"/>
          <w:color w:val="000000"/>
        </w:rPr>
        <w:t>、</w:t>
      </w:r>
      <w:r>
        <w:rPr>
          <w:rFonts w:ascii="標楷體" w:eastAsia="標楷體" w:hAnsi="標楷體"/>
          <w:color w:val="000000"/>
        </w:rPr>
        <w:t>98/6/1)</w:t>
      </w:r>
    </w:p>
    <w:p w:rsidR="00203445" w:rsidRDefault="003100F1">
      <w:pPr>
        <w:ind w:left="672" w:hanging="386"/>
        <w:rPr>
          <w:rFonts w:ascii="標楷體" w:eastAsia="標楷體" w:hAnsi="標楷體"/>
          <w:color w:val="000000"/>
        </w:rPr>
      </w:pPr>
      <w:r>
        <w:rPr>
          <w:rFonts w:ascii="標楷體" w:eastAsia="標楷體" w:hAnsi="標楷體"/>
          <w:color w:val="000000"/>
        </w:rPr>
        <w:t>5.5.3.2.1.Zoledronic acid 4mg/vial (</w:t>
      </w:r>
      <w:r>
        <w:rPr>
          <w:rFonts w:ascii="標楷體" w:eastAsia="標楷體" w:hAnsi="標楷體"/>
          <w:color w:val="000000"/>
        </w:rPr>
        <w:t>如</w:t>
      </w:r>
      <w:proofErr w:type="spellStart"/>
      <w:r>
        <w:rPr>
          <w:rFonts w:ascii="標楷體" w:eastAsia="標楷體" w:hAnsi="標楷體"/>
          <w:color w:val="000000"/>
        </w:rPr>
        <w:t>Zometa</w:t>
      </w:r>
      <w:proofErr w:type="spellEnd"/>
      <w:r>
        <w:rPr>
          <w:rFonts w:ascii="標楷體" w:eastAsia="標楷體" w:hAnsi="標楷體"/>
          <w:color w:val="000000"/>
        </w:rPr>
        <w:t xml:space="preserve"> Powder For Solution </w:t>
      </w:r>
      <w:r>
        <w:rPr>
          <w:rFonts w:ascii="標楷體" w:eastAsia="標楷體" w:hAnsi="標楷體"/>
          <w:color w:val="000000"/>
        </w:rPr>
        <w:t>For Infusion 4mg)( 98/6/1</w:t>
      </w:r>
      <w:r>
        <w:rPr>
          <w:rFonts w:ascii="標楷體" w:eastAsia="標楷體" w:hAnsi="標楷體"/>
          <w:color w:val="000000"/>
        </w:rPr>
        <w:t>、</w:t>
      </w:r>
      <w:r>
        <w:rPr>
          <w:rFonts w:ascii="標楷體" w:eastAsia="標楷體" w:hAnsi="標楷體"/>
          <w:color w:val="000000"/>
        </w:rPr>
        <w:t>100/1/1)</w:t>
      </w:r>
    </w:p>
    <w:p w:rsidR="00203445" w:rsidRDefault="003100F1">
      <w:pPr>
        <w:ind w:left="798" w:hanging="1"/>
        <w:rPr>
          <w:rFonts w:ascii="標楷體" w:eastAsia="標楷體" w:hAnsi="標楷體"/>
          <w:color w:val="000000"/>
        </w:rPr>
      </w:pPr>
      <w:r>
        <w:rPr>
          <w:rFonts w:ascii="標楷體" w:eastAsia="標楷體" w:hAnsi="標楷體"/>
          <w:color w:val="000000"/>
        </w:rPr>
        <w:t>限符合下列條件之</w:t>
      </w:r>
      <w:proofErr w:type="gramStart"/>
      <w:r>
        <w:rPr>
          <w:rFonts w:ascii="標楷體" w:eastAsia="標楷體" w:hAnsi="標楷體"/>
          <w:color w:val="000000"/>
        </w:rPr>
        <w:t>一</w:t>
      </w:r>
      <w:proofErr w:type="gramEnd"/>
      <w:r>
        <w:rPr>
          <w:rFonts w:ascii="標楷體" w:eastAsia="標楷體" w:hAnsi="標楷體"/>
          <w:color w:val="000000"/>
        </w:rPr>
        <w:t>患者使用：</w:t>
      </w:r>
      <w:r>
        <w:rPr>
          <w:rFonts w:ascii="標楷體" w:eastAsia="標楷體" w:hAnsi="標楷體"/>
          <w:color w:val="000000"/>
        </w:rPr>
        <w:t xml:space="preserve"> </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用於治療惡性腫瘤之高血鈣併發症</w:t>
      </w:r>
      <w:r>
        <w:rPr>
          <w:rFonts w:ascii="標楷體" w:eastAsia="標楷體" w:hAnsi="標楷體"/>
          <w:color w:val="000000"/>
        </w:rPr>
        <w:t xml:space="preserve"> (HCM)</w:t>
      </w:r>
      <w:r>
        <w:rPr>
          <w:rFonts w:ascii="標楷體" w:eastAsia="標楷體" w:hAnsi="標楷體"/>
          <w:color w:val="000000"/>
        </w:rPr>
        <w:t>，且限用於血清鈣濃度超過</w:t>
      </w:r>
      <w:r>
        <w:rPr>
          <w:rFonts w:ascii="標楷體" w:eastAsia="標楷體" w:hAnsi="標楷體"/>
          <w:color w:val="000000"/>
        </w:rPr>
        <w:t xml:space="preserve">2.75 mmol/L  (11.0mg/dL) </w:t>
      </w:r>
      <w:r>
        <w:rPr>
          <w:rFonts w:ascii="標楷體" w:eastAsia="標楷體" w:hAnsi="標楷體"/>
          <w:color w:val="000000"/>
        </w:rPr>
        <w:t>或游離鈣大於</w:t>
      </w:r>
      <w:r>
        <w:rPr>
          <w:rFonts w:ascii="標楷體" w:eastAsia="標楷體" w:hAnsi="標楷體"/>
          <w:color w:val="000000"/>
        </w:rPr>
        <w:t>5.6 mg/dL (93/6/1)</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2.Multiple Myeloma</w:t>
      </w:r>
      <w:r>
        <w:rPr>
          <w:rFonts w:ascii="標楷體" w:eastAsia="標楷體" w:hAnsi="標楷體"/>
          <w:color w:val="000000"/>
        </w:rPr>
        <w:t>，</w:t>
      </w:r>
      <w:r>
        <w:rPr>
          <w:rFonts w:ascii="標楷體" w:eastAsia="標楷體" w:hAnsi="標楷體"/>
          <w:color w:val="000000"/>
        </w:rPr>
        <w:t>Breast Cancer</w:t>
      </w:r>
      <w:r>
        <w:rPr>
          <w:rFonts w:ascii="標楷體" w:eastAsia="標楷體" w:hAnsi="標楷體"/>
          <w:color w:val="000000"/>
        </w:rPr>
        <w:t>，</w:t>
      </w:r>
      <w:r>
        <w:rPr>
          <w:rFonts w:ascii="標楷體" w:eastAsia="標楷體" w:hAnsi="標楷體"/>
          <w:color w:val="000000"/>
        </w:rPr>
        <w:t>Prostate Cancer</w:t>
      </w:r>
      <w:proofErr w:type="gramStart"/>
      <w:r>
        <w:rPr>
          <w:rFonts w:ascii="標楷體" w:eastAsia="標楷體" w:hAnsi="標楷體"/>
          <w:color w:val="000000"/>
        </w:rPr>
        <w:t>併有蝕骨性</w:t>
      </w:r>
      <w:proofErr w:type="gramEnd"/>
      <w:r>
        <w:rPr>
          <w:rFonts w:ascii="標楷體" w:eastAsia="標楷體" w:hAnsi="標楷體"/>
          <w:color w:val="000000"/>
        </w:rPr>
        <w:t>骨轉移之病患</w:t>
      </w:r>
      <w:r>
        <w:rPr>
          <w:rFonts w:ascii="標楷體" w:eastAsia="標楷體" w:hAnsi="標楷體"/>
          <w:color w:val="000000"/>
        </w:rPr>
        <w:t xml:space="preserve"> (96/1/1)</w:t>
      </w:r>
      <w:r>
        <w:rPr>
          <w:rFonts w:ascii="標楷體" w:eastAsia="標楷體" w:hAnsi="標楷體"/>
          <w:color w:val="000000"/>
        </w:rPr>
        <w:t>。</w:t>
      </w:r>
    </w:p>
    <w:p w:rsidR="00203445" w:rsidRDefault="003100F1">
      <w:pPr>
        <w:ind w:left="672" w:hanging="386"/>
        <w:rPr>
          <w:rFonts w:ascii="標楷體" w:eastAsia="標楷體" w:hAnsi="標楷體"/>
          <w:color w:val="000000"/>
        </w:rPr>
      </w:pPr>
      <w:r>
        <w:rPr>
          <w:rFonts w:ascii="標楷體" w:eastAsia="標楷體" w:hAnsi="標楷體"/>
          <w:color w:val="000000"/>
        </w:rPr>
        <w:t>5.5.3.2.2.Zoledronic acid 5mg (</w:t>
      </w:r>
      <w:r>
        <w:rPr>
          <w:rFonts w:ascii="標楷體" w:eastAsia="標楷體" w:hAnsi="標楷體"/>
          <w:color w:val="000000"/>
        </w:rPr>
        <w:t>如</w:t>
      </w:r>
      <w:proofErr w:type="spellStart"/>
      <w:r>
        <w:rPr>
          <w:rFonts w:ascii="標楷體" w:eastAsia="標楷體" w:hAnsi="標楷體"/>
          <w:color w:val="000000"/>
        </w:rPr>
        <w:t>Aclasta</w:t>
      </w:r>
      <w:proofErr w:type="spellEnd"/>
      <w:r>
        <w:rPr>
          <w:rFonts w:ascii="標楷體" w:eastAsia="標楷體" w:hAnsi="標楷體"/>
          <w:color w:val="000000"/>
        </w:rPr>
        <w:t xml:space="preserve"> 5mg/100mL</w:t>
      </w:r>
      <w:r>
        <w:rPr>
          <w:rFonts w:ascii="標楷體" w:eastAsia="標楷體" w:hAnsi="標楷體"/>
          <w:color w:val="000000"/>
        </w:rPr>
        <w:t xml:space="preserve"> Solution for infusion)( 98/6/1</w:t>
      </w:r>
      <w:r>
        <w:rPr>
          <w:rFonts w:ascii="標楷體" w:eastAsia="標楷體" w:hAnsi="標楷體"/>
          <w:color w:val="000000"/>
        </w:rPr>
        <w:t>、</w:t>
      </w:r>
      <w:r>
        <w:rPr>
          <w:rFonts w:ascii="標楷體" w:eastAsia="標楷體" w:hAnsi="標楷體"/>
          <w:color w:val="000000"/>
        </w:rPr>
        <w:t>100/1/1)</w:t>
      </w:r>
    </w:p>
    <w:p w:rsidR="00203445" w:rsidRDefault="003100F1">
      <w:pPr>
        <w:ind w:left="798" w:hanging="1"/>
        <w:rPr>
          <w:rFonts w:ascii="標楷體" w:eastAsia="標楷體" w:hAnsi="標楷體"/>
          <w:color w:val="000000"/>
        </w:rPr>
      </w:pPr>
      <w:r>
        <w:rPr>
          <w:rFonts w:ascii="標楷體" w:eastAsia="標楷體" w:hAnsi="標楷體"/>
          <w:color w:val="000000"/>
        </w:rPr>
        <w:t>用於變形</w:t>
      </w:r>
      <w:proofErr w:type="gramStart"/>
      <w:r>
        <w:rPr>
          <w:rFonts w:ascii="標楷體" w:eastAsia="標楷體" w:hAnsi="標楷體"/>
          <w:color w:val="000000"/>
        </w:rPr>
        <w:t>性骨炎</w:t>
      </w:r>
      <w:proofErr w:type="gramEnd"/>
      <w:r>
        <w:rPr>
          <w:rFonts w:ascii="標楷體" w:eastAsia="標楷體" w:hAnsi="標楷體"/>
          <w:color w:val="000000"/>
        </w:rPr>
        <w:t>(Paget's disease)</w:t>
      </w:r>
    </w:p>
    <w:p w:rsidR="00203445" w:rsidRDefault="003100F1">
      <w:pPr>
        <w:ind w:left="672" w:hanging="386"/>
        <w:rPr>
          <w:rFonts w:ascii="標楷體" w:eastAsia="標楷體" w:hAnsi="標楷體"/>
          <w:color w:val="000000"/>
        </w:rPr>
      </w:pPr>
      <w:r>
        <w:rPr>
          <w:rFonts w:ascii="標楷體" w:eastAsia="標楷體" w:hAnsi="標楷體"/>
          <w:color w:val="000000"/>
        </w:rPr>
        <w:t>5.5.3.3.Etidronate</w:t>
      </w:r>
      <w:r>
        <w:rPr>
          <w:rFonts w:ascii="標楷體" w:eastAsia="標楷體" w:hAnsi="標楷體"/>
          <w:color w:val="000000"/>
        </w:rPr>
        <w:t>（如</w:t>
      </w:r>
      <w:proofErr w:type="spellStart"/>
      <w:r>
        <w:rPr>
          <w:rFonts w:ascii="標楷體" w:eastAsia="標楷體" w:hAnsi="標楷體"/>
          <w:color w:val="000000"/>
        </w:rPr>
        <w:t>Etibon</w:t>
      </w:r>
      <w:proofErr w:type="spellEnd"/>
      <w:r>
        <w:rPr>
          <w:rFonts w:ascii="標楷體" w:eastAsia="標楷體" w:hAnsi="標楷體"/>
          <w:color w:val="000000"/>
        </w:rPr>
        <w:t>）：</w:t>
      </w:r>
      <w:r>
        <w:rPr>
          <w:rFonts w:ascii="標楷體" w:eastAsia="標楷體" w:hAnsi="標楷體"/>
          <w:color w:val="000000"/>
        </w:rPr>
        <w:t>(87/10/1</w:t>
      </w:r>
      <w:r>
        <w:rPr>
          <w:rFonts w:ascii="標楷體" w:eastAsia="標楷體" w:hAnsi="標楷體"/>
          <w:color w:val="000000"/>
        </w:rPr>
        <w:t>、</w:t>
      </w:r>
      <w:r>
        <w:rPr>
          <w:rFonts w:ascii="標楷體" w:eastAsia="標楷體" w:hAnsi="標楷體"/>
          <w:color w:val="000000"/>
        </w:rPr>
        <w:t>100/1/1)</w:t>
      </w:r>
    </w:p>
    <w:p w:rsidR="00203445" w:rsidRDefault="003100F1">
      <w:pPr>
        <w:ind w:left="798" w:hanging="1"/>
        <w:rPr>
          <w:rFonts w:ascii="標楷體" w:eastAsia="標楷體" w:hAnsi="標楷體"/>
          <w:color w:val="000000"/>
        </w:rPr>
      </w:pPr>
      <w:r>
        <w:rPr>
          <w:rFonts w:ascii="標楷體" w:eastAsia="標楷體" w:hAnsi="標楷體"/>
          <w:color w:val="000000"/>
        </w:rPr>
        <w:t>限用於</w:t>
      </w:r>
      <w:r>
        <w:rPr>
          <w:rFonts w:ascii="標楷體" w:eastAsia="標楷體" w:hAnsi="標楷體"/>
          <w:color w:val="000000"/>
        </w:rPr>
        <w:t>Paget</w:t>
      </w:r>
      <w:proofErr w:type="gramStart"/>
      <w:r>
        <w:rPr>
          <w:rFonts w:ascii="標楷體" w:eastAsia="標楷體" w:hAnsi="標楷體"/>
          <w:color w:val="000000"/>
        </w:rPr>
        <w:t>’</w:t>
      </w:r>
      <w:proofErr w:type="gramEnd"/>
      <w:r>
        <w:rPr>
          <w:rFonts w:ascii="標楷體" w:eastAsia="標楷體" w:hAnsi="標楷體"/>
          <w:color w:val="000000"/>
        </w:rPr>
        <w:t>s disease</w:t>
      </w:r>
      <w:r>
        <w:rPr>
          <w:rFonts w:ascii="標楷體" w:eastAsia="標楷體" w:hAnsi="標楷體"/>
          <w:color w:val="000000"/>
        </w:rPr>
        <w:t>之症狀治療及異位性骨化症之治療。</w:t>
      </w:r>
    </w:p>
    <w:p w:rsidR="00203445" w:rsidRDefault="003100F1">
      <w:pPr>
        <w:ind w:left="672" w:hanging="386"/>
        <w:rPr>
          <w:rFonts w:ascii="標楷體" w:eastAsia="標楷體" w:hAnsi="標楷體"/>
          <w:color w:val="000000"/>
        </w:rPr>
      </w:pPr>
      <w:r>
        <w:rPr>
          <w:rFonts w:ascii="標楷體" w:eastAsia="標楷體" w:hAnsi="標楷體"/>
          <w:color w:val="000000"/>
        </w:rPr>
        <w:t>5.5.3.4.Ibandronic acid: (96/8/1</w:t>
      </w:r>
      <w:r>
        <w:rPr>
          <w:rFonts w:ascii="標楷體" w:eastAsia="標楷體" w:hAnsi="標楷體"/>
          <w:color w:val="000000"/>
        </w:rPr>
        <w:t>、</w:t>
      </w:r>
      <w:r>
        <w:rPr>
          <w:rFonts w:ascii="標楷體" w:eastAsia="標楷體" w:hAnsi="標楷體"/>
          <w:color w:val="000000"/>
        </w:rPr>
        <w:t>97/8/1</w:t>
      </w:r>
      <w:r>
        <w:rPr>
          <w:rFonts w:ascii="標楷體" w:eastAsia="標楷體" w:hAnsi="標楷體"/>
          <w:color w:val="000000"/>
        </w:rPr>
        <w:t>、</w:t>
      </w:r>
      <w:r>
        <w:rPr>
          <w:rFonts w:ascii="標楷體" w:eastAsia="標楷體" w:hAnsi="標楷體"/>
          <w:color w:val="000000"/>
        </w:rPr>
        <w:t>100/1/1)</w:t>
      </w:r>
    </w:p>
    <w:p w:rsidR="00203445" w:rsidRDefault="003100F1">
      <w:pPr>
        <w:ind w:left="672" w:hanging="386"/>
        <w:rPr>
          <w:rFonts w:ascii="標楷體" w:eastAsia="標楷體" w:hAnsi="標楷體"/>
          <w:color w:val="000000"/>
        </w:rPr>
      </w:pPr>
      <w:r>
        <w:rPr>
          <w:rFonts w:ascii="標楷體" w:eastAsia="標楷體" w:hAnsi="標楷體"/>
          <w:color w:val="000000"/>
        </w:rPr>
        <w:t>5.5.3.4.1.Ibandronic acid 2mg/2mL</w:t>
      </w:r>
      <w:r>
        <w:rPr>
          <w:rFonts w:ascii="標楷體" w:eastAsia="標楷體" w:hAnsi="標楷體"/>
          <w:color w:val="000000"/>
        </w:rPr>
        <w:t>；</w:t>
      </w:r>
      <w:r>
        <w:rPr>
          <w:rFonts w:ascii="標楷體" w:eastAsia="標楷體" w:hAnsi="標楷體"/>
          <w:color w:val="000000"/>
        </w:rPr>
        <w:t>6mg/6mL</w:t>
      </w:r>
      <w:r>
        <w:rPr>
          <w:rFonts w:ascii="標楷體" w:eastAsia="標楷體" w:hAnsi="標楷體"/>
          <w:color w:val="000000"/>
        </w:rPr>
        <w:t>（如</w:t>
      </w:r>
      <w:proofErr w:type="spellStart"/>
      <w:r>
        <w:rPr>
          <w:rFonts w:ascii="標楷體" w:eastAsia="標楷體" w:hAnsi="標楷體"/>
          <w:color w:val="000000"/>
        </w:rPr>
        <w:t>Bondronat</w:t>
      </w:r>
      <w:proofErr w:type="spellEnd"/>
      <w:r>
        <w:rPr>
          <w:rFonts w:ascii="標楷體" w:eastAsia="標楷體" w:hAnsi="標楷體"/>
          <w:color w:val="000000"/>
        </w:rPr>
        <w:t xml:space="preserve"> concent</w:t>
      </w:r>
      <w:r>
        <w:rPr>
          <w:rFonts w:ascii="標楷體" w:eastAsia="標楷體" w:hAnsi="標楷體"/>
          <w:color w:val="000000"/>
        </w:rPr>
        <w:t>rate for solution for infusion</w:t>
      </w:r>
      <w:r>
        <w:rPr>
          <w:rFonts w:ascii="標楷體" w:eastAsia="標楷體" w:hAnsi="標楷體"/>
          <w:color w:val="000000"/>
        </w:rPr>
        <w:t>）</w:t>
      </w:r>
      <w:r>
        <w:rPr>
          <w:rFonts w:ascii="標楷體" w:eastAsia="標楷體" w:hAnsi="標楷體"/>
          <w:color w:val="000000"/>
        </w:rPr>
        <w:t>(96/8/1</w:t>
      </w:r>
      <w:r>
        <w:rPr>
          <w:rFonts w:ascii="標楷體" w:eastAsia="標楷體" w:hAnsi="標楷體"/>
          <w:color w:val="000000"/>
        </w:rPr>
        <w:t>、</w:t>
      </w:r>
      <w:r>
        <w:rPr>
          <w:rFonts w:ascii="標楷體" w:eastAsia="標楷體" w:hAnsi="標楷體"/>
          <w:color w:val="000000"/>
        </w:rPr>
        <w:t>100/1/1)</w:t>
      </w:r>
    </w:p>
    <w:p w:rsidR="00203445" w:rsidRDefault="003100F1">
      <w:pPr>
        <w:ind w:left="798" w:hanging="1"/>
        <w:rPr>
          <w:rFonts w:ascii="標楷體" w:eastAsia="標楷體" w:hAnsi="標楷體"/>
          <w:color w:val="000000"/>
        </w:rPr>
      </w:pPr>
      <w:r>
        <w:rPr>
          <w:rFonts w:ascii="標楷體" w:eastAsia="標楷體" w:hAnsi="標楷體"/>
          <w:color w:val="000000"/>
        </w:rPr>
        <w:t>限符合下列條件之</w:t>
      </w:r>
      <w:proofErr w:type="gramStart"/>
      <w:r>
        <w:rPr>
          <w:rFonts w:ascii="標楷體" w:eastAsia="標楷體" w:hAnsi="標楷體"/>
          <w:color w:val="000000"/>
        </w:rPr>
        <w:t>一</w:t>
      </w:r>
      <w:proofErr w:type="gramEnd"/>
      <w:r>
        <w:rPr>
          <w:rFonts w:ascii="標楷體" w:eastAsia="標楷體" w:hAnsi="標楷體"/>
          <w:color w:val="000000"/>
        </w:rPr>
        <w:t>患者使用：</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限用於治療惡性腫瘤之高血鈣併發症，且限用於血清鈣濃度超過</w:t>
      </w:r>
      <w:r>
        <w:rPr>
          <w:rFonts w:ascii="標楷體" w:eastAsia="標楷體" w:hAnsi="標楷體"/>
          <w:color w:val="000000"/>
        </w:rPr>
        <w:t>2.75 mmol/L (11.0mg/dL)</w:t>
      </w:r>
      <w:r>
        <w:rPr>
          <w:rFonts w:ascii="標楷體" w:eastAsia="標楷體" w:hAnsi="標楷體"/>
          <w:color w:val="000000"/>
        </w:rPr>
        <w:t>或游離鈣大於</w:t>
      </w:r>
      <w:r>
        <w:rPr>
          <w:rFonts w:ascii="標楷體" w:eastAsia="標楷體" w:hAnsi="標楷體"/>
          <w:color w:val="000000"/>
        </w:rPr>
        <w:t>5.6 mg/dL</w:t>
      </w:r>
      <w:r>
        <w:rPr>
          <w:rFonts w:ascii="標楷體" w:eastAsia="標楷體" w:hAnsi="標楷體"/>
          <w:color w:val="000000"/>
        </w:rPr>
        <w:t>之病例。</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限</w:t>
      </w:r>
      <w:r>
        <w:rPr>
          <w:rFonts w:ascii="標楷體" w:eastAsia="標楷體" w:hAnsi="標楷體"/>
          <w:color w:val="000000"/>
        </w:rPr>
        <w:t>Breast Cancer</w:t>
      </w:r>
      <w:proofErr w:type="gramStart"/>
      <w:r>
        <w:rPr>
          <w:rFonts w:ascii="標楷體" w:eastAsia="標楷體" w:hAnsi="標楷體"/>
          <w:color w:val="000000"/>
        </w:rPr>
        <w:t>併有蝕骨性</w:t>
      </w:r>
      <w:proofErr w:type="gramEnd"/>
      <w:r>
        <w:rPr>
          <w:rFonts w:ascii="標楷體" w:eastAsia="標楷體" w:hAnsi="標楷體"/>
          <w:color w:val="000000"/>
        </w:rPr>
        <w:t>骨轉移之病患。</w:t>
      </w:r>
    </w:p>
    <w:p w:rsidR="00203445" w:rsidRDefault="003100F1">
      <w:pPr>
        <w:ind w:firstLine="240"/>
        <w:rPr>
          <w:rFonts w:ascii="標楷體" w:eastAsia="標楷體" w:hAnsi="標楷體"/>
        </w:rPr>
      </w:pPr>
      <w:r>
        <w:rPr>
          <w:rFonts w:ascii="標楷體" w:eastAsia="標楷體" w:hAnsi="標楷體"/>
        </w:rPr>
        <w:t>5.5.4. Denosumab</w:t>
      </w:r>
      <w:r>
        <w:rPr>
          <w:rFonts w:ascii="標楷體" w:eastAsia="標楷體" w:hAnsi="標楷體"/>
        </w:rPr>
        <w:t>（如</w:t>
      </w:r>
      <w:proofErr w:type="spellStart"/>
      <w:r>
        <w:rPr>
          <w:rFonts w:ascii="標楷體" w:eastAsia="標楷體" w:hAnsi="標楷體"/>
        </w:rPr>
        <w:t>Xgeva</w:t>
      </w:r>
      <w:proofErr w:type="spellEnd"/>
      <w:r>
        <w:rPr>
          <w:rFonts w:ascii="標楷體" w:eastAsia="標楷體" w:hAnsi="標楷體"/>
        </w:rPr>
        <w:t>）</w:t>
      </w:r>
      <w:r>
        <w:rPr>
          <w:rFonts w:ascii="標楷體" w:eastAsia="標楷體" w:hAnsi="標楷體"/>
        </w:rPr>
        <w:t>(102/1/1</w:t>
      </w:r>
      <w:r>
        <w:rPr>
          <w:rFonts w:ascii="標楷體" w:eastAsia="標楷體" w:hAnsi="標楷體"/>
        </w:rPr>
        <w:t>、</w:t>
      </w:r>
      <w:r>
        <w:rPr>
          <w:rFonts w:ascii="標楷體" w:eastAsia="標楷體" w:hAnsi="標楷體"/>
        </w:rPr>
        <w:t>104/12/1</w:t>
      </w:r>
      <w:r>
        <w:rPr>
          <w:rFonts w:ascii="標楷體" w:eastAsia="標楷體" w:hAnsi="標楷體"/>
        </w:rPr>
        <w:t>、</w:t>
      </w:r>
      <w:r>
        <w:rPr>
          <w:rFonts w:ascii="標楷體" w:eastAsia="標楷體" w:hAnsi="標楷體"/>
        </w:rPr>
        <w:t>109/2/1</w:t>
      </w:r>
      <w:r>
        <w:rPr>
          <w:rFonts w:ascii="標楷體" w:eastAsia="標楷體" w:hAnsi="標楷體"/>
        </w:rPr>
        <w:t>、</w:t>
      </w:r>
      <w:r>
        <w:rPr>
          <w:rFonts w:ascii="標楷體" w:eastAsia="標楷體" w:hAnsi="標楷體"/>
        </w:rPr>
        <w:t>113/10/1)</w:t>
      </w:r>
    </w:p>
    <w:p w:rsidR="00203445" w:rsidRDefault="003100F1">
      <w:pPr>
        <w:ind w:left="798" w:hanging="1"/>
        <w:rPr>
          <w:rFonts w:ascii="標楷體" w:eastAsia="標楷體" w:hAnsi="標楷體"/>
        </w:rPr>
      </w:pPr>
      <w:r>
        <w:rPr>
          <w:rFonts w:ascii="標楷體" w:eastAsia="標楷體" w:hAnsi="標楷體"/>
        </w:rPr>
        <w:t>限用於：</w:t>
      </w:r>
    </w:p>
    <w:p w:rsidR="00203445" w:rsidRDefault="003100F1">
      <w:pPr>
        <w:ind w:left="798" w:hanging="1"/>
      </w:pPr>
      <w:r>
        <w:rPr>
          <w:rFonts w:ascii="標楷體" w:eastAsia="標楷體" w:hAnsi="標楷體"/>
        </w:rPr>
        <w:t>多發性骨髓瘤病人與乳癌、前列腺癌、肺癌、結腸直腸</w:t>
      </w:r>
      <w:r>
        <w:rPr>
          <w:rFonts w:ascii="標楷體" w:eastAsia="標楷體" w:hAnsi="標楷體"/>
        </w:rPr>
        <w:t>癌、膀胱癌、腎癌、子宮頸癌、卵巢癌、食道癌、胃癌及胰癌</w:t>
      </w:r>
      <w:proofErr w:type="gramStart"/>
      <w:r>
        <w:rPr>
          <w:rFonts w:ascii="標楷體" w:eastAsia="標楷體" w:hAnsi="標楷體"/>
        </w:rPr>
        <w:t>併有蝕骨性</w:t>
      </w:r>
      <w:proofErr w:type="gramEnd"/>
      <w:r>
        <w:rPr>
          <w:rFonts w:ascii="標楷體" w:eastAsia="標楷體" w:hAnsi="標楷體"/>
        </w:rPr>
        <w:t>骨轉移之病</w:t>
      </w:r>
      <w:r>
        <w:rPr>
          <w:rFonts w:ascii="標楷體" w:eastAsia="標楷體" w:hAnsi="標楷體"/>
        </w:rPr>
        <w:lastRenderedPageBreak/>
        <w:t>人。</w:t>
      </w:r>
    </w:p>
    <w:p w:rsidR="00203445" w:rsidRDefault="003100F1">
      <w:pPr>
        <w:ind w:left="672" w:hanging="386"/>
        <w:rPr>
          <w:rFonts w:ascii="標楷體" w:eastAsia="標楷體" w:hAnsi="標楷體"/>
          <w:color w:val="000000"/>
        </w:rPr>
      </w:pPr>
      <w:r>
        <w:rPr>
          <w:rFonts w:ascii="標楷體" w:eastAsia="標楷體" w:hAnsi="標楷體"/>
          <w:color w:val="000000"/>
        </w:rPr>
        <w:t>5.5.6.Rasburicase</w:t>
      </w:r>
      <w:r>
        <w:rPr>
          <w:rFonts w:ascii="標楷體" w:eastAsia="標楷體" w:hAnsi="標楷體"/>
          <w:color w:val="000000"/>
        </w:rPr>
        <w:t>（如</w:t>
      </w:r>
      <w:proofErr w:type="spellStart"/>
      <w:r>
        <w:rPr>
          <w:rFonts w:ascii="標楷體" w:eastAsia="標楷體" w:hAnsi="標楷體"/>
          <w:color w:val="000000"/>
        </w:rPr>
        <w:t>Fasturtec</w:t>
      </w:r>
      <w:proofErr w:type="spellEnd"/>
      <w:r>
        <w:rPr>
          <w:rFonts w:ascii="標楷體" w:eastAsia="標楷體" w:hAnsi="標楷體"/>
          <w:color w:val="000000"/>
        </w:rPr>
        <w:t>注射劑）</w:t>
      </w:r>
      <w:r>
        <w:rPr>
          <w:rFonts w:ascii="標楷體" w:eastAsia="標楷體" w:hAnsi="標楷體"/>
          <w:color w:val="000000"/>
        </w:rPr>
        <w:t>(93/5/1)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限用於血液腫瘤（急性白血病和</w:t>
      </w:r>
      <w:r>
        <w:rPr>
          <w:rFonts w:ascii="標楷體" w:eastAsia="標楷體" w:hAnsi="標楷體"/>
          <w:color w:val="000000"/>
        </w:rPr>
        <w:t>high grade</w:t>
      </w:r>
      <w:r>
        <w:rPr>
          <w:rFonts w:ascii="標楷體" w:eastAsia="標楷體" w:hAnsi="標楷體"/>
          <w:color w:val="000000"/>
        </w:rPr>
        <w:t>淋巴瘤）患者之下列情形：</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治療前或療程開始後，血清尿酸值高於</w:t>
      </w:r>
      <w:r>
        <w:rPr>
          <w:rFonts w:ascii="標楷體" w:eastAsia="標楷體" w:hAnsi="標楷體"/>
          <w:color w:val="000000"/>
        </w:rPr>
        <w:t>10mg/dL</w:t>
      </w:r>
      <w:r>
        <w:rPr>
          <w:rFonts w:ascii="標楷體" w:eastAsia="標楷體" w:hAnsi="標楷體"/>
          <w:color w:val="000000"/>
        </w:rPr>
        <w:t>；兒童高於</w:t>
      </w:r>
      <w:r>
        <w:rPr>
          <w:rFonts w:ascii="標楷體" w:eastAsia="標楷體" w:hAnsi="標楷體"/>
          <w:color w:val="000000"/>
        </w:rPr>
        <w:t>8mg/dL</w:t>
      </w:r>
      <w:r>
        <w:rPr>
          <w:rFonts w:ascii="標楷體" w:eastAsia="標楷體" w:hAnsi="標楷體"/>
          <w:color w:val="000000"/>
        </w:rPr>
        <w:t>者。</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有心臟或腎臟衰竭，無法忍受大量靜脈輸液者。</w:t>
      </w:r>
    </w:p>
    <w:p w:rsidR="00203445" w:rsidRDefault="003100F1">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對</w:t>
      </w:r>
      <w:r>
        <w:rPr>
          <w:rFonts w:ascii="標楷體" w:eastAsia="標楷體" w:hAnsi="標楷體"/>
          <w:color w:val="000000"/>
        </w:rPr>
        <w:t>allopurinol</w:t>
      </w:r>
      <w:r>
        <w:rPr>
          <w:rFonts w:ascii="標楷體" w:eastAsia="標楷體" w:hAnsi="標楷體"/>
          <w:color w:val="000000"/>
        </w:rPr>
        <w:t>過敏者。</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使用以每日一至二劑並以三日為限。</w:t>
      </w:r>
    </w:p>
    <w:p w:rsidR="00203445" w:rsidRDefault="003100F1">
      <w:pPr>
        <w:ind w:left="672" w:hanging="386"/>
        <w:rPr>
          <w:rFonts w:ascii="標楷體" w:eastAsia="標楷體" w:hAnsi="標楷體"/>
          <w:color w:val="000000"/>
        </w:rPr>
      </w:pPr>
      <w:r>
        <w:rPr>
          <w:rFonts w:ascii="標楷體" w:eastAsia="標楷體" w:hAnsi="標楷體"/>
          <w:color w:val="000000"/>
        </w:rPr>
        <w:t>5.5.7.Mecasermin</w:t>
      </w:r>
      <w:r>
        <w:rPr>
          <w:rFonts w:ascii="標楷體" w:eastAsia="標楷體" w:hAnsi="標楷體"/>
          <w:color w:val="000000"/>
        </w:rPr>
        <w:t>（如</w:t>
      </w:r>
      <w:proofErr w:type="spellStart"/>
      <w:r>
        <w:rPr>
          <w:rFonts w:ascii="標楷體" w:eastAsia="標楷體" w:hAnsi="標楷體"/>
          <w:color w:val="000000"/>
        </w:rPr>
        <w:t>Increlex</w:t>
      </w:r>
      <w:proofErr w:type="spellEnd"/>
      <w:r>
        <w:rPr>
          <w:rFonts w:ascii="標楷體" w:eastAsia="標楷體" w:hAnsi="標楷體"/>
          <w:color w:val="000000"/>
        </w:rPr>
        <w:t>注射劑）</w:t>
      </w:r>
      <w:r>
        <w:rPr>
          <w:rFonts w:ascii="標楷體" w:eastAsia="標楷體" w:hAnsi="標楷體"/>
          <w:color w:val="000000"/>
        </w:rPr>
        <w:t>(98/5/1</w:t>
      </w:r>
      <w:r>
        <w:rPr>
          <w:rFonts w:ascii="標楷體" w:eastAsia="標楷體" w:hAnsi="標楷體"/>
          <w:color w:val="000000"/>
        </w:rPr>
        <w:t>、</w:t>
      </w:r>
      <w:r>
        <w:rPr>
          <w:rFonts w:ascii="標楷體" w:eastAsia="標楷體" w:hAnsi="標楷體"/>
          <w:color w:val="000000"/>
        </w:rPr>
        <w:t>111/2/1)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限由醫學中心或區域醫院小兒內分泌或新陳代謝專科醫師實施。</w:t>
      </w:r>
    </w:p>
    <w:p w:rsidR="00203445" w:rsidRDefault="003100F1">
      <w:pPr>
        <w:ind w:left="811" w:hanging="245"/>
        <w:rPr>
          <w:rFonts w:ascii="標楷體" w:eastAsia="標楷體" w:hAnsi="標楷體"/>
          <w:color w:val="000000"/>
        </w:rPr>
      </w:pPr>
      <w:r>
        <w:rPr>
          <w:rFonts w:ascii="標楷體" w:eastAsia="標楷體" w:hAnsi="標楷體"/>
          <w:color w:val="000000"/>
        </w:rPr>
        <w:t>2.Primary IGF-I deficiency</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診斷：</w:t>
      </w:r>
      <w:r>
        <w:rPr>
          <w:rFonts w:ascii="標楷體" w:eastAsia="標楷體" w:hAnsi="標楷體"/>
          <w:color w:val="000000"/>
        </w:rPr>
        <w:t>GH-IGF axis</w:t>
      </w:r>
      <w:r>
        <w:rPr>
          <w:rFonts w:ascii="標楷體" w:eastAsia="標楷體" w:hAnsi="標楷體"/>
          <w:color w:val="000000"/>
        </w:rPr>
        <w:t>有明確的基因突變（即</w:t>
      </w:r>
      <w:r>
        <w:rPr>
          <w:rFonts w:ascii="標楷體" w:eastAsia="標楷體" w:hAnsi="標楷體"/>
          <w:color w:val="000000"/>
        </w:rPr>
        <w:t>homozygotes</w:t>
      </w:r>
      <w:r>
        <w:rPr>
          <w:rFonts w:ascii="標楷體" w:eastAsia="標楷體" w:hAnsi="標楷體"/>
          <w:color w:val="000000"/>
        </w:rPr>
        <w:t>或</w:t>
      </w:r>
      <w:r>
        <w:rPr>
          <w:rFonts w:ascii="標楷體" w:eastAsia="標楷體" w:hAnsi="標楷體"/>
          <w:color w:val="000000"/>
        </w:rPr>
        <w:t>compound heterozygotes</w:t>
      </w:r>
      <w:r>
        <w:rPr>
          <w:rFonts w:ascii="標楷體" w:eastAsia="標楷體" w:hAnsi="標楷體"/>
          <w:color w:val="000000"/>
        </w:rPr>
        <w:t>）（請檢附檢驗報告）。</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開始治療條件：</w:t>
      </w:r>
    </w:p>
    <w:p w:rsidR="00203445" w:rsidRDefault="003100F1">
      <w:pPr>
        <w:ind w:left="1231" w:hanging="379"/>
      </w:pPr>
      <w:r>
        <w:rPr>
          <w:rFonts w:ascii="標楷體" w:eastAsia="標楷體" w:hAnsi="標楷體"/>
          <w:color w:val="000000"/>
        </w:rPr>
        <w:t>I.</w:t>
      </w:r>
      <w:r>
        <w:t xml:space="preserve"> </w:t>
      </w:r>
      <w:r>
        <w:rPr>
          <w:rFonts w:ascii="標楷體" w:eastAsia="標楷體" w:hAnsi="標楷體"/>
          <w:color w:val="000000"/>
        </w:rPr>
        <w:t>2</w:t>
      </w:r>
      <w:proofErr w:type="gramStart"/>
      <w:r>
        <w:rPr>
          <w:rFonts w:ascii="標楷體" w:eastAsia="標楷體" w:hAnsi="標楷體"/>
          <w:color w:val="000000"/>
        </w:rPr>
        <w:t>歲以上</w:t>
      </w:r>
      <w:r>
        <w:rPr>
          <w:rFonts w:ascii="標楷體" w:eastAsia="標楷體" w:hAnsi="標楷體"/>
          <w:color w:val="000000"/>
        </w:rPr>
        <w:t>(</w:t>
      </w:r>
      <w:proofErr w:type="gramEnd"/>
      <w:r>
        <w:rPr>
          <w:rFonts w:ascii="標楷體" w:eastAsia="標楷體" w:hAnsi="標楷體"/>
          <w:color w:val="000000"/>
        </w:rPr>
        <w:t>111/2/1)</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r>
      <w:r>
        <w:rPr>
          <w:rFonts w:ascii="標楷體" w:eastAsia="標楷體" w:hAnsi="標楷體"/>
          <w:color w:val="000000"/>
        </w:rPr>
        <w:t>身高低於同性別同年齡正常孩童之</w:t>
      </w:r>
      <w:r>
        <w:rPr>
          <w:rFonts w:ascii="標楷體" w:eastAsia="標楷體" w:hAnsi="標楷體"/>
          <w:color w:val="000000"/>
        </w:rPr>
        <w:t>-3SD</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生長速率一年小於</w:t>
      </w:r>
      <w:r>
        <w:rPr>
          <w:rFonts w:ascii="標楷體" w:eastAsia="標楷體" w:hAnsi="標楷體"/>
          <w:color w:val="000000"/>
        </w:rPr>
        <w:t>4</w:t>
      </w:r>
      <w:r>
        <w:rPr>
          <w:rFonts w:ascii="標楷體" w:eastAsia="標楷體" w:hAnsi="標楷體"/>
          <w:color w:val="000000"/>
        </w:rPr>
        <w:t>公分，需具醫療機構之身</w:t>
      </w:r>
      <w:r>
        <w:rPr>
          <w:rFonts w:ascii="標楷體" w:eastAsia="標楷體" w:hAnsi="標楷體"/>
          <w:color w:val="000000"/>
        </w:rPr>
        <w:t>高檢查每隔三個月一次，至少六個月以上之紀錄。</w:t>
      </w:r>
    </w:p>
    <w:p w:rsidR="00203445" w:rsidRDefault="003100F1">
      <w:pPr>
        <w:ind w:left="1231" w:hanging="379"/>
        <w:rPr>
          <w:rFonts w:ascii="標楷體" w:eastAsia="標楷體" w:hAnsi="標楷體"/>
          <w:color w:val="000000"/>
        </w:rPr>
      </w:pPr>
      <w:r>
        <w:rPr>
          <w:rFonts w:ascii="標楷體" w:eastAsia="標楷體" w:hAnsi="標楷體"/>
          <w:color w:val="000000"/>
        </w:rPr>
        <w:t>IV.</w:t>
      </w:r>
      <w:proofErr w:type="gramStart"/>
      <w:r>
        <w:rPr>
          <w:rFonts w:ascii="標楷體" w:eastAsia="標楷體" w:hAnsi="標楷體"/>
          <w:color w:val="000000"/>
        </w:rPr>
        <w:t>骨齡比</w:t>
      </w:r>
      <w:proofErr w:type="gramEnd"/>
      <w:r>
        <w:rPr>
          <w:rFonts w:ascii="標楷體" w:eastAsia="標楷體" w:hAnsi="標楷體"/>
          <w:color w:val="000000"/>
        </w:rPr>
        <w:t>實際年齡遲緩至少二個標準差。</w:t>
      </w:r>
    </w:p>
    <w:p w:rsidR="00203445" w:rsidRDefault="003100F1">
      <w:pPr>
        <w:ind w:left="1231" w:hanging="379"/>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血清生長激素濃度之基礎值或施行生長激素刺激試驗的最高值超過</w:t>
      </w:r>
      <w:r>
        <w:rPr>
          <w:rFonts w:ascii="標楷體" w:eastAsia="標楷體" w:hAnsi="標楷體"/>
          <w:color w:val="000000"/>
        </w:rPr>
        <w:t>10 ng/mL</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血清</w:t>
      </w:r>
      <w:r>
        <w:rPr>
          <w:rFonts w:ascii="標楷體" w:eastAsia="標楷體" w:hAnsi="標楷體"/>
          <w:color w:val="000000"/>
        </w:rPr>
        <w:t>IGF-I</w:t>
      </w:r>
      <w:r>
        <w:rPr>
          <w:rFonts w:ascii="標楷體" w:eastAsia="標楷體" w:hAnsi="標楷體"/>
          <w:color w:val="000000"/>
        </w:rPr>
        <w:t>基礎值低於</w:t>
      </w:r>
      <w:r>
        <w:rPr>
          <w:rFonts w:ascii="標楷體" w:eastAsia="標楷體" w:hAnsi="標楷體"/>
          <w:color w:val="000000"/>
        </w:rPr>
        <w:t>50μg/L</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VII.</w:t>
      </w:r>
      <w:r>
        <w:rPr>
          <w:rFonts w:ascii="標楷體" w:eastAsia="標楷體" w:hAnsi="標楷體"/>
          <w:color w:val="000000"/>
        </w:rPr>
        <w:t>血清</w:t>
      </w:r>
      <w:r>
        <w:rPr>
          <w:rFonts w:ascii="標楷體" w:eastAsia="標楷體" w:hAnsi="標楷體"/>
          <w:color w:val="000000"/>
        </w:rPr>
        <w:t>IGFBP-3</w:t>
      </w:r>
      <w:r>
        <w:rPr>
          <w:rFonts w:ascii="標楷體" w:eastAsia="標楷體" w:hAnsi="標楷體"/>
          <w:color w:val="000000"/>
        </w:rPr>
        <w:t>基礎值低於</w:t>
      </w:r>
      <w:r>
        <w:rPr>
          <w:rFonts w:ascii="標楷體" w:eastAsia="標楷體" w:hAnsi="標楷體"/>
          <w:color w:val="000000"/>
        </w:rPr>
        <w:t>1.0mg/L</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VIII.IGF generation test</w:t>
      </w:r>
      <w:r>
        <w:rPr>
          <w:rFonts w:ascii="標楷體" w:eastAsia="標楷體" w:hAnsi="標楷體"/>
          <w:color w:val="000000"/>
        </w:rPr>
        <w:t>（給予生長激素</w:t>
      </w:r>
      <w:r>
        <w:rPr>
          <w:rFonts w:ascii="標楷體" w:eastAsia="標楷體" w:hAnsi="標楷體"/>
          <w:color w:val="000000"/>
        </w:rPr>
        <w:t>33μg/kg/day</w:t>
      </w:r>
      <w:r>
        <w:rPr>
          <w:rFonts w:ascii="標楷體" w:eastAsia="標楷體" w:hAnsi="標楷體"/>
          <w:color w:val="000000"/>
        </w:rPr>
        <w:t>皮下注射四天）後血清</w:t>
      </w:r>
      <w:r>
        <w:rPr>
          <w:rFonts w:ascii="標楷體" w:eastAsia="標楷體" w:hAnsi="標楷體"/>
          <w:color w:val="000000"/>
        </w:rPr>
        <w:t>IGF-I</w:t>
      </w:r>
      <w:r>
        <w:rPr>
          <w:rFonts w:ascii="標楷體" w:eastAsia="標楷體" w:hAnsi="標楷體"/>
          <w:color w:val="000000"/>
        </w:rPr>
        <w:t>值增加不超過</w:t>
      </w:r>
      <w:r>
        <w:rPr>
          <w:rFonts w:ascii="標楷體" w:eastAsia="標楷體" w:hAnsi="標楷體"/>
          <w:color w:val="000000"/>
        </w:rPr>
        <w:t>20μg/L</w:t>
      </w:r>
      <w:r>
        <w:rPr>
          <w:rFonts w:ascii="標楷體" w:eastAsia="標楷體" w:hAnsi="標楷體"/>
          <w:color w:val="000000"/>
        </w:rPr>
        <w:t>。血清</w:t>
      </w:r>
      <w:r>
        <w:rPr>
          <w:rFonts w:ascii="標楷體" w:eastAsia="標楷體" w:hAnsi="標楷體"/>
          <w:color w:val="000000"/>
        </w:rPr>
        <w:t>IGF-BP3</w:t>
      </w:r>
      <w:r>
        <w:rPr>
          <w:rFonts w:ascii="標楷體" w:eastAsia="標楷體" w:hAnsi="標楷體"/>
          <w:color w:val="000000"/>
        </w:rPr>
        <w:t>值增加不超過</w:t>
      </w:r>
      <w:r>
        <w:rPr>
          <w:rFonts w:ascii="標楷體" w:eastAsia="標楷體" w:hAnsi="標楷體"/>
          <w:color w:val="000000"/>
        </w:rPr>
        <w:t>0.4 mg/L</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 xml:space="preserve">3.Isolated growth hormone </w:t>
      </w:r>
      <w:r>
        <w:rPr>
          <w:rFonts w:ascii="標楷體" w:eastAsia="標楷體" w:hAnsi="標楷體"/>
          <w:color w:val="000000"/>
        </w:rPr>
        <w:t>deficiency type IA</w:t>
      </w:r>
      <w:r>
        <w:rPr>
          <w:rFonts w:ascii="標楷體" w:eastAsia="標楷體" w:hAnsi="標楷體"/>
          <w:color w:val="000000"/>
        </w:rPr>
        <w:t>（</w:t>
      </w:r>
      <w:r>
        <w:rPr>
          <w:rFonts w:ascii="標楷體" w:eastAsia="標楷體" w:hAnsi="標楷體"/>
          <w:color w:val="000000"/>
        </w:rPr>
        <w:t>GHD-IA</w:t>
      </w:r>
      <w:r>
        <w:rPr>
          <w:rFonts w:ascii="標楷體" w:eastAsia="標楷體" w:hAnsi="標楷體"/>
          <w:color w:val="000000"/>
        </w:rPr>
        <w:t>）</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診斷：</w:t>
      </w:r>
      <w:r>
        <w:rPr>
          <w:rFonts w:ascii="標楷體" w:eastAsia="標楷體" w:hAnsi="標楷體"/>
          <w:color w:val="000000"/>
        </w:rPr>
        <w:t>GH1 gene</w:t>
      </w:r>
      <w:r>
        <w:rPr>
          <w:rFonts w:ascii="標楷體" w:eastAsia="標楷體" w:hAnsi="標楷體"/>
          <w:color w:val="000000"/>
        </w:rPr>
        <w:t>有明確</w:t>
      </w:r>
      <w:proofErr w:type="gramStart"/>
      <w:r>
        <w:rPr>
          <w:rFonts w:ascii="標楷體" w:eastAsia="標楷體" w:hAnsi="標楷體"/>
          <w:color w:val="000000"/>
        </w:rPr>
        <w:t>的脫失突變</w:t>
      </w:r>
      <w:proofErr w:type="gramEnd"/>
      <w:r>
        <w:rPr>
          <w:rFonts w:ascii="標楷體" w:eastAsia="標楷體" w:hAnsi="標楷體"/>
          <w:color w:val="000000"/>
        </w:rPr>
        <w:t>（</w:t>
      </w:r>
      <w:r>
        <w:rPr>
          <w:rFonts w:ascii="標楷體" w:eastAsia="標楷體" w:hAnsi="標楷體"/>
          <w:color w:val="000000"/>
        </w:rPr>
        <w:t>deletion</w:t>
      </w:r>
      <w:r>
        <w:rPr>
          <w:rFonts w:ascii="標楷體" w:eastAsia="標楷體" w:hAnsi="標楷體"/>
          <w:color w:val="000000"/>
        </w:rPr>
        <w:t>）（請檢附檢驗報告）</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開始治療條件：</w:t>
      </w:r>
    </w:p>
    <w:p w:rsidR="00203445" w:rsidRDefault="003100F1">
      <w:pPr>
        <w:ind w:left="1231" w:hanging="379"/>
      </w:pPr>
      <w:r>
        <w:rPr>
          <w:rFonts w:ascii="標楷體" w:eastAsia="標楷體" w:hAnsi="標楷體"/>
          <w:color w:val="000000"/>
        </w:rPr>
        <w:t>I.</w:t>
      </w:r>
      <w:r>
        <w:t xml:space="preserve"> </w:t>
      </w:r>
      <w:r>
        <w:rPr>
          <w:rFonts w:ascii="標楷體" w:eastAsia="標楷體" w:hAnsi="標楷體"/>
          <w:color w:val="000000"/>
        </w:rPr>
        <w:t>2</w:t>
      </w:r>
      <w:proofErr w:type="gramStart"/>
      <w:r>
        <w:rPr>
          <w:rFonts w:ascii="標楷體" w:eastAsia="標楷體" w:hAnsi="標楷體"/>
          <w:color w:val="000000"/>
        </w:rPr>
        <w:t>歲以上</w:t>
      </w:r>
      <w:r>
        <w:rPr>
          <w:rFonts w:ascii="標楷體" w:eastAsia="標楷體" w:hAnsi="標楷體"/>
          <w:color w:val="000000"/>
        </w:rPr>
        <w:t>(</w:t>
      </w:r>
      <w:proofErr w:type="gramEnd"/>
      <w:r>
        <w:rPr>
          <w:rFonts w:ascii="標楷體" w:eastAsia="標楷體" w:hAnsi="標楷體"/>
          <w:color w:val="000000"/>
        </w:rPr>
        <w:t>111/2/1)</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身高低於同性別同年齡正常孩童之</w:t>
      </w:r>
      <w:r>
        <w:rPr>
          <w:rFonts w:ascii="標楷體" w:eastAsia="標楷體" w:hAnsi="標楷體"/>
          <w:color w:val="000000"/>
        </w:rPr>
        <w:t>-2SD</w:t>
      </w:r>
      <w:r>
        <w:rPr>
          <w:rFonts w:ascii="標楷體" w:eastAsia="標楷體" w:hAnsi="標楷體"/>
          <w:color w:val="000000"/>
        </w:rPr>
        <w:t>。</w:t>
      </w:r>
    </w:p>
    <w:p w:rsidR="00203445" w:rsidRDefault="003100F1">
      <w:pPr>
        <w:ind w:left="1231" w:hanging="379"/>
        <w:rPr>
          <w:rFonts w:ascii="標楷體" w:eastAsia="標楷體" w:hAnsi="標楷體"/>
          <w:color w:val="000000"/>
        </w:rPr>
      </w:pPr>
      <w:r>
        <w:rPr>
          <w:rFonts w:ascii="標楷體" w:eastAsia="標楷體" w:hAnsi="標楷體"/>
          <w:color w:val="000000"/>
        </w:rPr>
        <w:t>III.</w:t>
      </w:r>
      <w:r>
        <w:rPr>
          <w:rFonts w:ascii="標楷體" w:eastAsia="標楷體" w:hAnsi="標楷體"/>
          <w:color w:val="000000"/>
        </w:rPr>
        <w:t>生長速率一年小於</w:t>
      </w:r>
      <w:r>
        <w:rPr>
          <w:rFonts w:ascii="標楷體" w:eastAsia="標楷體" w:hAnsi="標楷體"/>
          <w:color w:val="000000"/>
        </w:rPr>
        <w:t>4</w:t>
      </w:r>
      <w:r>
        <w:rPr>
          <w:rFonts w:ascii="標楷體" w:eastAsia="標楷體" w:hAnsi="標楷體"/>
          <w:color w:val="000000"/>
        </w:rPr>
        <w:t>公分，需具醫療機構之身高檢查每隔三個月一次，至少六個月以上之記錄。</w:t>
      </w:r>
    </w:p>
    <w:p w:rsidR="00203445" w:rsidRDefault="003100F1">
      <w:pPr>
        <w:ind w:left="1231" w:hanging="379"/>
        <w:rPr>
          <w:rFonts w:ascii="標楷體" w:eastAsia="標楷體" w:hAnsi="標楷體"/>
          <w:color w:val="000000"/>
        </w:rPr>
      </w:pPr>
      <w:r>
        <w:rPr>
          <w:rFonts w:ascii="標楷體" w:eastAsia="標楷體" w:hAnsi="標楷體"/>
          <w:color w:val="000000"/>
        </w:rPr>
        <w:t>IV.</w:t>
      </w:r>
      <w:proofErr w:type="gramStart"/>
      <w:r>
        <w:rPr>
          <w:rFonts w:ascii="標楷體" w:eastAsia="標楷體" w:hAnsi="標楷體"/>
          <w:color w:val="000000"/>
        </w:rPr>
        <w:t>骨齡比</w:t>
      </w:r>
      <w:proofErr w:type="gramEnd"/>
      <w:r>
        <w:rPr>
          <w:rFonts w:ascii="標楷體" w:eastAsia="標楷體" w:hAnsi="標楷體"/>
          <w:color w:val="000000"/>
        </w:rPr>
        <w:t>實際年齡遲緩至少</w:t>
      </w:r>
      <w:r>
        <w:rPr>
          <w:rFonts w:ascii="標楷體" w:eastAsia="標楷體" w:hAnsi="標楷體"/>
          <w:color w:val="000000"/>
        </w:rPr>
        <w:t>2</w:t>
      </w:r>
      <w:r>
        <w:rPr>
          <w:rFonts w:ascii="標楷體" w:eastAsia="標楷體" w:hAnsi="標楷體"/>
          <w:color w:val="000000"/>
        </w:rPr>
        <w:t>個標準差。（請檢附骨齡</w:t>
      </w:r>
      <w:r>
        <w:rPr>
          <w:rFonts w:ascii="標楷體" w:eastAsia="標楷體" w:hAnsi="標楷體"/>
          <w:color w:val="000000"/>
        </w:rPr>
        <w:t>X</w:t>
      </w:r>
      <w:r>
        <w:rPr>
          <w:rFonts w:ascii="標楷體" w:eastAsia="標楷體" w:hAnsi="標楷體"/>
          <w:color w:val="000000"/>
        </w:rPr>
        <w:t>光片）</w:t>
      </w:r>
    </w:p>
    <w:p w:rsidR="00203445" w:rsidRDefault="003100F1">
      <w:pPr>
        <w:ind w:left="1231" w:hanging="379"/>
        <w:rPr>
          <w:rFonts w:ascii="標楷體" w:eastAsia="標楷體" w:hAnsi="標楷體"/>
          <w:color w:val="000000"/>
        </w:rPr>
      </w:pPr>
      <w:r>
        <w:rPr>
          <w:rFonts w:ascii="標楷體" w:eastAsia="標楷體" w:hAnsi="標楷體"/>
          <w:color w:val="000000"/>
        </w:rPr>
        <w:lastRenderedPageBreak/>
        <w:t>V.</w:t>
      </w:r>
      <w:r>
        <w:rPr>
          <w:rFonts w:ascii="標楷體" w:eastAsia="標楷體" w:hAnsi="標楷體"/>
          <w:color w:val="000000"/>
        </w:rPr>
        <w:t>施行</w:t>
      </w:r>
      <w:r>
        <w:rPr>
          <w:rFonts w:ascii="標楷體" w:eastAsia="標楷體" w:hAnsi="標楷體"/>
          <w:color w:val="000000"/>
        </w:rPr>
        <w:t>insulin</w:t>
      </w:r>
      <w:r>
        <w:rPr>
          <w:rFonts w:ascii="標楷體" w:eastAsia="標楷體" w:hAnsi="標楷體"/>
          <w:color w:val="000000"/>
        </w:rPr>
        <w:t>、</w:t>
      </w:r>
      <w:r>
        <w:rPr>
          <w:rFonts w:ascii="標楷體" w:eastAsia="標楷體" w:hAnsi="標楷體"/>
          <w:color w:val="000000"/>
        </w:rPr>
        <w:t>clonidine</w:t>
      </w:r>
      <w:r>
        <w:rPr>
          <w:rFonts w:ascii="標楷體" w:eastAsia="標楷體" w:hAnsi="標楷體"/>
          <w:color w:val="000000"/>
        </w:rPr>
        <w:t>、</w:t>
      </w:r>
      <w:r>
        <w:rPr>
          <w:rFonts w:ascii="標楷體" w:eastAsia="標楷體" w:hAnsi="標楷體"/>
          <w:color w:val="000000"/>
        </w:rPr>
        <w:t>L-Dopa</w:t>
      </w:r>
      <w:r>
        <w:rPr>
          <w:rFonts w:ascii="標楷體" w:eastAsia="標楷體" w:hAnsi="標楷體"/>
          <w:color w:val="000000"/>
        </w:rPr>
        <w:t>、</w:t>
      </w:r>
      <w:r>
        <w:rPr>
          <w:rFonts w:ascii="標楷體" w:eastAsia="標楷體" w:hAnsi="標楷體"/>
          <w:color w:val="000000"/>
        </w:rPr>
        <w:t>glucagon</w:t>
      </w:r>
      <w:r>
        <w:rPr>
          <w:rFonts w:ascii="標楷體" w:eastAsia="標楷體" w:hAnsi="標楷體"/>
          <w:color w:val="000000"/>
        </w:rPr>
        <w:t>、</w:t>
      </w:r>
      <w:r>
        <w:rPr>
          <w:rFonts w:ascii="標楷體" w:eastAsia="標楷體" w:hAnsi="標楷體"/>
          <w:color w:val="000000"/>
        </w:rPr>
        <w:t>arginine</w:t>
      </w:r>
      <w:r>
        <w:rPr>
          <w:rFonts w:ascii="標楷體" w:eastAsia="標楷體" w:hAnsi="標楷體"/>
          <w:color w:val="000000"/>
        </w:rPr>
        <w:t>等檢查，有兩項以上之</w:t>
      </w:r>
      <w:r>
        <w:rPr>
          <w:rFonts w:ascii="標楷體" w:eastAsia="標楷體" w:hAnsi="標楷體"/>
          <w:color w:val="000000"/>
        </w:rPr>
        <w:t>檢查皆偵測不到生長激素值。</w:t>
      </w:r>
    </w:p>
    <w:p w:rsidR="00203445" w:rsidRDefault="003100F1">
      <w:pPr>
        <w:ind w:left="1231" w:hanging="379"/>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施予生長激素治療第一年比生長激素治療前多</w:t>
      </w:r>
      <w:r>
        <w:rPr>
          <w:rFonts w:ascii="標楷體" w:eastAsia="標楷體" w:hAnsi="標楷體"/>
          <w:color w:val="000000"/>
        </w:rPr>
        <w:t>3</w:t>
      </w:r>
      <w:r>
        <w:rPr>
          <w:rFonts w:ascii="標楷體" w:eastAsia="標楷體" w:hAnsi="標楷體"/>
          <w:color w:val="000000"/>
        </w:rPr>
        <w:t>公分以上，但後來以適當生長激素劑量治療，年生長速率仍小於</w:t>
      </w:r>
      <w:r>
        <w:rPr>
          <w:rFonts w:ascii="標楷體" w:eastAsia="標楷體" w:hAnsi="標楷體"/>
          <w:color w:val="000000"/>
        </w:rPr>
        <w:t>3</w:t>
      </w:r>
      <w:r>
        <w:rPr>
          <w:rFonts w:ascii="標楷體" w:eastAsia="標楷體" w:hAnsi="標楷體"/>
          <w:color w:val="000000"/>
        </w:rPr>
        <w:t>公分。</w:t>
      </w:r>
    </w:p>
    <w:p w:rsidR="00203445" w:rsidRDefault="003100F1">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r>
      <w:r>
        <w:rPr>
          <w:rFonts w:ascii="標楷體" w:eastAsia="標楷體" w:hAnsi="標楷體"/>
          <w:color w:val="000000"/>
        </w:rPr>
        <w:t>治療劑量：不超過</w:t>
      </w:r>
      <w:r>
        <w:rPr>
          <w:rFonts w:ascii="標楷體" w:eastAsia="標楷體" w:hAnsi="標楷體"/>
          <w:color w:val="000000"/>
        </w:rPr>
        <w:t>120μg/kg</w:t>
      </w:r>
      <w:r>
        <w:rPr>
          <w:rFonts w:ascii="標楷體" w:eastAsia="標楷體" w:hAnsi="標楷體"/>
          <w:color w:val="000000"/>
        </w:rPr>
        <w:t>皮下注射每天兩次。</w:t>
      </w:r>
    </w:p>
    <w:p w:rsidR="00203445" w:rsidRDefault="003100F1">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治療監測：病人至少每</w:t>
      </w:r>
      <w:r>
        <w:rPr>
          <w:rFonts w:ascii="標楷體" w:eastAsia="標楷體" w:hAnsi="標楷體"/>
          <w:color w:val="000000"/>
        </w:rPr>
        <w:t>3</w:t>
      </w:r>
      <w:r>
        <w:rPr>
          <w:rFonts w:ascii="標楷體" w:eastAsia="標楷體" w:hAnsi="標楷體"/>
          <w:color w:val="000000"/>
        </w:rPr>
        <w:t>個月測量身高體重一次，每</w:t>
      </w:r>
      <w:r>
        <w:rPr>
          <w:rFonts w:ascii="標楷體" w:eastAsia="標楷體" w:hAnsi="標楷體"/>
          <w:color w:val="000000"/>
        </w:rPr>
        <w:t>6</w:t>
      </w:r>
      <w:r>
        <w:rPr>
          <w:rFonts w:ascii="標楷體" w:eastAsia="標楷體" w:hAnsi="標楷體"/>
          <w:color w:val="000000"/>
        </w:rPr>
        <w:t>至</w:t>
      </w:r>
      <w:r>
        <w:rPr>
          <w:rFonts w:ascii="標楷體" w:eastAsia="標楷體" w:hAnsi="標楷體"/>
          <w:color w:val="000000"/>
        </w:rPr>
        <w:t>12</w:t>
      </w:r>
      <w:r>
        <w:rPr>
          <w:rFonts w:ascii="標楷體" w:eastAsia="標楷體" w:hAnsi="標楷體"/>
          <w:color w:val="000000"/>
        </w:rPr>
        <w:t>個月</w:t>
      </w:r>
      <w:proofErr w:type="gramStart"/>
      <w:r>
        <w:rPr>
          <w:rFonts w:ascii="標楷體" w:eastAsia="標楷體" w:hAnsi="標楷體"/>
          <w:color w:val="000000"/>
        </w:rPr>
        <w:t>評估骨齡一次</w:t>
      </w:r>
      <w:proofErr w:type="gramEnd"/>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繼續治療條件：</w:t>
      </w:r>
    </w:p>
    <w:p w:rsidR="00203445" w:rsidRDefault="003100F1">
      <w:pPr>
        <w:ind w:left="1049" w:hanging="341"/>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男童骨齡未滿</w:t>
      </w:r>
      <w:proofErr w:type="gramEnd"/>
      <w:r>
        <w:rPr>
          <w:rFonts w:ascii="標楷體" w:eastAsia="標楷體" w:hAnsi="標楷體"/>
          <w:color w:val="000000"/>
        </w:rPr>
        <w:t>16</w:t>
      </w:r>
      <w:r>
        <w:rPr>
          <w:rFonts w:ascii="標楷體" w:eastAsia="標楷體" w:hAnsi="標楷體"/>
          <w:color w:val="000000"/>
        </w:rPr>
        <w:t>歲，女</w:t>
      </w:r>
      <w:proofErr w:type="gramStart"/>
      <w:r>
        <w:rPr>
          <w:rFonts w:ascii="標楷體" w:eastAsia="標楷體" w:hAnsi="標楷體"/>
          <w:color w:val="000000"/>
        </w:rPr>
        <w:t>童骨</w:t>
      </w:r>
      <w:proofErr w:type="gramEnd"/>
      <w:r>
        <w:rPr>
          <w:rFonts w:ascii="標楷體" w:eastAsia="標楷體" w:hAnsi="標楷體"/>
          <w:color w:val="000000"/>
        </w:rPr>
        <w:t>齡未滿</w:t>
      </w:r>
      <w:r>
        <w:rPr>
          <w:rFonts w:ascii="標楷體" w:eastAsia="標楷體" w:hAnsi="標楷體"/>
          <w:color w:val="000000"/>
        </w:rPr>
        <w:t>14</w:t>
      </w:r>
      <w:r>
        <w:rPr>
          <w:rFonts w:ascii="標楷體" w:eastAsia="標楷體" w:hAnsi="標楷體"/>
          <w:color w:val="000000"/>
        </w:rPr>
        <w:t>歲，</w:t>
      </w:r>
      <w:proofErr w:type="gramStart"/>
      <w:r>
        <w:rPr>
          <w:rFonts w:ascii="標楷體" w:eastAsia="標楷體" w:hAnsi="標楷體"/>
          <w:color w:val="000000"/>
        </w:rPr>
        <w:t>且骨</w:t>
      </w:r>
      <w:proofErr w:type="gramEnd"/>
      <w:r>
        <w:rPr>
          <w:rFonts w:ascii="標楷體" w:eastAsia="標楷體" w:hAnsi="標楷體"/>
          <w:color w:val="000000"/>
        </w:rPr>
        <w:t>端尚未癒合患者</w:t>
      </w:r>
      <w:r>
        <w:rPr>
          <w:rFonts w:ascii="標楷體" w:eastAsia="標楷體" w:hAnsi="標楷體"/>
          <w:color w:val="000000"/>
        </w:rPr>
        <w:t>(111/2/1)</w:t>
      </w:r>
      <w:r>
        <w:rPr>
          <w:rFonts w:ascii="標楷體" w:eastAsia="標楷體" w:hAnsi="標楷體"/>
          <w:color w:val="000000"/>
        </w:rPr>
        <w:t>。</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第一年生長速率比治療前增加至少</w:t>
      </w:r>
      <w:r>
        <w:rPr>
          <w:rFonts w:ascii="標楷體" w:eastAsia="標楷體" w:hAnsi="標楷體"/>
          <w:color w:val="000000"/>
        </w:rPr>
        <w:t>3</w:t>
      </w:r>
      <w:r>
        <w:rPr>
          <w:rFonts w:ascii="標楷體" w:eastAsia="標楷體" w:hAnsi="標楷體"/>
          <w:color w:val="000000"/>
        </w:rPr>
        <w:t>公分。</w:t>
      </w:r>
    </w:p>
    <w:p w:rsidR="00203445" w:rsidRDefault="003100F1">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第二年開始，生長速率至少</w:t>
      </w:r>
      <w:r>
        <w:rPr>
          <w:rFonts w:ascii="標楷體" w:eastAsia="標楷體" w:hAnsi="標楷體"/>
          <w:color w:val="000000"/>
        </w:rPr>
        <w:t>4</w:t>
      </w:r>
      <w:r>
        <w:rPr>
          <w:rFonts w:ascii="標楷體" w:eastAsia="標楷體" w:hAnsi="標楷體"/>
          <w:color w:val="000000"/>
        </w:rPr>
        <w:t>公分</w:t>
      </w:r>
      <w:r>
        <w:rPr>
          <w:rFonts w:ascii="標楷體" w:eastAsia="標楷體" w:hAnsi="標楷體"/>
          <w:color w:val="000000"/>
        </w:rPr>
        <w:t>/</w:t>
      </w:r>
      <w:r>
        <w:rPr>
          <w:rFonts w:ascii="標楷體" w:eastAsia="標楷體" w:hAnsi="標楷體"/>
          <w:color w:val="000000"/>
        </w:rPr>
        <w:t>年。</w:t>
      </w:r>
    </w:p>
    <w:p w:rsidR="00F33A3C" w:rsidRPr="00787B3F" w:rsidRDefault="00F33A3C" w:rsidP="00F33A3C">
      <w:pPr>
        <w:spacing w:line="400" w:lineRule="exact"/>
        <w:ind w:left="636" w:hangingChars="265" w:hanging="636"/>
        <w:contextualSpacing/>
        <w:rPr>
          <w:rFonts w:ascii="標楷體" w:eastAsia="標楷體" w:hAnsi="標楷體"/>
          <w:kern w:val="0"/>
        </w:rPr>
      </w:pPr>
      <w:r w:rsidRPr="00787B3F">
        <w:rPr>
          <w:rFonts w:ascii="標楷體" w:eastAsia="標楷體" w:hAnsi="標楷體"/>
          <w:kern w:val="0"/>
        </w:rPr>
        <w:t>5.5.8.Vosoritide（如</w:t>
      </w:r>
      <w:proofErr w:type="spellStart"/>
      <w:r w:rsidRPr="00787B3F">
        <w:rPr>
          <w:rFonts w:ascii="標楷體" w:eastAsia="標楷體" w:hAnsi="標楷體"/>
          <w:kern w:val="0"/>
        </w:rPr>
        <w:t>Voxzogo</w:t>
      </w:r>
      <w:proofErr w:type="spellEnd"/>
      <w:r w:rsidRPr="00787B3F">
        <w:rPr>
          <w:rFonts w:ascii="標楷體" w:eastAsia="標楷體" w:hAnsi="標楷體"/>
          <w:kern w:val="0"/>
        </w:rPr>
        <w:t>）：（</w:t>
      </w:r>
      <w:r w:rsidRPr="00787B3F">
        <w:rPr>
          <w:rFonts w:ascii="標楷體" w:eastAsia="標楷體" w:hAnsi="標楷體" w:hint="eastAsia"/>
          <w:kern w:val="0"/>
        </w:rPr>
        <w:t>1</w:t>
      </w:r>
      <w:r w:rsidRPr="00787B3F">
        <w:rPr>
          <w:rFonts w:ascii="標楷體" w:eastAsia="標楷體" w:hAnsi="標楷體"/>
          <w:kern w:val="0"/>
        </w:rPr>
        <w:t>14/5/1）</w:t>
      </w:r>
    </w:p>
    <w:p w:rsidR="00F33A3C" w:rsidRPr="00787B3F" w:rsidRDefault="00F33A3C" w:rsidP="00F33A3C">
      <w:pPr>
        <w:pStyle w:val="a8"/>
        <w:numPr>
          <w:ilvl w:val="0"/>
          <w:numId w:val="5"/>
        </w:numPr>
        <w:suppressAutoHyphens w:val="0"/>
        <w:autoSpaceDE w:val="0"/>
        <w:adjustRightInd w:val="0"/>
        <w:spacing w:line="400" w:lineRule="exact"/>
        <w:ind w:left="851" w:hanging="340"/>
        <w:contextualSpacing/>
        <w:textAlignment w:val="auto"/>
        <w:rPr>
          <w:rFonts w:ascii="標楷體" w:eastAsia="標楷體" w:hAnsi="標楷體"/>
        </w:rPr>
      </w:pPr>
      <w:r w:rsidRPr="00787B3F">
        <w:rPr>
          <w:rFonts w:ascii="標楷體" w:eastAsia="標楷體" w:hAnsi="標楷體"/>
        </w:rPr>
        <w:t>限用於經衛生福利部國民</w:t>
      </w:r>
      <w:proofErr w:type="gramStart"/>
      <w:r w:rsidRPr="00787B3F">
        <w:rPr>
          <w:rFonts w:ascii="標楷體" w:eastAsia="標楷體" w:hAnsi="標楷體"/>
        </w:rPr>
        <w:t>健康署</w:t>
      </w:r>
      <w:proofErr w:type="gramEnd"/>
      <w:r w:rsidRPr="00787B3F">
        <w:rPr>
          <w:rFonts w:ascii="標楷體" w:eastAsia="標楷體" w:hAnsi="標楷體"/>
        </w:rPr>
        <w:t>認定之2歲以上罕見疾病軟骨發育不全症（achondroplasia, ACH）</w:t>
      </w:r>
      <w:proofErr w:type="gramStart"/>
      <w:r w:rsidRPr="00787B3F">
        <w:rPr>
          <w:rFonts w:ascii="標楷體" w:eastAsia="標楷體" w:hAnsi="標楷體"/>
        </w:rPr>
        <w:t>且骨</w:t>
      </w:r>
      <w:proofErr w:type="gramEnd"/>
      <w:r w:rsidRPr="00787B3F">
        <w:rPr>
          <w:rFonts w:ascii="標楷體" w:eastAsia="標楷體" w:hAnsi="標楷體"/>
        </w:rPr>
        <w:t>骺未閉合之病人，並符合下列所有條件：</w:t>
      </w:r>
    </w:p>
    <w:p w:rsidR="00F33A3C" w:rsidRPr="00787B3F" w:rsidRDefault="00F33A3C" w:rsidP="00F33A3C">
      <w:pPr>
        <w:pStyle w:val="a8"/>
        <w:numPr>
          <w:ilvl w:val="0"/>
          <w:numId w:val="3"/>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經基因檢測具FGFR3基因變異者，需檢附基因診斷報告及</w:t>
      </w:r>
      <w:r w:rsidRPr="00787B3F">
        <w:rPr>
          <w:rFonts w:ascii="標楷體" w:eastAsia="標楷體" w:hAnsi="標楷體" w:hint="eastAsia"/>
        </w:rPr>
        <w:t>衛生福利部</w:t>
      </w:r>
      <w:r w:rsidRPr="00787B3F">
        <w:rPr>
          <w:rFonts w:ascii="標楷體" w:eastAsia="標楷體" w:hAnsi="標楷體"/>
        </w:rPr>
        <w:t>國民</w:t>
      </w:r>
      <w:proofErr w:type="gramStart"/>
      <w:r w:rsidRPr="00787B3F">
        <w:rPr>
          <w:rFonts w:ascii="標楷體" w:eastAsia="標楷體" w:hAnsi="標楷體"/>
        </w:rPr>
        <w:t>健康署</w:t>
      </w:r>
      <w:proofErr w:type="gramEnd"/>
      <w:r w:rsidRPr="00787B3F">
        <w:rPr>
          <w:rFonts w:ascii="標楷體" w:eastAsia="標楷體" w:hAnsi="標楷體"/>
        </w:rPr>
        <w:t>通報通過證明。</w:t>
      </w:r>
    </w:p>
    <w:p w:rsidR="00F33A3C" w:rsidRPr="00787B3F" w:rsidRDefault="00F33A3C" w:rsidP="00F33A3C">
      <w:pPr>
        <w:pStyle w:val="a8"/>
        <w:numPr>
          <w:ilvl w:val="0"/>
          <w:numId w:val="3"/>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身高低於第三百分位，需</w:t>
      </w:r>
      <w:proofErr w:type="gramStart"/>
      <w:r w:rsidRPr="00787B3F">
        <w:rPr>
          <w:rFonts w:ascii="標楷體" w:eastAsia="標楷體" w:hAnsi="標楷體"/>
        </w:rPr>
        <w:t>檢附經地區</w:t>
      </w:r>
      <w:proofErr w:type="gramEnd"/>
      <w:r w:rsidRPr="00787B3F">
        <w:rPr>
          <w:rFonts w:ascii="標楷體" w:eastAsia="標楷體" w:hAnsi="標楷體"/>
        </w:rPr>
        <w:t>醫院以上每3個月追蹤1次且至少追蹤半年之身高體重紀錄。</w:t>
      </w:r>
    </w:p>
    <w:p w:rsidR="00F33A3C" w:rsidRPr="00787B3F" w:rsidRDefault="00F33A3C" w:rsidP="00F33A3C">
      <w:pPr>
        <w:pStyle w:val="a8"/>
        <w:numPr>
          <w:ilvl w:val="0"/>
          <w:numId w:val="3"/>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proofErr w:type="gramStart"/>
      <w:r w:rsidRPr="00787B3F">
        <w:rPr>
          <w:rFonts w:ascii="標楷體" w:eastAsia="標楷體" w:hAnsi="標楷體"/>
        </w:rPr>
        <w:t>骨齡符合</w:t>
      </w:r>
      <w:proofErr w:type="gramEnd"/>
      <w:r w:rsidRPr="00787B3F">
        <w:rPr>
          <w:rFonts w:ascii="標楷體" w:eastAsia="標楷體" w:hAnsi="標楷體"/>
        </w:rPr>
        <w:t>下列任</w:t>
      </w:r>
      <w:proofErr w:type="gramStart"/>
      <w:r w:rsidRPr="00787B3F">
        <w:rPr>
          <w:rFonts w:ascii="標楷體" w:eastAsia="標楷體" w:hAnsi="標楷體"/>
        </w:rPr>
        <w:t>一</w:t>
      </w:r>
      <w:proofErr w:type="gramEnd"/>
      <w:r w:rsidRPr="00787B3F">
        <w:rPr>
          <w:rFonts w:ascii="標楷體" w:eastAsia="標楷體" w:hAnsi="標楷體"/>
        </w:rPr>
        <w:t>規範：</w:t>
      </w:r>
    </w:p>
    <w:p w:rsidR="00F33A3C" w:rsidRPr="00787B3F" w:rsidRDefault="00F33A3C" w:rsidP="00F33A3C">
      <w:pPr>
        <w:pStyle w:val="a8"/>
        <w:numPr>
          <w:ilvl w:val="0"/>
          <w:numId w:val="4"/>
        </w:numPr>
        <w:suppressAutoHyphens w:val="0"/>
        <w:autoSpaceDE w:val="0"/>
        <w:adjustRightInd w:val="0"/>
        <w:spacing w:before="100" w:beforeAutospacing="1" w:after="100" w:afterAutospacing="1" w:line="400" w:lineRule="exact"/>
        <w:ind w:left="1560"/>
        <w:contextualSpacing/>
        <w:textAlignment w:val="auto"/>
        <w:rPr>
          <w:rFonts w:ascii="標楷體" w:eastAsia="標楷體" w:hAnsi="標楷體"/>
        </w:rPr>
      </w:pPr>
      <w:r w:rsidRPr="00787B3F">
        <w:rPr>
          <w:rFonts w:ascii="標楷體" w:eastAsia="標楷體" w:hAnsi="標楷體"/>
        </w:rPr>
        <w:t>女性</w:t>
      </w:r>
      <w:proofErr w:type="gramStart"/>
      <w:r w:rsidRPr="00787B3F">
        <w:rPr>
          <w:rFonts w:ascii="標楷體" w:eastAsia="標楷體" w:hAnsi="標楷體"/>
        </w:rPr>
        <w:t>骨齡14歲</w:t>
      </w:r>
      <w:proofErr w:type="gramEnd"/>
      <w:r w:rsidRPr="00787B3F">
        <w:rPr>
          <w:rFonts w:ascii="標楷體" w:eastAsia="標楷體" w:hAnsi="標楷體"/>
        </w:rPr>
        <w:t>以前，男性</w:t>
      </w:r>
      <w:proofErr w:type="gramStart"/>
      <w:r w:rsidRPr="00787B3F">
        <w:rPr>
          <w:rFonts w:ascii="標楷體" w:eastAsia="標楷體" w:hAnsi="標楷體"/>
        </w:rPr>
        <w:t>骨齡16歲</w:t>
      </w:r>
      <w:proofErr w:type="gramEnd"/>
      <w:r w:rsidRPr="00787B3F">
        <w:rPr>
          <w:rFonts w:ascii="標楷體" w:eastAsia="標楷體" w:hAnsi="標楷體"/>
        </w:rPr>
        <w:t>以前。</w:t>
      </w:r>
    </w:p>
    <w:p w:rsidR="00F33A3C" w:rsidRPr="00787B3F" w:rsidRDefault="00F33A3C" w:rsidP="00F33A3C">
      <w:pPr>
        <w:pStyle w:val="a8"/>
        <w:numPr>
          <w:ilvl w:val="0"/>
          <w:numId w:val="4"/>
        </w:numPr>
        <w:suppressAutoHyphens w:val="0"/>
        <w:autoSpaceDE w:val="0"/>
        <w:adjustRightInd w:val="0"/>
        <w:spacing w:before="100" w:beforeAutospacing="1" w:after="100" w:afterAutospacing="1" w:line="400" w:lineRule="exact"/>
        <w:ind w:left="1560"/>
        <w:contextualSpacing/>
        <w:textAlignment w:val="auto"/>
        <w:rPr>
          <w:rFonts w:ascii="標楷體" w:eastAsia="標楷體" w:hAnsi="標楷體"/>
        </w:rPr>
      </w:pPr>
      <w:r w:rsidRPr="00787B3F">
        <w:rPr>
          <w:rFonts w:ascii="標楷體" w:eastAsia="標楷體" w:hAnsi="標楷體"/>
        </w:rPr>
        <w:t>女性</w:t>
      </w:r>
      <w:proofErr w:type="gramStart"/>
      <w:r w:rsidRPr="00787B3F">
        <w:rPr>
          <w:rFonts w:ascii="標楷體" w:eastAsia="標楷體" w:hAnsi="標楷體"/>
        </w:rPr>
        <w:t>骨齡14歲</w:t>
      </w:r>
      <w:proofErr w:type="gramEnd"/>
      <w:r w:rsidRPr="00787B3F">
        <w:rPr>
          <w:rFonts w:ascii="標楷體" w:eastAsia="標楷體" w:hAnsi="標楷體"/>
        </w:rPr>
        <w:t>以後，男性</w:t>
      </w:r>
      <w:proofErr w:type="gramStart"/>
      <w:r w:rsidRPr="00787B3F">
        <w:rPr>
          <w:rFonts w:ascii="標楷體" w:eastAsia="標楷體" w:hAnsi="標楷體"/>
        </w:rPr>
        <w:t>骨齡16歲</w:t>
      </w:r>
      <w:proofErr w:type="gramEnd"/>
      <w:r w:rsidRPr="00787B3F">
        <w:rPr>
          <w:rFonts w:ascii="標楷體" w:eastAsia="標楷體" w:hAnsi="標楷體"/>
        </w:rPr>
        <w:t>以後者，需每3個月追蹤生長速率，且至少追蹤半年，生長速率（AGV）每年需至少大於1.5公分。</w:t>
      </w:r>
    </w:p>
    <w:p w:rsidR="00F33A3C" w:rsidRPr="00787B3F" w:rsidRDefault="00F33A3C" w:rsidP="00F33A3C">
      <w:pPr>
        <w:pStyle w:val="a8"/>
        <w:numPr>
          <w:ilvl w:val="0"/>
          <w:numId w:val="5"/>
        </w:numPr>
        <w:suppressAutoHyphens w:val="0"/>
        <w:autoSpaceDE w:val="0"/>
        <w:adjustRightInd w:val="0"/>
        <w:spacing w:line="400" w:lineRule="exact"/>
        <w:ind w:left="709" w:hanging="340"/>
        <w:contextualSpacing/>
        <w:textAlignment w:val="auto"/>
        <w:rPr>
          <w:rFonts w:ascii="標楷體" w:eastAsia="標楷體" w:hAnsi="標楷體"/>
        </w:rPr>
      </w:pPr>
      <w:r w:rsidRPr="00787B3F">
        <w:rPr>
          <w:rFonts w:ascii="標楷體" w:eastAsia="標楷體" w:hAnsi="標楷體"/>
        </w:rPr>
        <w:t>限地區醫院以上層級具兒科遺傳學及</w:t>
      </w:r>
      <w:proofErr w:type="gramStart"/>
      <w:r w:rsidRPr="00787B3F">
        <w:rPr>
          <w:rFonts w:ascii="標楷體" w:eastAsia="標楷體" w:hAnsi="標楷體"/>
        </w:rPr>
        <w:t>新陳代謝學次專科</w:t>
      </w:r>
      <w:proofErr w:type="gramEnd"/>
      <w:r w:rsidRPr="00787B3F">
        <w:rPr>
          <w:rFonts w:ascii="標楷體" w:eastAsia="標楷體" w:hAnsi="標楷體"/>
        </w:rPr>
        <w:t>醫師使用。</w:t>
      </w:r>
    </w:p>
    <w:p w:rsidR="00F33A3C" w:rsidRPr="00787B3F" w:rsidRDefault="00F33A3C" w:rsidP="00F33A3C">
      <w:pPr>
        <w:pStyle w:val="a8"/>
        <w:numPr>
          <w:ilvl w:val="0"/>
          <w:numId w:val="5"/>
        </w:numPr>
        <w:suppressAutoHyphens w:val="0"/>
        <w:autoSpaceDE w:val="0"/>
        <w:adjustRightInd w:val="0"/>
        <w:spacing w:line="400" w:lineRule="exact"/>
        <w:ind w:left="709" w:hanging="340"/>
        <w:contextualSpacing/>
        <w:textAlignment w:val="auto"/>
        <w:rPr>
          <w:rFonts w:ascii="標楷體" w:eastAsia="標楷體" w:hAnsi="標楷體"/>
        </w:rPr>
      </w:pPr>
      <w:r w:rsidRPr="00787B3F">
        <w:rPr>
          <w:rFonts w:ascii="標楷體" w:eastAsia="標楷體" w:hAnsi="標楷體"/>
        </w:rPr>
        <w:t>需經事前審查核准後使用，每次申請以1年為限。</w:t>
      </w:r>
    </w:p>
    <w:p w:rsidR="00F33A3C" w:rsidRPr="00787B3F" w:rsidRDefault="00F33A3C" w:rsidP="00F33A3C">
      <w:pPr>
        <w:pStyle w:val="a8"/>
        <w:numPr>
          <w:ilvl w:val="0"/>
          <w:numId w:val="5"/>
        </w:numPr>
        <w:suppressAutoHyphens w:val="0"/>
        <w:autoSpaceDE w:val="0"/>
        <w:adjustRightInd w:val="0"/>
        <w:spacing w:line="400" w:lineRule="exact"/>
        <w:ind w:left="709" w:hanging="340"/>
        <w:contextualSpacing/>
        <w:textAlignment w:val="auto"/>
        <w:rPr>
          <w:rFonts w:ascii="標楷體" w:eastAsia="標楷體" w:hAnsi="標楷體"/>
        </w:rPr>
      </w:pPr>
      <w:r w:rsidRPr="00787B3F">
        <w:rPr>
          <w:rFonts w:ascii="標楷體" w:eastAsia="標楷體" w:hAnsi="標楷體"/>
        </w:rPr>
        <w:t>治療後未達停藥條件者，續用時需檢附療效評估資料經事前審查核准後使用。</w:t>
      </w:r>
    </w:p>
    <w:p w:rsidR="00F33A3C" w:rsidRPr="00787B3F" w:rsidRDefault="00F33A3C" w:rsidP="00F33A3C">
      <w:pPr>
        <w:pStyle w:val="a8"/>
        <w:numPr>
          <w:ilvl w:val="0"/>
          <w:numId w:val="5"/>
        </w:numPr>
        <w:suppressAutoHyphens w:val="0"/>
        <w:autoSpaceDE w:val="0"/>
        <w:adjustRightInd w:val="0"/>
        <w:spacing w:line="400" w:lineRule="exact"/>
        <w:ind w:left="709" w:hanging="340"/>
        <w:contextualSpacing/>
        <w:textAlignment w:val="auto"/>
        <w:rPr>
          <w:rFonts w:ascii="標楷體" w:eastAsia="標楷體" w:hAnsi="標楷體"/>
        </w:rPr>
      </w:pPr>
      <w:r w:rsidRPr="00787B3F">
        <w:rPr>
          <w:rFonts w:ascii="標楷體" w:eastAsia="標楷體" w:hAnsi="標楷體"/>
        </w:rPr>
        <w:t>療效評估之追蹤檢查項目：</w:t>
      </w:r>
    </w:p>
    <w:p w:rsidR="00F33A3C" w:rsidRPr="00787B3F" w:rsidRDefault="00F33A3C" w:rsidP="00F33A3C">
      <w:pPr>
        <w:pStyle w:val="a8"/>
        <w:numPr>
          <w:ilvl w:val="0"/>
          <w:numId w:val="6"/>
        </w:numPr>
        <w:suppressAutoHyphens w:val="0"/>
        <w:autoSpaceDE w:val="0"/>
        <w:adjustRightInd w:val="0"/>
        <w:spacing w:before="100" w:beforeAutospacing="1" w:after="100" w:afterAutospacing="1" w:line="400" w:lineRule="exact"/>
        <w:ind w:left="1134" w:hanging="425"/>
        <w:contextualSpacing/>
        <w:textAlignment w:val="auto"/>
        <w:rPr>
          <w:rFonts w:ascii="標楷體" w:eastAsia="標楷體" w:hAnsi="標楷體"/>
        </w:rPr>
      </w:pPr>
      <w:r w:rsidRPr="00787B3F">
        <w:rPr>
          <w:rFonts w:ascii="標楷體" w:eastAsia="標楷體" w:hAnsi="標楷體"/>
        </w:rPr>
        <w:t>身高體重：每3個月1次。</w:t>
      </w:r>
    </w:p>
    <w:p w:rsidR="00F33A3C" w:rsidRPr="00787B3F" w:rsidRDefault="00F33A3C" w:rsidP="00F33A3C">
      <w:pPr>
        <w:pStyle w:val="a8"/>
        <w:numPr>
          <w:ilvl w:val="0"/>
          <w:numId w:val="6"/>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proofErr w:type="gramStart"/>
      <w:r w:rsidRPr="00787B3F">
        <w:rPr>
          <w:rFonts w:ascii="標楷體" w:eastAsia="標楷體" w:hAnsi="標楷體"/>
        </w:rPr>
        <w:t>骨齡</w:t>
      </w:r>
      <w:proofErr w:type="gramEnd"/>
      <w:r w:rsidRPr="00787B3F">
        <w:rPr>
          <w:rFonts w:ascii="標楷體" w:eastAsia="標楷體" w:hAnsi="標楷體"/>
        </w:rPr>
        <w:t>：X光每6個月1次。</w:t>
      </w:r>
    </w:p>
    <w:p w:rsidR="00F33A3C" w:rsidRPr="00787B3F" w:rsidRDefault="00F33A3C" w:rsidP="00F33A3C">
      <w:pPr>
        <w:pStyle w:val="a8"/>
        <w:numPr>
          <w:ilvl w:val="0"/>
          <w:numId w:val="5"/>
        </w:numPr>
        <w:suppressAutoHyphens w:val="0"/>
        <w:autoSpaceDE w:val="0"/>
        <w:adjustRightInd w:val="0"/>
        <w:spacing w:line="400" w:lineRule="exact"/>
        <w:ind w:left="709" w:hanging="340"/>
        <w:contextualSpacing/>
        <w:textAlignment w:val="auto"/>
        <w:rPr>
          <w:rFonts w:ascii="標楷體" w:eastAsia="標楷體" w:hAnsi="標楷體"/>
        </w:rPr>
      </w:pPr>
      <w:r w:rsidRPr="00787B3F">
        <w:rPr>
          <w:rFonts w:ascii="標楷體" w:eastAsia="標楷體" w:hAnsi="標楷體"/>
        </w:rPr>
        <w:t>停藥條件：</w:t>
      </w:r>
    </w:p>
    <w:p w:rsidR="00F33A3C" w:rsidRPr="00787B3F" w:rsidRDefault="00F33A3C" w:rsidP="00F33A3C">
      <w:pPr>
        <w:pStyle w:val="a8"/>
        <w:numPr>
          <w:ilvl w:val="0"/>
          <w:numId w:val="7"/>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出現嚴重過敏反應。</w:t>
      </w:r>
    </w:p>
    <w:p w:rsidR="00F33A3C" w:rsidRPr="00787B3F" w:rsidRDefault="00F33A3C" w:rsidP="00F33A3C">
      <w:pPr>
        <w:pStyle w:val="a8"/>
        <w:numPr>
          <w:ilvl w:val="0"/>
          <w:numId w:val="7"/>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病人合併有其他嚴重疾病，預期無法從本藥品治療獲得長期效益，</w:t>
      </w:r>
      <w:r w:rsidRPr="00787B3F">
        <w:rPr>
          <w:rFonts w:ascii="標楷體" w:eastAsia="標楷體" w:hAnsi="標楷體"/>
        </w:rPr>
        <w:lastRenderedPageBreak/>
        <w:t>如病人長期臥床或24小時呼吸器依賴。</w:t>
      </w:r>
    </w:p>
    <w:p w:rsidR="00F33A3C" w:rsidRPr="00787B3F" w:rsidRDefault="00F33A3C" w:rsidP="00F33A3C">
      <w:pPr>
        <w:pStyle w:val="a8"/>
        <w:numPr>
          <w:ilvl w:val="0"/>
          <w:numId w:val="7"/>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經治療後生長速率（AGV）小於1.5公分/年。</w:t>
      </w:r>
    </w:p>
    <w:p w:rsidR="00F33A3C" w:rsidRPr="00787B3F" w:rsidRDefault="00F33A3C" w:rsidP="00F33A3C">
      <w:pPr>
        <w:pStyle w:val="a8"/>
        <w:numPr>
          <w:ilvl w:val="0"/>
          <w:numId w:val="7"/>
        </w:numPr>
        <w:suppressAutoHyphens w:val="0"/>
        <w:autoSpaceDE w:val="0"/>
        <w:adjustRightInd w:val="0"/>
        <w:spacing w:before="100" w:beforeAutospacing="1" w:after="100" w:afterAutospacing="1" w:line="400" w:lineRule="exact"/>
        <w:ind w:left="1134" w:hanging="418"/>
        <w:contextualSpacing/>
        <w:textAlignment w:val="auto"/>
        <w:rPr>
          <w:rFonts w:ascii="標楷體" w:eastAsia="標楷體" w:hAnsi="標楷體"/>
        </w:rPr>
      </w:pPr>
      <w:r w:rsidRPr="00787B3F">
        <w:rPr>
          <w:rFonts w:ascii="標楷體" w:eastAsia="標楷體" w:hAnsi="標楷體"/>
        </w:rPr>
        <w:t>X光檢查證據顯示雙股下肢（脛骨近端、股骨遠端）生長板已閉合之病人。</w:t>
      </w:r>
    </w:p>
    <w:p w:rsidR="00F33A3C" w:rsidRPr="00F33A3C" w:rsidRDefault="00F33A3C" w:rsidP="003100F1">
      <w:pPr>
        <w:pStyle w:val="a8"/>
        <w:numPr>
          <w:ilvl w:val="0"/>
          <w:numId w:val="8"/>
        </w:numPr>
        <w:tabs>
          <w:tab w:val="left" w:pos="993"/>
        </w:tabs>
        <w:ind w:leftChars="177" w:left="708" w:hangingChars="118" w:hanging="283"/>
        <w:rPr>
          <w:rFonts w:ascii="標楷體" w:eastAsia="標楷體" w:hAnsi="標楷體" w:hint="eastAsia"/>
          <w:color w:val="000000"/>
        </w:rPr>
      </w:pPr>
      <w:r w:rsidRPr="00F33A3C">
        <w:rPr>
          <w:rFonts w:ascii="標楷體" w:eastAsia="標楷體" w:hAnsi="標楷體"/>
        </w:rPr>
        <w:t>如因先前使用後無效</w:t>
      </w:r>
      <w:proofErr w:type="gramStart"/>
      <w:r w:rsidRPr="00F33A3C">
        <w:rPr>
          <w:rFonts w:ascii="標楷體" w:eastAsia="標楷體" w:hAnsi="標楷體"/>
        </w:rPr>
        <w:t>停藥者</w:t>
      </w:r>
      <w:proofErr w:type="gramEnd"/>
      <w:r w:rsidRPr="00F33A3C">
        <w:rPr>
          <w:rFonts w:ascii="標楷體" w:eastAsia="標楷體" w:hAnsi="標楷體"/>
        </w:rPr>
        <w:t>，不得重新申請使用；如因使用中有輕微不良反應（如血壓偏低）而暫停使用者，得於狀況排除後重新申請使用。</w:t>
      </w:r>
    </w:p>
    <w:p w:rsidR="00203445" w:rsidRDefault="003100F1">
      <w:pPr>
        <w:ind w:left="672" w:hanging="386"/>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.6.</w:t>
      </w:r>
      <w:r>
        <w:rPr>
          <w:rFonts w:ascii="標楷體" w:eastAsia="標楷體" w:hAnsi="標楷體"/>
          <w:color w:val="000000"/>
        </w:rPr>
        <w:t>骨質疏鬆症治療藥物</w:t>
      </w:r>
      <w:r>
        <w:rPr>
          <w:rFonts w:ascii="標楷體" w:eastAsia="標楷體" w:hAnsi="標楷體"/>
          <w:color w:val="000000"/>
        </w:rPr>
        <w:t>(100/1/1)</w:t>
      </w:r>
    </w:p>
    <w:p w:rsidR="00203445" w:rsidRDefault="003100F1">
      <w:pPr>
        <w:ind w:left="672" w:hanging="386"/>
        <w:rPr>
          <w:rFonts w:ascii="標楷體" w:eastAsia="標楷體" w:hAnsi="標楷體"/>
          <w:color w:val="000000"/>
        </w:rPr>
      </w:pPr>
      <w:r>
        <w:rPr>
          <w:rFonts w:ascii="標楷體" w:eastAsia="標楷體" w:hAnsi="標楷體"/>
          <w:color w:val="000000"/>
        </w:rPr>
        <w:t>5.6.1.</w:t>
      </w:r>
      <w:r>
        <w:rPr>
          <w:rFonts w:ascii="標楷體" w:eastAsia="標楷體" w:hAnsi="標楷體"/>
          <w:color w:val="000000"/>
        </w:rPr>
        <w:t>抗骨質再吸收劑（</w:t>
      </w:r>
      <w:r>
        <w:rPr>
          <w:rFonts w:ascii="標楷體" w:eastAsia="標楷體" w:hAnsi="標楷體"/>
          <w:color w:val="000000"/>
        </w:rPr>
        <w:t>anti- resorptive</w:t>
      </w:r>
      <w:r>
        <w:rPr>
          <w:rFonts w:ascii="標楷體" w:eastAsia="標楷體" w:hAnsi="標楷體"/>
          <w:color w:val="000000"/>
        </w:rPr>
        <w:t>）</w:t>
      </w:r>
      <w:r>
        <w:rPr>
          <w:rFonts w:ascii="標楷體" w:eastAsia="標楷體" w:hAnsi="標楷體"/>
          <w:color w:val="000000"/>
        </w:rPr>
        <w:t>(101/3/1</w:t>
      </w:r>
      <w:r>
        <w:rPr>
          <w:rFonts w:ascii="標楷體" w:eastAsia="標楷體" w:hAnsi="標楷體"/>
          <w:color w:val="000000"/>
        </w:rPr>
        <w:t>、</w:t>
      </w:r>
      <w:r>
        <w:rPr>
          <w:rFonts w:ascii="標楷體" w:eastAsia="標楷體" w:hAnsi="標楷體"/>
          <w:color w:val="000000"/>
        </w:rPr>
        <w:t>101/5/1</w:t>
      </w:r>
      <w:r>
        <w:rPr>
          <w:rFonts w:ascii="標楷體" w:eastAsia="標楷體" w:hAnsi="標楷體"/>
          <w:color w:val="000000"/>
        </w:rPr>
        <w:t>、</w:t>
      </w:r>
      <w:r>
        <w:rPr>
          <w:rFonts w:ascii="標楷體" w:eastAsia="標楷體" w:hAnsi="標楷體"/>
          <w:color w:val="000000"/>
        </w:rPr>
        <w:t>102/2/1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103/2/1</w:t>
      </w:r>
      <w:r>
        <w:rPr>
          <w:rFonts w:ascii="標楷體" w:eastAsia="標楷體" w:hAnsi="標楷體"/>
          <w:color w:val="000000"/>
        </w:rPr>
        <w:t>、</w:t>
      </w:r>
      <w:r>
        <w:rPr>
          <w:rFonts w:ascii="標楷體" w:eastAsia="標楷體" w:hAnsi="標楷體"/>
          <w:color w:val="000000"/>
        </w:rPr>
        <w:t>103/10/1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114/3/1)</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藥品種類</w:t>
      </w:r>
      <w:bookmarkStart w:id="3" w:name="_GoBack"/>
      <w:bookmarkEnd w:id="3"/>
    </w:p>
    <w:p w:rsidR="00203445" w:rsidRDefault="003100F1">
      <w:pPr>
        <w:ind w:left="1049" w:hanging="341"/>
        <w:rPr>
          <w:rFonts w:ascii="標楷體" w:eastAsia="標楷體" w:hAnsi="標楷體"/>
          <w:color w:val="000000"/>
        </w:rPr>
      </w:pPr>
      <w:r>
        <w:rPr>
          <w:rFonts w:ascii="標楷體" w:eastAsia="標楷體" w:hAnsi="標楷體"/>
          <w:color w:val="000000"/>
        </w:rPr>
        <w:t>(1)Bisphosphonates</w:t>
      </w:r>
      <w:r>
        <w:rPr>
          <w:rFonts w:ascii="標楷體" w:eastAsia="標楷體" w:hAnsi="標楷體"/>
          <w:color w:val="000000"/>
        </w:rPr>
        <w:t>（雙磷酸鹽類）：</w:t>
      </w:r>
      <w:r>
        <w:rPr>
          <w:rFonts w:ascii="標楷體" w:eastAsia="標楷體" w:hAnsi="標楷體"/>
          <w:color w:val="000000"/>
        </w:rPr>
        <w:t>alendronate</w:t>
      </w:r>
      <w:r>
        <w:rPr>
          <w:rFonts w:ascii="標楷體" w:eastAsia="標楷體" w:hAnsi="標楷體"/>
          <w:color w:val="000000"/>
        </w:rPr>
        <w:t>（如</w:t>
      </w:r>
      <w:r>
        <w:rPr>
          <w:rFonts w:ascii="標楷體" w:eastAsia="標楷體" w:hAnsi="標楷體"/>
          <w:color w:val="000000"/>
        </w:rPr>
        <w:t>Fosamax</w:t>
      </w:r>
      <w:r>
        <w:rPr>
          <w:rFonts w:ascii="標楷體" w:eastAsia="標楷體" w:hAnsi="標楷體"/>
          <w:color w:val="000000"/>
        </w:rPr>
        <w:t>）、</w:t>
      </w:r>
      <w:r>
        <w:rPr>
          <w:rFonts w:ascii="標楷體" w:eastAsia="標楷體" w:hAnsi="標楷體"/>
          <w:color w:val="000000"/>
        </w:rPr>
        <w:t xml:space="preserve"> zoledronate 5mg (</w:t>
      </w:r>
      <w:r>
        <w:rPr>
          <w:rFonts w:ascii="標楷體" w:eastAsia="標楷體" w:hAnsi="標楷體"/>
          <w:color w:val="000000"/>
        </w:rPr>
        <w:t>如</w:t>
      </w:r>
      <w:proofErr w:type="spellStart"/>
      <w:r>
        <w:rPr>
          <w:rFonts w:ascii="標楷體" w:eastAsia="標楷體" w:hAnsi="標楷體"/>
          <w:color w:val="000000"/>
        </w:rPr>
        <w:t>Aclasta</w:t>
      </w:r>
      <w:proofErr w:type="spellEnd"/>
      <w:r>
        <w:rPr>
          <w:rFonts w:ascii="標楷體" w:eastAsia="標楷體" w:hAnsi="標楷體"/>
          <w:color w:val="000000"/>
        </w:rPr>
        <w:t xml:space="preserve"> 5mg/100mL solution for infusion)</w:t>
      </w:r>
      <w:r>
        <w:rPr>
          <w:rFonts w:ascii="標楷體" w:eastAsia="標楷體" w:hAnsi="標楷體"/>
          <w:color w:val="000000"/>
        </w:rPr>
        <w:t>、</w:t>
      </w:r>
      <w:r>
        <w:rPr>
          <w:rFonts w:ascii="標楷體" w:eastAsia="標楷體" w:hAnsi="標楷體"/>
          <w:color w:val="000000"/>
        </w:rPr>
        <w:t>risedronate</w:t>
      </w:r>
      <w:r>
        <w:rPr>
          <w:rFonts w:ascii="標楷體" w:eastAsia="標楷體" w:hAnsi="標楷體"/>
          <w:color w:val="000000"/>
        </w:rPr>
        <w:t>（如</w:t>
      </w:r>
      <w:proofErr w:type="spellStart"/>
      <w:r>
        <w:rPr>
          <w:rFonts w:ascii="標楷體" w:eastAsia="標楷體" w:hAnsi="標楷體"/>
          <w:color w:val="000000"/>
        </w:rPr>
        <w:t>Reosteo</w:t>
      </w:r>
      <w:proofErr w:type="spellEnd"/>
      <w:r>
        <w:rPr>
          <w:rFonts w:ascii="標楷體" w:eastAsia="標楷體" w:hAnsi="標楷體"/>
          <w:color w:val="000000"/>
        </w:rPr>
        <w:t>）、</w:t>
      </w:r>
      <w:r>
        <w:rPr>
          <w:rFonts w:ascii="標楷體" w:eastAsia="標楷體" w:hAnsi="標楷體"/>
          <w:color w:val="000000"/>
        </w:rPr>
        <w:t>ibandronate 3mg/3mL (</w:t>
      </w:r>
      <w:r>
        <w:rPr>
          <w:rFonts w:ascii="標楷體" w:eastAsia="標楷體" w:hAnsi="標楷體"/>
          <w:color w:val="000000"/>
        </w:rPr>
        <w:t>如</w:t>
      </w:r>
      <w:proofErr w:type="spellStart"/>
      <w:r>
        <w:rPr>
          <w:rFonts w:ascii="標楷體" w:eastAsia="標楷體" w:hAnsi="標楷體"/>
          <w:color w:val="000000"/>
        </w:rPr>
        <w:t>Bonviva</w:t>
      </w:r>
      <w:proofErr w:type="spellEnd"/>
      <w:r>
        <w:rPr>
          <w:rFonts w:ascii="標楷體" w:eastAsia="標楷體" w:hAnsi="標楷體"/>
          <w:color w:val="000000"/>
        </w:rPr>
        <w:t xml:space="preserve">  3mg/3mL solution for injection)</w:t>
      </w:r>
    </w:p>
    <w:p w:rsidR="00203445" w:rsidRDefault="003100F1">
      <w:pPr>
        <w:ind w:left="1049" w:hanging="341"/>
        <w:rPr>
          <w:rFonts w:ascii="標楷體" w:eastAsia="標楷體" w:hAnsi="標楷體"/>
          <w:color w:val="000000"/>
        </w:rPr>
      </w:pPr>
      <w:r>
        <w:rPr>
          <w:rFonts w:ascii="標楷體" w:eastAsia="標楷體" w:hAnsi="標楷體"/>
          <w:color w:val="000000"/>
        </w:rPr>
        <w:t>(2)Selective estrogen receptor modulators (SERM</w:t>
      </w:r>
      <w:r>
        <w:rPr>
          <w:rFonts w:ascii="標楷體" w:eastAsia="標楷體" w:hAnsi="標楷體"/>
          <w:color w:val="000000"/>
        </w:rPr>
        <w:t>，選擇性雌激素接受體調節劑</w:t>
      </w:r>
      <w:proofErr w:type="gramStart"/>
      <w:r>
        <w:rPr>
          <w:rFonts w:ascii="標楷體" w:eastAsia="標楷體" w:hAnsi="標楷體"/>
          <w:color w:val="000000"/>
        </w:rPr>
        <w:t>）</w:t>
      </w:r>
      <w:proofErr w:type="gramEnd"/>
      <w:r>
        <w:rPr>
          <w:rFonts w:ascii="標楷體" w:eastAsia="標楷體" w:hAnsi="標楷體"/>
          <w:color w:val="000000"/>
        </w:rPr>
        <w:t>：</w:t>
      </w:r>
      <w:r>
        <w:rPr>
          <w:rFonts w:ascii="標楷體" w:eastAsia="標楷體" w:hAnsi="標楷體"/>
          <w:color w:val="000000"/>
        </w:rPr>
        <w:t>raloxifene</w:t>
      </w:r>
      <w:r>
        <w:rPr>
          <w:rFonts w:ascii="標楷體" w:eastAsia="標楷體" w:hAnsi="標楷體"/>
          <w:color w:val="000000"/>
        </w:rPr>
        <w:t>（如</w:t>
      </w:r>
      <w:proofErr w:type="spellStart"/>
      <w:r>
        <w:rPr>
          <w:rFonts w:ascii="標楷體" w:eastAsia="標楷體" w:hAnsi="標楷體"/>
          <w:color w:val="000000"/>
        </w:rPr>
        <w:t>Evista</w:t>
      </w:r>
      <w:proofErr w:type="spellEnd"/>
      <w:r>
        <w:rPr>
          <w:rFonts w:ascii="標楷體" w:eastAsia="標楷體" w:hAnsi="標楷體"/>
          <w:color w:val="000000"/>
        </w:rPr>
        <w:t xml:space="preserve"> </w:t>
      </w:r>
      <w:r>
        <w:rPr>
          <w:rFonts w:ascii="標楷體" w:eastAsia="標楷體" w:hAnsi="標楷體"/>
          <w:color w:val="000000"/>
        </w:rPr>
        <w:t>）、</w:t>
      </w:r>
      <w:proofErr w:type="spellStart"/>
      <w:r>
        <w:rPr>
          <w:rFonts w:ascii="標楷體" w:eastAsia="標楷體" w:hAnsi="標楷體"/>
          <w:color w:val="000000"/>
        </w:rPr>
        <w:t>bazedoxifene</w:t>
      </w:r>
      <w:proofErr w:type="spellEnd"/>
      <w:r>
        <w:rPr>
          <w:rFonts w:ascii="標楷體" w:eastAsia="標楷體" w:hAnsi="標楷體"/>
          <w:color w:val="000000"/>
        </w:rPr>
        <w:t>（如</w:t>
      </w:r>
      <w:proofErr w:type="spellStart"/>
      <w:r>
        <w:rPr>
          <w:rFonts w:ascii="標楷體" w:eastAsia="標楷體" w:hAnsi="標楷體"/>
          <w:color w:val="000000"/>
        </w:rPr>
        <w:t>Viviant</w:t>
      </w:r>
      <w:proofErr w:type="spellEnd"/>
      <w:r>
        <w:rPr>
          <w:rFonts w:ascii="標楷體" w:eastAsia="標楷體" w:hAnsi="標楷體"/>
          <w:color w:val="000000"/>
        </w:rPr>
        <w:t>）</w:t>
      </w:r>
      <w:r>
        <w:rPr>
          <w:rFonts w:ascii="標楷體" w:eastAsia="標楷體" w:hAnsi="標楷體"/>
          <w:color w:val="000000"/>
        </w:rPr>
        <w:t>(102/2/1)</w:t>
      </w:r>
    </w:p>
    <w:p w:rsidR="00203445" w:rsidRDefault="003100F1">
      <w:pPr>
        <w:ind w:left="1049" w:hanging="341"/>
        <w:rPr>
          <w:rFonts w:ascii="標楷體" w:eastAsia="標楷體" w:hAnsi="標楷體"/>
          <w:color w:val="000000"/>
        </w:rPr>
      </w:pPr>
      <w:r>
        <w:rPr>
          <w:rFonts w:ascii="標楷體" w:eastAsia="標楷體" w:hAnsi="標楷體"/>
          <w:color w:val="000000"/>
        </w:rPr>
        <w:t>(3)Human monoclonal antibody for RANKL</w:t>
      </w:r>
      <w:r>
        <w:rPr>
          <w:rFonts w:ascii="標楷體" w:eastAsia="標楷體" w:hAnsi="標楷體"/>
          <w:color w:val="000000"/>
        </w:rPr>
        <w:t>（</w:t>
      </w:r>
      <w:proofErr w:type="spellStart"/>
      <w:r>
        <w:rPr>
          <w:rFonts w:ascii="標楷體" w:eastAsia="標楷體" w:hAnsi="標楷體"/>
          <w:color w:val="000000"/>
        </w:rPr>
        <w:t>RANKL</w:t>
      </w:r>
      <w:proofErr w:type="spellEnd"/>
      <w:r>
        <w:rPr>
          <w:rFonts w:ascii="標楷體" w:eastAsia="標楷體" w:hAnsi="標楷體"/>
          <w:color w:val="000000"/>
        </w:rPr>
        <w:t>單株抗體）：</w:t>
      </w:r>
      <w:r>
        <w:rPr>
          <w:rFonts w:ascii="標楷體" w:eastAsia="標楷體" w:hAnsi="標楷體"/>
          <w:color w:val="000000"/>
        </w:rPr>
        <w:t>denosumab</w:t>
      </w:r>
      <w:r>
        <w:rPr>
          <w:rFonts w:ascii="標楷體" w:eastAsia="標楷體" w:hAnsi="標楷體"/>
          <w:color w:val="000000"/>
        </w:rPr>
        <w:t>（如</w:t>
      </w:r>
      <w:r>
        <w:rPr>
          <w:rFonts w:ascii="標楷體" w:eastAsia="標楷體" w:hAnsi="標楷體"/>
          <w:color w:val="000000"/>
        </w:rPr>
        <w:t>Prolia</w:t>
      </w:r>
      <w:r>
        <w:rPr>
          <w:rFonts w:ascii="標楷體" w:eastAsia="標楷體" w:hAnsi="標楷體"/>
          <w:color w:val="000000"/>
        </w:rPr>
        <w:t>）</w:t>
      </w:r>
      <w:r>
        <w:rPr>
          <w:rFonts w:ascii="標楷體" w:eastAsia="標楷體" w:hAnsi="標楷體"/>
          <w:color w:val="000000"/>
        </w:rPr>
        <w:t>(101/3/1)</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使用規定</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使用條件</w:t>
      </w:r>
    </w:p>
    <w:p w:rsidR="00203445" w:rsidRDefault="003100F1">
      <w:pPr>
        <w:ind w:left="1276" w:hanging="341"/>
        <w:rPr>
          <w:rFonts w:ascii="標楷體" w:eastAsia="標楷體" w:hAnsi="標楷體"/>
          <w:color w:val="000000"/>
        </w:rPr>
      </w:pPr>
      <w:r>
        <w:rPr>
          <w:rFonts w:ascii="標楷體" w:eastAsia="標楷體" w:hAnsi="標楷體"/>
          <w:color w:val="000000"/>
        </w:rPr>
        <w:t>Ⅰ.</w:t>
      </w:r>
      <w:r>
        <w:rPr>
          <w:rFonts w:ascii="標楷體" w:eastAsia="標楷體" w:hAnsi="標楷體"/>
          <w:color w:val="000000"/>
        </w:rPr>
        <w:t>限用於停經後婦女（</w:t>
      </w:r>
      <w:r>
        <w:rPr>
          <w:rFonts w:ascii="標楷體" w:eastAsia="標楷體" w:hAnsi="標楷體"/>
          <w:color w:val="000000"/>
        </w:rPr>
        <w:t>alendronate</w:t>
      </w:r>
      <w:r>
        <w:rPr>
          <w:rFonts w:ascii="標楷體" w:eastAsia="標楷體" w:hAnsi="標楷體"/>
          <w:color w:val="000000"/>
        </w:rPr>
        <w:t>、</w:t>
      </w:r>
      <w:r>
        <w:rPr>
          <w:rFonts w:ascii="標楷體" w:eastAsia="標楷體" w:hAnsi="標楷體"/>
          <w:color w:val="000000"/>
        </w:rPr>
        <w:t>zoledronate</w:t>
      </w:r>
      <w:r>
        <w:rPr>
          <w:rFonts w:ascii="標楷體" w:eastAsia="標楷體" w:hAnsi="標楷體"/>
          <w:color w:val="000000"/>
        </w:rPr>
        <w:t>、</w:t>
      </w:r>
      <w:r>
        <w:rPr>
          <w:rFonts w:ascii="標楷體" w:eastAsia="標楷體" w:hAnsi="標楷體"/>
          <w:color w:val="000000"/>
        </w:rPr>
        <w:t>denosumab</w:t>
      </w:r>
      <w:r>
        <w:rPr>
          <w:rFonts w:ascii="標楷體" w:eastAsia="標楷體" w:hAnsi="標楷體"/>
          <w:color w:val="000000"/>
        </w:rPr>
        <w:t>及</w:t>
      </w:r>
      <w:r>
        <w:rPr>
          <w:rFonts w:ascii="標楷體" w:eastAsia="標楷體" w:hAnsi="標楷體"/>
          <w:color w:val="000000"/>
        </w:rPr>
        <w:t>risedronate 35mg</w:t>
      </w:r>
      <w:r>
        <w:rPr>
          <w:rFonts w:ascii="標楷體" w:eastAsia="標楷體" w:hAnsi="標楷體"/>
          <w:color w:val="000000"/>
        </w:rPr>
        <w:t>亦可使用於男性，</w:t>
      </w:r>
      <w:r>
        <w:rPr>
          <w:rFonts w:ascii="標楷體" w:eastAsia="標楷體" w:hAnsi="標楷體"/>
          <w:color w:val="000000"/>
        </w:rPr>
        <w:t>risedronate 150mg</w:t>
      </w:r>
      <w:r>
        <w:rPr>
          <w:rFonts w:ascii="標楷體" w:eastAsia="標楷體" w:hAnsi="標楷體"/>
          <w:color w:val="000000"/>
        </w:rPr>
        <w:t>不可使用於男性）因骨質疏鬆症（須經</w:t>
      </w:r>
      <w:r>
        <w:rPr>
          <w:rFonts w:ascii="標楷體" w:eastAsia="標楷體" w:hAnsi="標楷體"/>
          <w:color w:val="000000"/>
        </w:rPr>
        <w:t xml:space="preserve">DXA </w:t>
      </w:r>
      <w:r>
        <w:rPr>
          <w:rFonts w:ascii="標楷體" w:eastAsia="標楷體" w:hAnsi="標楷體"/>
          <w:color w:val="000000"/>
        </w:rPr>
        <w:t>檢測</w:t>
      </w:r>
      <w:r>
        <w:rPr>
          <w:rFonts w:ascii="標楷體" w:eastAsia="標楷體" w:hAnsi="標楷體"/>
          <w:color w:val="000000"/>
        </w:rPr>
        <w:t>BMD</w:t>
      </w:r>
      <w:r>
        <w:rPr>
          <w:rFonts w:ascii="標楷體" w:eastAsia="標楷體" w:hAnsi="標楷體"/>
          <w:color w:val="000000"/>
        </w:rPr>
        <w:t>之</w:t>
      </w:r>
      <w:r>
        <w:rPr>
          <w:rFonts w:ascii="標楷體" w:eastAsia="標楷體" w:hAnsi="標楷體"/>
          <w:color w:val="000000"/>
        </w:rPr>
        <w:t>T score</w:t>
      </w:r>
      <w:proofErr w:type="gramStart"/>
      <w:r>
        <w:rPr>
          <w:rFonts w:ascii="標楷體" w:eastAsia="標楷體" w:hAnsi="標楷體"/>
          <w:color w:val="000000"/>
        </w:rPr>
        <w:t>≦</w:t>
      </w:r>
      <w:proofErr w:type="gramEnd"/>
      <w:r>
        <w:rPr>
          <w:rFonts w:ascii="標楷體" w:eastAsia="標楷體" w:hAnsi="標楷體"/>
          <w:color w:val="000000"/>
        </w:rPr>
        <w:t xml:space="preserve"> -2.5SD</w:t>
      </w:r>
      <w:r>
        <w:rPr>
          <w:rFonts w:ascii="標楷體" w:eastAsia="標楷體" w:hAnsi="標楷體"/>
          <w:color w:val="000000"/>
        </w:rPr>
        <w:t>）引起脊椎或髖部骨折，或因骨質</w:t>
      </w:r>
      <w:proofErr w:type="gramStart"/>
      <w:r>
        <w:rPr>
          <w:rFonts w:ascii="標楷體" w:eastAsia="標楷體" w:hAnsi="標楷體"/>
          <w:color w:val="000000"/>
        </w:rPr>
        <w:t>疏少</w:t>
      </w:r>
      <w:proofErr w:type="gramEnd"/>
      <w:r>
        <w:rPr>
          <w:rFonts w:ascii="標楷體" w:eastAsia="標楷體" w:hAnsi="標楷體"/>
          <w:color w:val="000000"/>
        </w:rPr>
        <w:t>症</w:t>
      </w:r>
      <w:r>
        <w:rPr>
          <w:rFonts w:ascii="標楷體" w:eastAsia="標楷體" w:hAnsi="標楷體"/>
          <w:color w:val="000000"/>
        </w:rPr>
        <w:t>(osteopenia)(</w:t>
      </w:r>
      <w:r>
        <w:rPr>
          <w:rFonts w:ascii="標楷體" w:eastAsia="標楷體" w:hAnsi="標楷體"/>
          <w:color w:val="000000"/>
        </w:rPr>
        <w:t>經</w:t>
      </w:r>
      <w:r>
        <w:rPr>
          <w:rFonts w:ascii="標楷體" w:eastAsia="標楷體" w:hAnsi="標楷體"/>
          <w:color w:val="000000"/>
        </w:rPr>
        <w:t>DXA</w:t>
      </w:r>
      <w:r>
        <w:rPr>
          <w:rFonts w:ascii="標楷體" w:eastAsia="標楷體" w:hAnsi="標楷體"/>
          <w:color w:val="000000"/>
        </w:rPr>
        <w:t>檢測</w:t>
      </w:r>
      <w:r>
        <w:rPr>
          <w:rFonts w:ascii="標楷體" w:eastAsia="標楷體" w:hAnsi="標楷體"/>
          <w:color w:val="000000"/>
        </w:rPr>
        <w:t>BMD</w:t>
      </w:r>
      <w:r>
        <w:rPr>
          <w:rFonts w:ascii="標楷體" w:eastAsia="標楷體" w:hAnsi="標楷體"/>
          <w:color w:val="000000"/>
        </w:rPr>
        <w:t>之</w:t>
      </w:r>
      <w:r>
        <w:rPr>
          <w:rFonts w:ascii="標楷體" w:eastAsia="標楷體" w:hAnsi="標楷體"/>
          <w:color w:val="000000"/>
        </w:rPr>
        <w:t>-2.5SD &lt;T score &lt;-1.0SD)</w:t>
      </w:r>
      <w:r>
        <w:rPr>
          <w:rFonts w:ascii="標楷體" w:eastAsia="標楷體" w:hAnsi="標楷體"/>
          <w:color w:val="000000"/>
        </w:rPr>
        <w:t>引起脊椎或髖部</w:t>
      </w:r>
      <w:r>
        <w:rPr>
          <w:rFonts w:ascii="標楷體" w:eastAsia="標楷體" w:hAnsi="標楷體"/>
          <w:color w:val="000000"/>
        </w:rPr>
        <w:t>2</w:t>
      </w:r>
      <w:r>
        <w:rPr>
          <w:rFonts w:ascii="標楷體" w:eastAsia="標楷體" w:hAnsi="標楷體"/>
          <w:color w:val="000000"/>
        </w:rPr>
        <w:t>處或</w:t>
      </w:r>
      <w:r>
        <w:rPr>
          <w:rFonts w:ascii="標楷體" w:eastAsia="標楷體" w:hAnsi="標楷體"/>
          <w:color w:val="000000"/>
        </w:rPr>
        <w:t>2</w:t>
      </w:r>
      <w:r>
        <w:rPr>
          <w:rFonts w:ascii="標楷體" w:eastAsia="標楷體" w:hAnsi="標楷體"/>
          <w:color w:val="000000"/>
        </w:rPr>
        <w:t>次</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以上之骨折。使用</w:t>
      </w:r>
      <w:r>
        <w:rPr>
          <w:rFonts w:ascii="標楷體" w:eastAsia="標楷體" w:hAnsi="標楷體"/>
          <w:color w:val="000000"/>
        </w:rPr>
        <w:t>Prolia</w:t>
      </w:r>
      <w:r>
        <w:rPr>
          <w:rFonts w:ascii="標楷體" w:eastAsia="標楷體" w:hAnsi="標楷體"/>
          <w:color w:val="000000"/>
        </w:rPr>
        <w:t>及</w:t>
      </w:r>
      <w:r>
        <w:rPr>
          <w:rFonts w:ascii="標楷體" w:eastAsia="標楷體" w:hAnsi="標楷體"/>
          <w:color w:val="000000"/>
        </w:rPr>
        <w:t>Alendro</w:t>
      </w:r>
      <w:r>
        <w:rPr>
          <w:rFonts w:ascii="標楷體" w:eastAsia="標楷體" w:hAnsi="標楷體"/>
          <w:color w:val="000000"/>
        </w:rPr>
        <w:t>nate Sandoz 70mg Tablets</w:t>
      </w:r>
      <w:r>
        <w:rPr>
          <w:rFonts w:ascii="標楷體" w:eastAsia="標楷體" w:hAnsi="標楷體"/>
          <w:color w:val="000000"/>
        </w:rPr>
        <w:t>除上述條件外，亦可用於前述因骨質疏鬆症引起之遠端</w:t>
      </w:r>
      <w:proofErr w:type="gramStart"/>
      <w:r>
        <w:rPr>
          <w:rFonts w:ascii="標楷體" w:eastAsia="標楷體" w:hAnsi="標楷體"/>
          <w:color w:val="000000"/>
        </w:rPr>
        <w:t>橈</w:t>
      </w:r>
      <w:proofErr w:type="gramEnd"/>
      <w:r>
        <w:rPr>
          <w:rFonts w:ascii="標楷體" w:eastAsia="標楷體" w:hAnsi="標楷體"/>
          <w:color w:val="000000"/>
        </w:rPr>
        <w:t>骨或近端肱骨骨折，或骨質</w:t>
      </w:r>
      <w:proofErr w:type="gramStart"/>
      <w:r>
        <w:rPr>
          <w:rFonts w:ascii="標楷體" w:eastAsia="標楷體" w:hAnsi="標楷體"/>
          <w:color w:val="000000"/>
        </w:rPr>
        <w:t>疏少</w:t>
      </w:r>
      <w:proofErr w:type="gramEnd"/>
      <w:r>
        <w:rPr>
          <w:rFonts w:ascii="標楷體" w:eastAsia="標楷體" w:hAnsi="標楷體"/>
          <w:color w:val="000000"/>
        </w:rPr>
        <w:t>症引起之遠端橈骨、近端肱骨</w:t>
      </w:r>
      <w:r>
        <w:rPr>
          <w:rFonts w:ascii="標楷體" w:eastAsia="標楷體" w:hAnsi="標楷體"/>
          <w:color w:val="000000"/>
        </w:rPr>
        <w:t>2</w:t>
      </w:r>
      <w:r>
        <w:rPr>
          <w:rFonts w:ascii="標楷體" w:eastAsia="標楷體" w:hAnsi="標楷體"/>
          <w:color w:val="000000"/>
        </w:rPr>
        <w:t>處或</w:t>
      </w:r>
      <w:r>
        <w:rPr>
          <w:rFonts w:ascii="標楷體" w:eastAsia="標楷體" w:hAnsi="標楷體"/>
          <w:color w:val="000000"/>
        </w:rPr>
        <w:t>2</w:t>
      </w:r>
      <w:r>
        <w:rPr>
          <w:rFonts w:ascii="標楷體" w:eastAsia="標楷體" w:hAnsi="標楷體"/>
          <w:color w:val="000000"/>
        </w:rPr>
        <w:t>次</w:t>
      </w:r>
      <w:r>
        <w:rPr>
          <w:rFonts w:ascii="標楷體" w:eastAsia="標楷體" w:hAnsi="標楷體"/>
          <w:color w:val="000000"/>
        </w:rPr>
        <w:t>(</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以上之骨折。</w:t>
      </w:r>
      <w:r>
        <w:rPr>
          <w:rFonts w:ascii="標楷體" w:eastAsia="標楷體" w:hAnsi="標楷體"/>
          <w:color w:val="000000"/>
        </w:rPr>
        <w:t xml:space="preserve"> (101/5/1</w:t>
      </w:r>
      <w:r>
        <w:rPr>
          <w:rFonts w:ascii="標楷體" w:eastAsia="標楷體" w:hAnsi="標楷體"/>
          <w:color w:val="000000"/>
        </w:rPr>
        <w:t>、</w:t>
      </w:r>
      <w:r>
        <w:rPr>
          <w:rFonts w:ascii="標楷體" w:eastAsia="標楷體" w:hAnsi="標楷體"/>
          <w:color w:val="000000"/>
        </w:rPr>
        <w:t>102/8/1</w:t>
      </w:r>
      <w:r>
        <w:rPr>
          <w:rFonts w:ascii="標楷體" w:eastAsia="標楷體" w:hAnsi="標楷體"/>
          <w:color w:val="000000"/>
        </w:rPr>
        <w:t>、</w:t>
      </w:r>
      <w:r>
        <w:rPr>
          <w:rFonts w:ascii="標楷體" w:eastAsia="標楷體" w:hAnsi="標楷體"/>
          <w:color w:val="000000"/>
        </w:rPr>
        <w:t>103/10/1</w:t>
      </w:r>
      <w:r>
        <w:rPr>
          <w:rFonts w:ascii="標楷體" w:eastAsia="標楷體" w:hAnsi="標楷體"/>
          <w:color w:val="000000"/>
        </w:rPr>
        <w:t>、</w:t>
      </w:r>
      <w:r>
        <w:rPr>
          <w:rFonts w:ascii="標楷體" w:eastAsia="標楷體" w:hAnsi="標楷體"/>
          <w:color w:val="000000"/>
        </w:rPr>
        <w:t>104/8/1</w:t>
      </w:r>
      <w:r>
        <w:rPr>
          <w:rFonts w:ascii="標楷體" w:eastAsia="標楷體" w:hAnsi="標楷體"/>
          <w:color w:val="000000"/>
        </w:rPr>
        <w:t>、</w:t>
      </w:r>
      <w:r>
        <w:rPr>
          <w:rFonts w:ascii="標楷體" w:eastAsia="標楷體" w:hAnsi="標楷體"/>
          <w:color w:val="000000"/>
        </w:rPr>
        <w:t>106/12/1</w:t>
      </w:r>
      <w:r>
        <w:rPr>
          <w:rFonts w:ascii="標楷體" w:eastAsia="標楷體" w:hAnsi="標楷體"/>
          <w:color w:val="000000"/>
        </w:rPr>
        <w:t>、</w:t>
      </w:r>
      <w:r>
        <w:rPr>
          <w:rFonts w:ascii="標楷體" w:eastAsia="標楷體" w:hAnsi="標楷體"/>
          <w:color w:val="000000"/>
        </w:rPr>
        <w:t>114/3/1)</w:t>
      </w:r>
    </w:p>
    <w:p w:rsidR="00203445" w:rsidRDefault="003100F1">
      <w:pPr>
        <w:ind w:left="1276" w:hanging="341"/>
        <w:rPr>
          <w:rFonts w:ascii="標楷體" w:eastAsia="標楷體" w:hAnsi="標楷體"/>
          <w:color w:val="000000"/>
        </w:rPr>
      </w:pPr>
      <w:r>
        <w:rPr>
          <w:rFonts w:ascii="標楷體" w:eastAsia="標楷體" w:hAnsi="標楷體"/>
          <w:color w:val="000000"/>
        </w:rPr>
        <w:t>Ⅱ.</w:t>
      </w:r>
      <w:r>
        <w:rPr>
          <w:rFonts w:ascii="標楷體" w:eastAsia="標楷體" w:hAnsi="標楷體"/>
          <w:color w:val="000000"/>
        </w:rPr>
        <w:t>用於骨質疏鬆症患者</w:t>
      </w:r>
      <w:r>
        <w:rPr>
          <w:rFonts w:ascii="標楷體" w:eastAsia="標楷體" w:hAnsi="標楷體"/>
          <w:color w:val="000000"/>
        </w:rPr>
        <w:t xml:space="preserve"> (</w:t>
      </w:r>
      <w:r>
        <w:rPr>
          <w:rFonts w:ascii="標楷體" w:eastAsia="標楷體" w:hAnsi="標楷體"/>
          <w:color w:val="000000"/>
        </w:rPr>
        <w:t>須經</w:t>
      </w:r>
      <w:r>
        <w:rPr>
          <w:rFonts w:ascii="標楷體" w:eastAsia="標楷體" w:hAnsi="標楷體"/>
          <w:color w:val="000000"/>
        </w:rPr>
        <w:t>DXA</w:t>
      </w:r>
      <w:r>
        <w:rPr>
          <w:rFonts w:ascii="標楷體" w:eastAsia="標楷體" w:hAnsi="標楷體"/>
          <w:color w:val="000000"/>
        </w:rPr>
        <w:t>檢測</w:t>
      </w:r>
      <w:r>
        <w:rPr>
          <w:rFonts w:ascii="標楷體" w:eastAsia="標楷體" w:hAnsi="標楷體"/>
          <w:color w:val="000000"/>
        </w:rPr>
        <w:t>BMD</w:t>
      </w:r>
      <w:r>
        <w:rPr>
          <w:rFonts w:ascii="標楷體" w:eastAsia="標楷體" w:hAnsi="標楷體"/>
          <w:color w:val="000000"/>
        </w:rPr>
        <w:t>之</w:t>
      </w:r>
      <w:r>
        <w:rPr>
          <w:rFonts w:ascii="標楷體" w:eastAsia="標楷體" w:hAnsi="標楷體"/>
          <w:color w:val="000000"/>
        </w:rPr>
        <w:t>T-score</w:t>
      </w:r>
      <w:proofErr w:type="gramStart"/>
      <w:r>
        <w:rPr>
          <w:rFonts w:ascii="標楷體" w:eastAsia="標楷體" w:hAnsi="標楷體"/>
          <w:color w:val="000000"/>
        </w:rPr>
        <w:t>≦</w:t>
      </w:r>
      <w:proofErr w:type="gramEnd"/>
      <w:r>
        <w:rPr>
          <w:rFonts w:ascii="標楷體" w:eastAsia="標楷體" w:hAnsi="標楷體"/>
          <w:color w:val="000000"/>
        </w:rPr>
        <w:t>-2.5)</w:t>
      </w:r>
      <w:r>
        <w:rPr>
          <w:rFonts w:ascii="標楷體" w:eastAsia="標楷體" w:hAnsi="標楷體"/>
          <w:color w:val="000000"/>
        </w:rPr>
        <w:t>，且合併下列至少一項骨質疏鬆性骨折高風險因子者，限使用</w:t>
      </w:r>
      <w:r>
        <w:rPr>
          <w:rFonts w:ascii="標楷體" w:eastAsia="標楷體" w:hAnsi="標楷體"/>
          <w:color w:val="000000"/>
        </w:rPr>
        <w:t>Prolia</w:t>
      </w:r>
      <w:r>
        <w:rPr>
          <w:rFonts w:ascii="標楷體" w:eastAsia="標楷體" w:hAnsi="標楷體"/>
          <w:color w:val="000000"/>
        </w:rPr>
        <w:t>及</w:t>
      </w:r>
      <w:r>
        <w:rPr>
          <w:rFonts w:ascii="標楷體" w:eastAsia="標楷體" w:hAnsi="標楷體"/>
          <w:color w:val="000000"/>
        </w:rPr>
        <w:t>Alendronate Sandoz 70mg Tablets</w:t>
      </w:r>
      <w:r>
        <w:rPr>
          <w:rFonts w:ascii="標楷體" w:eastAsia="標楷體" w:hAnsi="標楷體"/>
          <w:color w:val="000000"/>
        </w:rPr>
        <w:t>，且須於病歷上載明</w:t>
      </w:r>
      <w:r>
        <w:rPr>
          <w:rFonts w:ascii="標楷體" w:eastAsia="標楷體" w:hAnsi="標楷體"/>
          <w:color w:val="000000"/>
        </w:rPr>
        <w:t xml:space="preserve">: </w:t>
      </w:r>
      <w:r>
        <w:rPr>
          <w:rFonts w:ascii="標楷體" w:eastAsia="標楷體" w:hAnsi="標楷體"/>
          <w:color w:val="000000"/>
        </w:rPr>
        <w:lastRenderedPageBreak/>
        <w:t>(114/3/1)</w:t>
      </w:r>
    </w:p>
    <w:p w:rsidR="00203445" w:rsidRDefault="003100F1">
      <w:pPr>
        <w:ind w:left="1560" w:hanging="341"/>
      </w:pPr>
      <w:r>
        <w:rPr>
          <w:rFonts w:ascii="新細明體" w:hAnsi="新細明體" w:cs="新細明體"/>
          <w:color w:val="000000"/>
        </w:rPr>
        <w:t>ⅰ</w:t>
      </w:r>
      <w:r>
        <w:rPr>
          <w:rFonts w:ascii="標楷體" w:eastAsia="標楷體" w:hAnsi="標楷體"/>
          <w:color w:val="000000"/>
        </w:rPr>
        <w:t>類風溼性關節炎。</w:t>
      </w:r>
    </w:p>
    <w:p w:rsidR="00203445" w:rsidRDefault="003100F1">
      <w:pPr>
        <w:ind w:left="1560" w:hanging="341"/>
      </w:pPr>
      <w:r>
        <w:rPr>
          <w:rFonts w:ascii="新細明體" w:hAnsi="新細明體" w:cs="新細明體"/>
          <w:color w:val="000000"/>
        </w:rPr>
        <w:t>ⅱ</w:t>
      </w:r>
      <w:r>
        <w:rPr>
          <w:rFonts w:ascii="標楷體" w:eastAsia="標楷體" w:hAnsi="標楷體"/>
          <w:color w:val="000000"/>
        </w:rPr>
        <w:t>糖尿病且使用胰島素。</w:t>
      </w:r>
    </w:p>
    <w:p w:rsidR="00203445" w:rsidRDefault="003100F1">
      <w:pPr>
        <w:ind w:left="1560" w:hanging="341"/>
      </w:pPr>
      <w:r>
        <w:rPr>
          <w:rFonts w:ascii="新細明體" w:hAnsi="新細明體" w:cs="新細明體"/>
          <w:color w:val="000000"/>
        </w:rPr>
        <w:t>ⅲ</w:t>
      </w:r>
      <w:r>
        <w:rPr>
          <w:rFonts w:ascii="標楷體" w:eastAsia="標楷體" w:hAnsi="標楷體"/>
          <w:color w:val="000000"/>
        </w:rPr>
        <w:t>使用糖皮質類固醇</w:t>
      </w:r>
      <w:r>
        <w:rPr>
          <w:rFonts w:ascii="標楷體" w:eastAsia="標楷體" w:hAnsi="標楷體"/>
          <w:color w:val="000000"/>
        </w:rPr>
        <w:t>(&gt;5</w:t>
      </w:r>
      <w:r>
        <w:rPr>
          <w:rFonts w:ascii="標楷體" w:eastAsia="標楷體" w:hAnsi="標楷體"/>
          <w:color w:val="000000"/>
        </w:rPr>
        <w:t>毫克</w:t>
      </w:r>
      <w:r>
        <w:rPr>
          <w:rFonts w:ascii="標楷體" w:eastAsia="標楷體" w:hAnsi="標楷體"/>
          <w:color w:val="000000"/>
        </w:rPr>
        <w:t>/</w:t>
      </w:r>
      <w:r>
        <w:rPr>
          <w:rFonts w:ascii="標楷體" w:eastAsia="標楷體" w:hAnsi="標楷體"/>
          <w:color w:val="000000"/>
        </w:rPr>
        <w:t>天</w:t>
      </w:r>
      <w:r>
        <w:rPr>
          <w:rFonts w:ascii="標楷體" w:eastAsia="標楷體" w:hAnsi="標楷體"/>
          <w:color w:val="000000"/>
        </w:rPr>
        <w:t>)</w:t>
      </w:r>
      <w:r>
        <w:rPr>
          <w:rFonts w:ascii="標楷體" w:eastAsia="標楷體" w:hAnsi="標楷體"/>
          <w:color w:val="000000"/>
        </w:rPr>
        <w:t>超過</w:t>
      </w:r>
      <w:r>
        <w:rPr>
          <w:rFonts w:ascii="標楷體" w:eastAsia="標楷體" w:hAnsi="標楷體"/>
          <w:color w:val="000000"/>
        </w:rPr>
        <w:t>3</w:t>
      </w:r>
      <w:r>
        <w:rPr>
          <w:rFonts w:ascii="標楷體" w:eastAsia="標楷體" w:hAnsi="標楷體"/>
          <w:color w:val="000000"/>
        </w:rPr>
        <w:t>個月。</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治療時，一次限用一項藥物，不得</w:t>
      </w:r>
      <w:proofErr w:type="gramStart"/>
      <w:r>
        <w:rPr>
          <w:rFonts w:ascii="標楷體" w:eastAsia="標楷體" w:hAnsi="標楷體"/>
          <w:color w:val="000000"/>
        </w:rPr>
        <w:t>併</w:t>
      </w:r>
      <w:proofErr w:type="gramEnd"/>
      <w:r>
        <w:rPr>
          <w:rFonts w:ascii="標楷體" w:eastAsia="標楷體" w:hAnsi="標楷體"/>
          <w:color w:val="000000"/>
        </w:rPr>
        <w:t>用其他骨質疏鬆症治療藥物。</w:t>
      </w:r>
    </w:p>
    <w:p w:rsidR="00203445" w:rsidRDefault="003100F1">
      <w:pPr>
        <w:ind w:left="1049" w:hanging="34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使用雙磷酸鹽類藥物，須先檢測病患之血清</w:t>
      </w:r>
      <w:r>
        <w:rPr>
          <w:rFonts w:ascii="標楷體" w:eastAsia="標楷體" w:hAnsi="標楷體"/>
          <w:color w:val="000000"/>
        </w:rPr>
        <w:t>creatinine</w:t>
      </w:r>
      <w:r>
        <w:rPr>
          <w:rFonts w:ascii="標楷體" w:eastAsia="標楷體" w:hAnsi="標楷體"/>
          <w:color w:val="000000"/>
        </w:rPr>
        <w:t>濃度，符合該項藥物仿單之建議規定。</w:t>
      </w:r>
    </w:p>
    <w:p w:rsidR="00203445" w:rsidRDefault="003100F1">
      <w:pPr>
        <w:ind w:left="672" w:hanging="386"/>
        <w:rPr>
          <w:rFonts w:ascii="標楷體" w:eastAsia="標楷體" w:hAnsi="標楷體"/>
          <w:color w:val="000000"/>
        </w:rPr>
      </w:pPr>
      <w:r>
        <w:rPr>
          <w:rFonts w:ascii="標楷體" w:eastAsia="標楷體" w:hAnsi="標楷體"/>
          <w:color w:val="000000"/>
        </w:rPr>
        <w:t xml:space="preserve"> 5.6.2.Parathyroid hormones and analogues </w:t>
      </w:r>
      <w:r>
        <w:rPr>
          <w:rFonts w:ascii="標楷體" w:eastAsia="標楷體" w:hAnsi="標楷體"/>
          <w:color w:val="000000"/>
        </w:rPr>
        <w:t>（副甲狀腺素及類似劑）：</w:t>
      </w:r>
      <w:r>
        <w:rPr>
          <w:rFonts w:ascii="標楷體" w:eastAsia="標楷體" w:hAnsi="標楷體"/>
          <w:color w:val="000000"/>
        </w:rPr>
        <w:t>teriparatide</w:t>
      </w:r>
      <w:r>
        <w:rPr>
          <w:rFonts w:ascii="標楷體" w:eastAsia="標楷體" w:hAnsi="標楷體"/>
          <w:color w:val="000000"/>
        </w:rPr>
        <w:t>注射劑</w:t>
      </w:r>
      <w:r>
        <w:rPr>
          <w:rFonts w:ascii="標楷體" w:eastAsia="標楷體" w:hAnsi="標楷體"/>
          <w:color w:val="000000"/>
        </w:rPr>
        <w:t>(101/7/1</w:t>
      </w:r>
      <w:r>
        <w:rPr>
          <w:rFonts w:ascii="標楷體" w:eastAsia="標楷體" w:hAnsi="標楷體"/>
          <w:color w:val="000000"/>
        </w:rPr>
        <w:t>、</w:t>
      </w:r>
      <w:r>
        <w:rPr>
          <w:rFonts w:ascii="標楷體" w:eastAsia="標楷體" w:hAnsi="標楷體"/>
          <w:color w:val="000000"/>
        </w:rPr>
        <w:t>110/5/1)</w:t>
      </w:r>
    </w:p>
    <w:p w:rsidR="00203445" w:rsidRDefault="003100F1">
      <w:pPr>
        <w:ind w:left="798" w:hanging="1"/>
        <w:rPr>
          <w:rFonts w:ascii="標楷體" w:eastAsia="標楷體" w:hAnsi="標楷體"/>
          <w:color w:val="000000"/>
        </w:rPr>
      </w:pPr>
      <w:r>
        <w:rPr>
          <w:rFonts w:ascii="標楷體" w:eastAsia="標楷體" w:hAnsi="標楷體"/>
          <w:color w:val="000000"/>
        </w:rPr>
        <w:t>限用於</w:t>
      </w:r>
    </w:p>
    <w:p w:rsidR="00203445" w:rsidRDefault="003100F1">
      <w:pPr>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停經後骨質疏鬆婦女。</w:t>
      </w:r>
    </w:p>
    <w:p w:rsidR="00203445" w:rsidRDefault="003100F1">
      <w:pPr>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原發性或次發於性腺功能低下症造成骨質疏鬆之男性。</w:t>
      </w:r>
    </w:p>
    <w:p w:rsidR="00203445" w:rsidRDefault="003100F1">
      <w:pPr>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需符合下列條件：</w:t>
      </w:r>
    </w:p>
    <w:p w:rsidR="00203445" w:rsidRDefault="003100F1">
      <w:pPr>
        <w:ind w:left="1049" w:hanging="34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引起脊椎或髖部多於</w:t>
      </w:r>
      <w:r>
        <w:rPr>
          <w:rFonts w:ascii="標楷體" w:eastAsia="標楷體" w:hAnsi="標楷體"/>
          <w:color w:val="000000"/>
        </w:rPr>
        <w:t>2 (</w:t>
      </w:r>
      <w:r>
        <w:rPr>
          <w:rFonts w:ascii="標楷體" w:eastAsia="標楷體" w:hAnsi="標楷體"/>
          <w:color w:val="000000"/>
        </w:rPr>
        <w:t>含</w:t>
      </w:r>
      <w:r>
        <w:rPr>
          <w:rFonts w:ascii="標楷體" w:eastAsia="標楷體" w:hAnsi="標楷體"/>
          <w:color w:val="000000"/>
        </w:rPr>
        <w:t>)</w:t>
      </w:r>
      <w:r>
        <w:rPr>
          <w:rFonts w:ascii="標楷體" w:eastAsia="標楷體" w:hAnsi="標楷體"/>
          <w:color w:val="000000"/>
        </w:rPr>
        <w:t>處骨折，經評估（須於病歷載明）無法耐受副作用或在持續配合使用抗骨質吸收劑至少連續</w:t>
      </w:r>
      <w:r>
        <w:rPr>
          <w:rFonts w:ascii="標楷體" w:eastAsia="標楷體" w:hAnsi="標楷體"/>
          <w:color w:val="000000"/>
        </w:rPr>
        <w:t>12</w:t>
      </w:r>
      <w:r>
        <w:rPr>
          <w:rFonts w:ascii="標楷體" w:eastAsia="標楷體" w:hAnsi="標楷體"/>
          <w:color w:val="000000"/>
        </w:rPr>
        <w:t>個月的情況下仍發生至少</w:t>
      </w:r>
      <w:r>
        <w:rPr>
          <w:rFonts w:ascii="標楷體" w:eastAsia="標楷體" w:hAnsi="標楷體"/>
          <w:color w:val="000000"/>
        </w:rPr>
        <w:t>1</w:t>
      </w:r>
      <w:r>
        <w:rPr>
          <w:rFonts w:ascii="標楷體" w:eastAsia="標楷體" w:hAnsi="標楷體"/>
          <w:color w:val="000000"/>
        </w:rPr>
        <w:t>處新的骨折之病患。</w:t>
      </w:r>
    </w:p>
    <w:p w:rsidR="00203445" w:rsidRDefault="003100F1">
      <w:pPr>
        <w:ind w:left="1049" w:hanging="34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骨質疏鬆之程度，須經</w:t>
      </w:r>
      <w:r>
        <w:rPr>
          <w:rFonts w:ascii="標楷體" w:eastAsia="標楷體" w:hAnsi="標楷體"/>
          <w:color w:val="000000"/>
        </w:rPr>
        <w:t xml:space="preserve">DXA </w:t>
      </w:r>
      <w:r>
        <w:rPr>
          <w:rFonts w:ascii="標楷體" w:eastAsia="標楷體" w:hAnsi="標楷體"/>
          <w:color w:val="000000"/>
        </w:rPr>
        <w:t>檢測</w:t>
      </w:r>
      <w:r>
        <w:rPr>
          <w:rFonts w:ascii="標楷體" w:eastAsia="標楷體" w:hAnsi="標楷體"/>
          <w:color w:val="000000"/>
        </w:rPr>
        <w:t xml:space="preserve"> BMD </w:t>
      </w:r>
      <w:r>
        <w:rPr>
          <w:rFonts w:ascii="標楷體" w:eastAsia="標楷體" w:hAnsi="標楷體"/>
          <w:color w:val="000000"/>
        </w:rPr>
        <w:t>之</w:t>
      </w:r>
      <w:r>
        <w:rPr>
          <w:rFonts w:ascii="標楷體" w:eastAsia="標楷體" w:hAnsi="標楷體"/>
          <w:color w:val="000000"/>
        </w:rPr>
        <w:t xml:space="preserve">T-score </w:t>
      </w:r>
      <w:r>
        <w:rPr>
          <w:rFonts w:ascii="標楷體" w:eastAsia="標楷體" w:hAnsi="標楷體"/>
          <w:color w:val="000000"/>
        </w:rPr>
        <w:t>小於或等於</w:t>
      </w:r>
      <w:r>
        <w:rPr>
          <w:rFonts w:ascii="標楷體" w:eastAsia="標楷體" w:hAnsi="標楷體"/>
          <w:color w:val="000000"/>
        </w:rPr>
        <w:t>-3.0</w:t>
      </w:r>
      <w:r>
        <w:rPr>
          <w:rFonts w:ascii="標楷體" w:eastAsia="標楷體" w:hAnsi="標楷體"/>
          <w:color w:val="000000"/>
        </w:rPr>
        <w:t>。</w:t>
      </w:r>
    </w:p>
    <w:p w:rsidR="00203445" w:rsidRDefault="003100F1">
      <w:pPr>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使用不得超過</w:t>
      </w:r>
      <w:r>
        <w:rPr>
          <w:rFonts w:ascii="標楷體" w:eastAsia="標楷體" w:hAnsi="標楷體"/>
          <w:color w:val="000000"/>
        </w:rPr>
        <w:t>18</w:t>
      </w:r>
      <w:r>
        <w:rPr>
          <w:rFonts w:ascii="標楷體" w:eastAsia="標楷體" w:hAnsi="標楷體"/>
          <w:color w:val="000000"/>
        </w:rPr>
        <w:t>支並於二年內使用完畢，使用期間內不得</w:t>
      </w:r>
      <w:proofErr w:type="gramStart"/>
      <w:r>
        <w:rPr>
          <w:rFonts w:ascii="標楷體" w:eastAsia="標楷體" w:hAnsi="標楷體"/>
          <w:color w:val="000000"/>
        </w:rPr>
        <w:t>併</w:t>
      </w:r>
      <w:proofErr w:type="gramEnd"/>
      <w:r>
        <w:rPr>
          <w:rFonts w:ascii="標楷體" w:eastAsia="標楷體" w:hAnsi="標楷體"/>
          <w:color w:val="000000"/>
        </w:rPr>
        <w:t>用其他骨質疏鬆症治療藥物。</w:t>
      </w:r>
    </w:p>
    <w:p w:rsidR="00203445" w:rsidRDefault="003100F1">
      <w:pPr>
        <w:ind w:left="811" w:hanging="245"/>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與</w:t>
      </w:r>
      <w:proofErr w:type="spellStart"/>
      <w:r>
        <w:rPr>
          <w:rFonts w:ascii="標楷體" w:eastAsia="標楷體" w:hAnsi="標楷體"/>
          <w:color w:val="000000"/>
        </w:rPr>
        <w:t>romosozumab</w:t>
      </w:r>
      <w:proofErr w:type="spellEnd"/>
      <w:r>
        <w:rPr>
          <w:rFonts w:ascii="標楷體" w:eastAsia="標楷體" w:hAnsi="標楷體"/>
          <w:color w:val="000000"/>
        </w:rPr>
        <w:t>僅得擇</w:t>
      </w:r>
      <w:proofErr w:type="gramStart"/>
      <w:r>
        <w:rPr>
          <w:rFonts w:ascii="標楷體" w:eastAsia="標楷體" w:hAnsi="標楷體"/>
          <w:color w:val="000000"/>
        </w:rPr>
        <w:t>一</w:t>
      </w:r>
      <w:proofErr w:type="gramEnd"/>
      <w:r>
        <w:rPr>
          <w:rFonts w:ascii="標楷體" w:eastAsia="標楷體" w:hAnsi="標楷體"/>
          <w:color w:val="000000"/>
        </w:rPr>
        <w:t>使用，</w:t>
      </w:r>
      <w:proofErr w:type="gramStart"/>
      <w:r>
        <w:rPr>
          <w:rFonts w:ascii="標楷體" w:eastAsia="標楷體" w:hAnsi="標楷體"/>
          <w:color w:val="000000"/>
        </w:rPr>
        <w:t>除因耐</w:t>
      </w:r>
      <w:proofErr w:type="gramEnd"/>
      <w:r>
        <w:rPr>
          <w:rFonts w:ascii="標楷體" w:eastAsia="標楷體" w:hAnsi="標楷體"/>
          <w:color w:val="000000"/>
        </w:rPr>
        <w:t>受性不良，不得互換。</w:t>
      </w:r>
      <w:r>
        <w:rPr>
          <w:rFonts w:ascii="標楷體" w:eastAsia="標楷體" w:hAnsi="標楷體"/>
          <w:color w:val="000000"/>
        </w:rPr>
        <w:t>(110/5/1)</w:t>
      </w:r>
    </w:p>
    <w:p w:rsidR="00203445" w:rsidRDefault="003100F1">
      <w:pPr>
        <w:snapToGrid w:val="0"/>
        <w:ind w:left="798" w:hanging="1"/>
        <w:rPr>
          <w:rFonts w:ascii="標楷體" w:eastAsia="標楷體" w:hAnsi="標楷體"/>
          <w:color w:val="000000"/>
        </w:rPr>
      </w:pPr>
      <w:r>
        <w:rPr>
          <w:rFonts w:ascii="標楷體" w:eastAsia="標楷體" w:hAnsi="標楷體"/>
          <w:color w:val="000000"/>
        </w:rPr>
        <w:t>備註</w:t>
      </w:r>
      <w:r>
        <w:rPr>
          <w:rFonts w:ascii="標楷體" w:eastAsia="標楷體" w:hAnsi="標楷體"/>
          <w:color w:val="000000"/>
        </w:rPr>
        <w:t>DXA:</w:t>
      </w:r>
      <w:r>
        <w:rPr>
          <w:rFonts w:ascii="標楷體" w:eastAsia="標楷體" w:hAnsi="標楷體"/>
          <w:color w:val="000000"/>
        </w:rPr>
        <w:t xml:space="preserve"> Dual energy X-ray absorptiometry</w:t>
      </w:r>
    </w:p>
    <w:p w:rsidR="00203445" w:rsidRDefault="003100F1">
      <w:pPr>
        <w:rPr>
          <w:rFonts w:ascii="標楷體" w:eastAsia="標楷體" w:hAnsi="標楷體"/>
          <w:color w:val="000000"/>
        </w:rPr>
      </w:pPr>
      <w:r>
        <w:rPr>
          <w:rFonts w:ascii="標楷體" w:eastAsia="標楷體" w:hAnsi="標楷體"/>
          <w:color w:val="000000"/>
        </w:rPr>
        <w:t xml:space="preserve">       BMD: Bone mineral density</w:t>
      </w:r>
    </w:p>
    <w:p w:rsidR="00203445" w:rsidRDefault="003100F1">
      <w:pPr>
        <w:ind w:left="672" w:hanging="386"/>
        <w:rPr>
          <w:rFonts w:ascii="標楷體" w:eastAsia="標楷體" w:hAnsi="標楷體"/>
        </w:rPr>
      </w:pPr>
      <w:r>
        <w:rPr>
          <w:rFonts w:ascii="標楷體" w:eastAsia="標楷體" w:hAnsi="標楷體"/>
        </w:rPr>
        <w:t>5.6.3.Romosozumab(</w:t>
      </w:r>
      <w:r>
        <w:rPr>
          <w:rFonts w:ascii="標楷體" w:eastAsia="標楷體" w:hAnsi="標楷體"/>
        </w:rPr>
        <w:t>如</w:t>
      </w:r>
      <w:proofErr w:type="spellStart"/>
      <w:r>
        <w:rPr>
          <w:rFonts w:ascii="標楷體" w:eastAsia="標楷體" w:hAnsi="標楷體"/>
        </w:rPr>
        <w:t>Evenity</w:t>
      </w:r>
      <w:proofErr w:type="spellEnd"/>
      <w:r>
        <w:rPr>
          <w:rFonts w:ascii="標楷體" w:eastAsia="標楷體" w:hAnsi="標楷體"/>
        </w:rPr>
        <w:t>)</w:t>
      </w:r>
      <w:r>
        <w:rPr>
          <w:rFonts w:ascii="標楷體" w:eastAsia="標楷體" w:hAnsi="標楷體"/>
        </w:rPr>
        <w:t>：</w:t>
      </w:r>
      <w:r>
        <w:rPr>
          <w:rFonts w:ascii="標楷體" w:eastAsia="標楷體" w:hAnsi="標楷體"/>
        </w:rPr>
        <w:t>(110/5/1</w:t>
      </w:r>
      <w:r>
        <w:rPr>
          <w:rFonts w:ascii="標楷體" w:eastAsia="標楷體" w:hAnsi="標楷體"/>
        </w:rPr>
        <w:t>、</w:t>
      </w:r>
      <w:r>
        <w:rPr>
          <w:rFonts w:ascii="標楷體" w:eastAsia="標楷體" w:hAnsi="標楷體"/>
        </w:rPr>
        <w:t>114/3/1)</w:t>
      </w:r>
    </w:p>
    <w:p w:rsidR="00203445" w:rsidRDefault="003100F1">
      <w:pPr>
        <w:ind w:left="811" w:hanging="245"/>
        <w:rPr>
          <w:rFonts w:ascii="標楷體" w:eastAsia="標楷體" w:hAnsi="標楷體"/>
        </w:rPr>
      </w:pPr>
      <w:r>
        <w:rPr>
          <w:rFonts w:ascii="標楷體" w:eastAsia="標楷體" w:hAnsi="標楷體"/>
        </w:rPr>
        <w:t>1.</w:t>
      </w:r>
      <w:r>
        <w:rPr>
          <w:rFonts w:ascii="標楷體" w:eastAsia="標楷體" w:hAnsi="標楷體"/>
        </w:rPr>
        <w:t>限用於停經後骨質疏鬆婦女。</w:t>
      </w:r>
    </w:p>
    <w:p w:rsidR="00203445" w:rsidRDefault="003100F1">
      <w:pPr>
        <w:ind w:left="811" w:hanging="245"/>
        <w:rPr>
          <w:rFonts w:ascii="標楷體" w:eastAsia="標楷體" w:hAnsi="標楷體"/>
        </w:rPr>
      </w:pPr>
      <w:r>
        <w:rPr>
          <w:rFonts w:ascii="標楷體" w:eastAsia="標楷體" w:hAnsi="標楷體"/>
        </w:rPr>
        <w:t>2.</w:t>
      </w:r>
      <w:r>
        <w:rPr>
          <w:rFonts w:ascii="標楷體" w:eastAsia="標楷體" w:hAnsi="標楷體"/>
        </w:rPr>
        <w:t>需符合下列條件：</w:t>
      </w:r>
    </w:p>
    <w:p w:rsidR="00203445" w:rsidRDefault="003100F1">
      <w:pPr>
        <w:ind w:left="1049" w:hanging="341"/>
        <w:rPr>
          <w:rFonts w:ascii="標楷體" w:eastAsia="標楷體" w:hAnsi="標楷體"/>
        </w:rPr>
      </w:pPr>
      <w:r>
        <w:rPr>
          <w:rFonts w:ascii="標楷體" w:eastAsia="標楷體" w:hAnsi="標楷體"/>
        </w:rPr>
        <w:t>(1)</w:t>
      </w:r>
      <w:r>
        <w:rPr>
          <w:rFonts w:ascii="標楷體" w:eastAsia="標楷體" w:hAnsi="標楷體"/>
        </w:rPr>
        <w:t>引起遠端</w:t>
      </w:r>
      <w:proofErr w:type="gramStart"/>
      <w:r>
        <w:rPr>
          <w:rFonts w:ascii="標楷體" w:eastAsia="標楷體" w:hAnsi="標楷體"/>
        </w:rPr>
        <w:t>橈</w:t>
      </w:r>
      <w:proofErr w:type="gramEnd"/>
      <w:r>
        <w:rPr>
          <w:rFonts w:ascii="標楷體" w:eastAsia="標楷體" w:hAnsi="標楷體"/>
        </w:rPr>
        <w:t>骨、近端肱骨、脊椎或髖部多於</w:t>
      </w:r>
      <w:r>
        <w:rPr>
          <w:rFonts w:ascii="標楷體" w:eastAsia="標楷體" w:hAnsi="標楷體"/>
        </w:rPr>
        <w:t>2</w:t>
      </w:r>
      <w:r>
        <w:rPr>
          <w:rFonts w:ascii="標楷體" w:eastAsia="標楷體" w:hAnsi="標楷體"/>
        </w:rPr>
        <w:t>（含）處骨折，經評估（須於病歷載明）無法耐受副作用或在持續配合使用抗骨質吸收劑至少連續</w:t>
      </w:r>
      <w:r>
        <w:rPr>
          <w:rFonts w:ascii="標楷體" w:eastAsia="標楷體" w:hAnsi="標楷體"/>
        </w:rPr>
        <w:t>12</w:t>
      </w:r>
      <w:r>
        <w:rPr>
          <w:rFonts w:ascii="標楷體" w:eastAsia="標楷體" w:hAnsi="標楷體"/>
        </w:rPr>
        <w:t>個月的情況下仍發生至少</w:t>
      </w:r>
      <w:r>
        <w:rPr>
          <w:rFonts w:ascii="標楷體" w:eastAsia="標楷體" w:hAnsi="標楷體"/>
        </w:rPr>
        <w:t>1</w:t>
      </w:r>
      <w:r>
        <w:rPr>
          <w:rFonts w:ascii="標楷體" w:eastAsia="標楷體" w:hAnsi="標楷體"/>
        </w:rPr>
        <w:t>處新的骨折之病患。</w:t>
      </w:r>
      <w:r>
        <w:rPr>
          <w:rFonts w:ascii="標楷體" w:eastAsia="標楷體" w:hAnsi="標楷體"/>
        </w:rPr>
        <w:t>(110/5/1</w:t>
      </w:r>
      <w:r>
        <w:rPr>
          <w:rFonts w:ascii="標楷體" w:eastAsia="標楷體" w:hAnsi="標楷體"/>
        </w:rPr>
        <w:t>、</w:t>
      </w:r>
      <w:r>
        <w:rPr>
          <w:rFonts w:ascii="標楷體" w:eastAsia="標楷體" w:hAnsi="標楷體"/>
        </w:rPr>
        <w:t>114/3/1)</w:t>
      </w:r>
    </w:p>
    <w:p w:rsidR="00203445" w:rsidRDefault="003100F1">
      <w:pPr>
        <w:ind w:left="1049" w:hanging="341"/>
        <w:rPr>
          <w:rFonts w:ascii="標楷體" w:eastAsia="標楷體" w:hAnsi="標楷體"/>
        </w:rPr>
      </w:pPr>
      <w:r>
        <w:rPr>
          <w:rFonts w:ascii="標楷體" w:eastAsia="標楷體" w:hAnsi="標楷體"/>
        </w:rPr>
        <w:t>(2)</w:t>
      </w:r>
      <w:r>
        <w:rPr>
          <w:rFonts w:ascii="標楷體" w:eastAsia="標楷體" w:hAnsi="標楷體"/>
        </w:rPr>
        <w:t>骨質疏鬆之程</w:t>
      </w:r>
      <w:r>
        <w:rPr>
          <w:rFonts w:ascii="標楷體" w:eastAsia="標楷體" w:hAnsi="標楷體"/>
        </w:rPr>
        <w:t>度，須經</w:t>
      </w:r>
      <w:r>
        <w:rPr>
          <w:rFonts w:ascii="標楷體" w:eastAsia="標楷體" w:hAnsi="標楷體"/>
        </w:rPr>
        <w:t>DXA</w:t>
      </w:r>
      <w:r>
        <w:rPr>
          <w:rFonts w:ascii="標楷體" w:eastAsia="標楷體" w:hAnsi="標楷體"/>
        </w:rPr>
        <w:t>檢測</w:t>
      </w:r>
      <w:r>
        <w:rPr>
          <w:rFonts w:ascii="標楷體" w:eastAsia="標楷體" w:hAnsi="標楷體"/>
        </w:rPr>
        <w:t>BMD</w:t>
      </w:r>
      <w:r>
        <w:rPr>
          <w:rFonts w:ascii="標楷體" w:eastAsia="標楷體" w:hAnsi="標楷體"/>
        </w:rPr>
        <w:t>之</w:t>
      </w:r>
      <w:r>
        <w:rPr>
          <w:rFonts w:ascii="標楷體" w:eastAsia="標楷體" w:hAnsi="標楷體"/>
        </w:rPr>
        <w:t>T-score</w:t>
      </w:r>
      <w:r>
        <w:rPr>
          <w:rFonts w:ascii="標楷體" w:eastAsia="標楷體" w:hAnsi="標楷體"/>
        </w:rPr>
        <w:t>小於或等於</w:t>
      </w:r>
      <w:r>
        <w:rPr>
          <w:rFonts w:ascii="標楷體" w:eastAsia="標楷體" w:hAnsi="標楷體"/>
        </w:rPr>
        <w:t>-3.0</w:t>
      </w:r>
      <w:r>
        <w:rPr>
          <w:rFonts w:ascii="標楷體" w:eastAsia="標楷體" w:hAnsi="標楷體"/>
        </w:rPr>
        <w:t>。</w:t>
      </w:r>
    </w:p>
    <w:p w:rsidR="00203445" w:rsidRDefault="003100F1">
      <w:pPr>
        <w:ind w:left="811" w:hanging="245"/>
        <w:rPr>
          <w:rFonts w:ascii="標楷體" w:eastAsia="標楷體" w:hAnsi="標楷體"/>
        </w:rPr>
      </w:pPr>
      <w:r>
        <w:rPr>
          <w:rFonts w:ascii="標楷體" w:eastAsia="標楷體" w:hAnsi="標楷體"/>
        </w:rPr>
        <w:t>3.</w:t>
      </w:r>
      <w:r>
        <w:rPr>
          <w:rFonts w:ascii="標楷體" w:eastAsia="標楷體" w:hAnsi="標楷體"/>
        </w:rPr>
        <w:t>使用不得超過</w:t>
      </w:r>
      <w:r>
        <w:rPr>
          <w:rFonts w:ascii="標楷體" w:eastAsia="標楷體" w:hAnsi="標楷體"/>
        </w:rPr>
        <w:t>24</w:t>
      </w:r>
      <w:r>
        <w:rPr>
          <w:rFonts w:ascii="標楷體" w:eastAsia="標楷體" w:hAnsi="標楷體"/>
        </w:rPr>
        <w:t>支並於</w:t>
      </w:r>
      <w:proofErr w:type="gramStart"/>
      <w:r>
        <w:rPr>
          <w:rFonts w:ascii="標楷體" w:eastAsia="標楷體" w:hAnsi="標楷體"/>
        </w:rPr>
        <w:t>一</w:t>
      </w:r>
      <w:proofErr w:type="gramEnd"/>
      <w:r>
        <w:rPr>
          <w:rFonts w:ascii="標楷體" w:eastAsia="標楷體" w:hAnsi="標楷體"/>
        </w:rPr>
        <w:t>年內使用完畢。</w:t>
      </w:r>
    </w:p>
    <w:p w:rsidR="00203445" w:rsidRDefault="003100F1">
      <w:pPr>
        <w:ind w:left="811" w:hanging="245"/>
        <w:rPr>
          <w:rFonts w:ascii="標楷體" w:eastAsia="標楷體" w:hAnsi="標楷體"/>
        </w:rPr>
      </w:pPr>
      <w:r>
        <w:rPr>
          <w:rFonts w:ascii="標楷體" w:eastAsia="標楷體" w:hAnsi="標楷體"/>
        </w:rPr>
        <w:t>4.</w:t>
      </w:r>
      <w:r>
        <w:rPr>
          <w:rFonts w:ascii="標楷體" w:eastAsia="標楷體" w:hAnsi="標楷體"/>
        </w:rPr>
        <w:t>使用期間內不得</w:t>
      </w:r>
      <w:proofErr w:type="gramStart"/>
      <w:r>
        <w:rPr>
          <w:rFonts w:ascii="標楷體" w:eastAsia="標楷體" w:hAnsi="標楷體"/>
        </w:rPr>
        <w:t>併</w:t>
      </w:r>
      <w:proofErr w:type="gramEnd"/>
      <w:r>
        <w:rPr>
          <w:rFonts w:ascii="標楷體" w:eastAsia="標楷體" w:hAnsi="標楷體"/>
        </w:rPr>
        <w:t>用其他骨質疏鬆症治療藥物。</w:t>
      </w:r>
    </w:p>
    <w:p w:rsidR="00203445" w:rsidRDefault="003100F1">
      <w:pPr>
        <w:ind w:left="811" w:hanging="245"/>
      </w:pPr>
      <w:r>
        <w:rPr>
          <w:rFonts w:ascii="標楷體" w:eastAsia="標楷體" w:hAnsi="標楷體"/>
        </w:rPr>
        <w:t>5.</w:t>
      </w:r>
      <w:r>
        <w:rPr>
          <w:rFonts w:ascii="標楷體" w:eastAsia="標楷體" w:hAnsi="標楷體"/>
        </w:rPr>
        <w:t>與</w:t>
      </w:r>
      <w:r>
        <w:rPr>
          <w:rFonts w:ascii="標楷體" w:eastAsia="標楷體" w:hAnsi="標楷體"/>
        </w:rPr>
        <w:t>teriparatide</w:t>
      </w:r>
      <w:r>
        <w:rPr>
          <w:rFonts w:ascii="標楷體" w:eastAsia="標楷體" w:hAnsi="標楷體"/>
        </w:rPr>
        <w:t>僅得擇</w:t>
      </w:r>
      <w:proofErr w:type="gramStart"/>
      <w:r>
        <w:rPr>
          <w:rFonts w:ascii="標楷體" w:eastAsia="標楷體" w:hAnsi="標楷體"/>
        </w:rPr>
        <w:t>一</w:t>
      </w:r>
      <w:proofErr w:type="gramEnd"/>
      <w:r>
        <w:rPr>
          <w:rFonts w:ascii="標楷體" w:eastAsia="標楷體" w:hAnsi="標楷體"/>
        </w:rPr>
        <w:t>使用，</w:t>
      </w:r>
      <w:proofErr w:type="gramStart"/>
      <w:r>
        <w:rPr>
          <w:rFonts w:ascii="標楷體" w:eastAsia="標楷體" w:hAnsi="標楷體"/>
        </w:rPr>
        <w:t>除因耐</w:t>
      </w:r>
      <w:proofErr w:type="gramEnd"/>
      <w:r>
        <w:rPr>
          <w:rFonts w:ascii="標楷體" w:eastAsia="標楷體" w:hAnsi="標楷體"/>
        </w:rPr>
        <w:t>受性不良，不得互換。</w:t>
      </w:r>
    </w:p>
    <w:sectPr w:rsidR="00203445">
      <w:footerReference w:type="default" r:id="rId7"/>
      <w:pgSz w:w="11906" w:h="16838"/>
      <w:pgMar w:top="1440" w:right="1800" w:bottom="1440" w:left="1800" w:header="851" w:footer="992" w:gutter="0"/>
      <w:pgNumType w:start="1"/>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100F1">
      <w:r>
        <w:separator/>
      </w:r>
    </w:p>
  </w:endnote>
  <w:endnote w:type="continuationSeparator" w:id="0">
    <w:p w:rsidR="00000000" w:rsidRDefault="0031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820" w:rsidRDefault="003100F1">
    <w:pPr>
      <w:pStyle w:val="a6"/>
      <w:jc w:val="center"/>
    </w:pPr>
    <w:r>
      <w:rPr>
        <w:rFonts w:ascii="Times New Roman" w:eastAsia="標楷體" w:hAnsi="Times New Roman"/>
      </w:rPr>
      <w:t>第</w:t>
    </w:r>
    <w:r>
      <w:rPr>
        <w:rFonts w:ascii="Times New Roman" w:eastAsia="標楷體" w:hAnsi="Times New Roman"/>
      </w:rPr>
      <w:t>5</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2</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100F1">
      <w:r>
        <w:rPr>
          <w:color w:val="000000"/>
        </w:rPr>
        <w:separator/>
      </w:r>
    </w:p>
  </w:footnote>
  <w:footnote w:type="continuationSeparator" w:id="0">
    <w:p w:rsidR="00000000" w:rsidRDefault="00310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71EE1"/>
    <w:multiLevelType w:val="multilevel"/>
    <w:tmpl w:val="A0987876"/>
    <w:lvl w:ilvl="0">
      <w:start w:val="1"/>
      <w:numFmt w:val="decimal"/>
      <w:lvlText w:val="(%1)"/>
      <w:lvlJc w:val="left"/>
      <w:pPr>
        <w:ind w:left="1514" w:hanging="720"/>
      </w:pPr>
    </w:lvl>
    <w:lvl w:ilvl="1">
      <w:start w:val="1"/>
      <w:numFmt w:val="ideographTraditional"/>
      <w:lvlText w:val="%2、"/>
      <w:lvlJc w:val="left"/>
      <w:pPr>
        <w:ind w:left="1754" w:hanging="480"/>
      </w:pPr>
    </w:lvl>
    <w:lvl w:ilvl="2">
      <w:start w:val="1"/>
      <w:numFmt w:val="lowerRoman"/>
      <w:lvlText w:val="%3."/>
      <w:lvlJc w:val="right"/>
      <w:pPr>
        <w:ind w:left="2234" w:hanging="480"/>
      </w:pPr>
    </w:lvl>
    <w:lvl w:ilvl="3">
      <w:start w:val="1"/>
      <w:numFmt w:val="decimal"/>
      <w:lvlText w:val="%4."/>
      <w:lvlJc w:val="left"/>
      <w:pPr>
        <w:ind w:left="2714" w:hanging="480"/>
      </w:pPr>
    </w:lvl>
    <w:lvl w:ilvl="4">
      <w:start w:val="1"/>
      <w:numFmt w:val="ideographTraditional"/>
      <w:lvlText w:val="%5、"/>
      <w:lvlJc w:val="left"/>
      <w:pPr>
        <w:ind w:left="3194" w:hanging="480"/>
      </w:pPr>
    </w:lvl>
    <w:lvl w:ilvl="5">
      <w:start w:val="1"/>
      <w:numFmt w:val="lowerRoman"/>
      <w:lvlText w:val="%6."/>
      <w:lvlJc w:val="right"/>
      <w:pPr>
        <w:ind w:left="3674" w:hanging="480"/>
      </w:pPr>
    </w:lvl>
    <w:lvl w:ilvl="6">
      <w:start w:val="1"/>
      <w:numFmt w:val="decimal"/>
      <w:lvlText w:val="%7."/>
      <w:lvlJc w:val="left"/>
      <w:pPr>
        <w:ind w:left="4154" w:hanging="480"/>
      </w:pPr>
    </w:lvl>
    <w:lvl w:ilvl="7">
      <w:start w:val="1"/>
      <w:numFmt w:val="ideographTraditional"/>
      <w:lvlText w:val="%8、"/>
      <w:lvlJc w:val="left"/>
      <w:pPr>
        <w:ind w:left="4634" w:hanging="480"/>
      </w:pPr>
    </w:lvl>
    <w:lvl w:ilvl="8">
      <w:start w:val="1"/>
      <w:numFmt w:val="lowerRoman"/>
      <w:lvlText w:val="%9."/>
      <w:lvlJc w:val="right"/>
      <w:pPr>
        <w:ind w:left="5114" w:hanging="480"/>
      </w:pPr>
    </w:lvl>
  </w:abstractNum>
  <w:abstractNum w:abstractNumId="1" w15:restartNumberingAfterBreak="0">
    <w:nsid w:val="28004B92"/>
    <w:multiLevelType w:val="hybridMultilevel"/>
    <w:tmpl w:val="33DCC792"/>
    <w:lvl w:ilvl="0" w:tplc="B95202A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5D2A55"/>
    <w:multiLevelType w:val="hybridMultilevel"/>
    <w:tmpl w:val="5CE6577A"/>
    <w:lvl w:ilvl="0" w:tplc="42DA1536">
      <w:start w:val="1"/>
      <w:numFmt w:val="upperRoman"/>
      <w:lvlText w:val="%1."/>
      <w:lvlJc w:val="left"/>
      <w:pPr>
        <w:ind w:left="1526" w:hanging="480"/>
      </w:pPr>
      <w:rPr>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289E64DF"/>
    <w:multiLevelType w:val="hybridMultilevel"/>
    <w:tmpl w:val="0A18AFA0"/>
    <w:lvl w:ilvl="0" w:tplc="14BA9D08">
      <w:start w:val="1"/>
      <w:numFmt w:val="decimal"/>
      <w:lvlText w:val="%1."/>
      <w:lvlJc w:val="left"/>
      <w:pPr>
        <w:ind w:left="480" w:hanging="480"/>
      </w:pPr>
      <w:rPr>
        <w:rFonts w:ascii="標楷體" w:eastAsia="標楷體" w:hAnsi="標楷體"/>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F8204E"/>
    <w:multiLevelType w:val="hybridMultilevel"/>
    <w:tmpl w:val="C234C6FE"/>
    <w:lvl w:ilvl="0" w:tplc="567AE67C">
      <w:start w:val="7"/>
      <w:numFmt w:val="decimal"/>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420629D2"/>
    <w:multiLevelType w:val="multilevel"/>
    <w:tmpl w:val="2758B296"/>
    <w:styleLink w:val="LFO1"/>
    <w:lvl w:ilvl="0">
      <w:start w:val="1"/>
      <w:numFmt w:val="decimal"/>
      <w:pStyle w:val="a"/>
      <w:lvlText w:val="%1."/>
      <w:lvlJc w:val="left"/>
      <w:pPr>
        <w:ind w:left="780" w:hanging="30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rPr>
        <w:rFonts w:ascii="標楷體" w:eastAsia="標楷體" w:hAnsi="標楷體"/>
        <w:sz w:val="28"/>
        <w:szCs w:val="28"/>
      </w:r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A5201BF"/>
    <w:multiLevelType w:val="hybridMultilevel"/>
    <w:tmpl w:val="33DCC792"/>
    <w:lvl w:ilvl="0" w:tplc="B95202A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B6E0FC8"/>
    <w:multiLevelType w:val="hybridMultilevel"/>
    <w:tmpl w:val="33DCC792"/>
    <w:lvl w:ilvl="0" w:tplc="B95202AA">
      <w:start w:val="1"/>
      <w:numFmt w:val="decimal"/>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7"/>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03445"/>
    <w:rsid w:val="00203445"/>
    <w:rsid w:val="003100F1"/>
    <w:rsid w:val="00DD5A0C"/>
    <w:rsid w:val="00F33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1DB0"/>
  <w15:docId w15:val="{515DC623-D1A9-4B2C-95E7-E7FE68E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kern w:val="3"/>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List Paragraph"/>
    <w:aliases w:val="Bullet1,Bullet 1,Bullet List,清單段落1,Table bullet,樣式 清單段落+標題2,Numbered para,BulletPoints,List Paragraph1,Bullets Points,Styl moj,Akapit z listą1,Akapit z listą11,Footnote,Bullet point,List Paragraph11,Recommendation,ES Paragraph,PBAC ES Paragraph"/>
    <w:basedOn w:val="a0"/>
    <w:link w:val="a9"/>
    <w:uiPriority w:val="34"/>
    <w:qFormat/>
    <w:pPr>
      <w:ind w:left="480"/>
    </w:pPr>
  </w:style>
  <w:style w:type="paragraph" w:customStyle="1" w:styleId="a">
    <w:name w:val="a."/>
    <w:basedOn w:val="a0"/>
    <w:pPr>
      <w:numPr>
        <w:numId w:val="1"/>
      </w:numPr>
      <w:spacing w:line="520" w:lineRule="exact"/>
      <w:jc w:val="both"/>
    </w:pPr>
    <w:rPr>
      <w:rFonts w:ascii="標楷體" w:eastAsia="標楷體" w:hAnsi="標楷體" w:cs="標楷體"/>
      <w:sz w:val="28"/>
      <w:szCs w:val="28"/>
    </w:rPr>
  </w:style>
  <w:style w:type="character" w:customStyle="1" w:styleId="a9">
    <w:name w:val="清單段落 字元"/>
    <w:aliases w:val="Bullet1 字元,Bullet 1 字元,Bullet List 字元,清單段落1 字元,Table bullet 字元,樣式 清單段落+標題2 字元,Numbered para 字元,BulletPoints 字元,List Paragraph1 字元,Bullets Points 字元,Styl moj 字元,Akapit z listą1 字元,Akapit z listą11 字元,Footnote 字元,Bullet point 字元,Recommendation 字元"/>
    <w:link w:val="a8"/>
    <w:uiPriority w:val="34"/>
    <w:rsid w:val="00F33A3C"/>
    <w:rPr>
      <w:kern w:val="3"/>
      <w:sz w:val="24"/>
      <w:szCs w:val="22"/>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2374</Words>
  <Characters>13537</Characters>
  <Application>Microsoft Office Word</Application>
  <DocSecurity>0</DocSecurity>
  <Lines>112</Lines>
  <Paragraphs>31</Paragraphs>
  <ScaleCrop>false</ScaleCrop>
  <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陳美娟(署本部)</dc:creator>
  <cp:lastModifiedBy>李欣蓉</cp:lastModifiedBy>
  <cp:revision>4</cp:revision>
  <cp:lastPrinted>2025-02-24T03:37:00Z</cp:lastPrinted>
  <dcterms:created xsi:type="dcterms:W3CDTF">2025-04-23T06:53:00Z</dcterms:created>
  <dcterms:modified xsi:type="dcterms:W3CDTF">2025-04-23T06:57:00Z</dcterms:modified>
</cp:coreProperties>
</file>