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590" w:rsidRDefault="00DF7A0F">
      <w:pPr>
        <w:spacing w:line="400" w:lineRule="exact"/>
        <w:jc w:val="center"/>
        <w:rPr>
          <w:rFonts w:ascii="標楷體" w:eastAsia="標楷體" w:hAnsi="標楷體"/>
          <w:b/>
          <w:color w:val="000000"/>
          <w:sz w:val="32"/>
          <w:szCs w:val="32"/>
        </w:rPr>
      </w:pPr>
      <w:r>
        <w:rPr>
          <w:rFonts w:ascii="標楷體" w:eastAsia="標楷體" w:hAnsi="標楷體"/>
          <w:b/>
          <w:color w:val="000000"/>
          <w:sz w:val="32"/>
          <w:szCs w:val="32"/>
        </w:rPr>
        <w:t>第7節 腸胃藥物 Gastrointestinal drugs</w:t>
      </w:r>
    </w:p>
    <w:p w:rsidR="007F2590" w:rsidRDefault="007F2590">
      <w:pPr>
        <w:spacing w:line="400" w:lineRule="exact"/>
        <w:jc w:val="center"/>
        <w:rPr>
          <w:rFonts w:ascii="標楷體" w:eastAsia="標楷體" w:hAnsi="標楷體"/>
          <w:b/>
          <w:color w:val="000000"/>
          <w:sz w:val="32"/>
          <w:szCs w:val="32"/>
        </w:rPr>
      </w:pPr>
    </w:p>
    <w:p w:rsidR="007F2590" w:rsidRDefault="00DF7A0F">
      <w:pPr>
        <w:snapToGrid w:val="0"/>
        <w:ind w:left="672" w:hanging="386"/>
        <w:rPr>
          <w:rFonts w:ascii="標楷體" w:eastAsia="標楷體" w:hAnsi="標楷體"/>
          <w:color w:val="000000"/>
        </w:rPr>
      </w:pPr>
      <w:r>
        <w:rPr>
          <w:rFonts w:ascii="標楷體" w:eastAsia="標楷體" w:hAnsi="標楷體"/>
          <w:color w:val="000000"/>
        </w:rPr>
        <w:t>7.1</w:t>
      </w:r>
      <w:r>
        <w:rPr>
          <w:rFonts w:ascii="標楷體" w:eastAsia="標楷體" w:hAnsi="標楷體"/>
          <w:color w:val="000000"/>
        </w:rPr>
        <w:tab/>
        <w:t>.消化性潰瘍用藥：</w:t>
      </w:r>
    </w:p>
    <w:p w:rsidR="007F2590" w:rsidRDefault="00DF7A0F">
      <w:pPr>
        <w:snapToGrid w:val="0"/>
        <w:ind w:left="811" w:hanging="245"/>
        <w:rPr>
          <w:rFonts w:ascii="標楷體" w:eastAsia="標楷體" w:hAnsi="標楷體"/>
          <w:color w:val="000000"/>
        </w:rPr>
      </w:pPr>
      <w:r>
        <w:rPr>
          <w:rFonts w:ascii="標楷體" w:eastAsia="標楷體" w:hAnsi="標楷體"/>
          <w:color w:val="000000"/>
        </w:rPr>
        <w:t>1.藥品種類：</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(1)制酸懸浮劑：</w:t>
      </w:r>
    </w:p>
    <w:p w:rsidR="007F2590" w:rsidRDefault="00DF7A0F">
      <w:pPr>
        <w:snapToGrid w:val="0"/>
        <w:ind w:left="1049"/>
        <w:rPr>
          <w:rFonts w:ascii="標楷體" w:eastAsia="標楷體" w:hAnsi="標楷體"/>
          <w:color w:val="000000"/>
        </w:rPr>
      </w:pPr>
      <w:r>
        <w:rPr>
          <w:rFonts w:ascii="標楷體" w:eastAsia="標楷體" w:hAnsi="標楷體"/>
          <w:color w:val="000000"/>
        </w:rPr>
        <w:t>各廠牌瓶裝、袋裝制酸懸浮劑及袋裝顆粒制酸劑。</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(2)乙型組織胺受體阻斷劑：</w:t>
      </w:r>
    </w:p>
    <w:p w:rsidR="007F2590" w:rsidRDefault="00DF7A0F">
      <w:pPr>
        <w:snapToGrid w:val="0"/>
        <w:ind w:left="1049"/>
        <w:rPr>
          <w:rFonts w:ascii="標楷體" w:eastAsia="標楷體" w:hAnsi="標楷體"/>
          <w:color w:val="000000"/>
        </w:rPr>
      </w:pPr>
      <w:r>
        <w:rPr>
          <w:rFonts w:ascii="標楷體" w:eastAsia="標楷體" w:hAnsi="標楷體"/>
          <w:color w:val="000000"/>
        </w:rPr>
        <w:t>各廠牌乙型組織胺受體阻斷劑之口服製劑與針劑。</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(3)氫離子幫浦阻斷劑：</w:t>
      </w:r>
    </w:p>
    <w:p w:rsidR="007F2590" w:rsidRDefault="00DF7A0F">
      <w:pPr>
        <w:snapToGrid w:val="0"/>
        <w:ind w:left="1049"/>
        <w:rPr>
          <w:rFonts w:ascii="標楷體" w:eastAsia="標楷體" w:hAnsi="標楷體"/>
          <w:color w:val="000000"/>
        </w:rPr>
      </w:pPr>
      <w:r>
        <w:rPr>
          <w:rFonts w:ascii="標楷體" w:eastAsia="標楷體" w:hAnsi="標楷體"/>
          <w:color w:val="000000"/>
        </w:rPr>
        <w:t>各廠牌氫離子幫浦阻斷劑。</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(4)細胞保護劑：如gefarnate、</w:t>
      </w:r>
      <w:proofErr w:type="spellStart"/>
      <w:r>
        <w:rPr>
          <w:rFonts w:ascii="標楷體" w:eastAsia="標楷體" w:hAnsi="標楷體"/>
          <w:color w:val="000000"/>
        </w:rPr>
        <w:t>cetraxate</w:t>
      </w:r>
      <w:proofErr w:type="spellEnd"/>
      <w:r>
        <w:rPr>
          <w:rFonts w:ascii="標楷體" w:eastAsia="標楷體" w:hAnsi="標楷體"/>
          <w:color w:val="000000"/>
        </w:rPr>
        <w:t>、carbenoxolone等。</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(5)其他消化性潰瘍用藥：</w:t>
      </w:r>
    </w:p>
    <w:p w:rsidR="007F2590" w:rsidRDefault="00DF7A0F">
      <w:pPr>
        <w:snapToGrid w:val="0"/>
        <w:ind w:left="1049"/>
        <w:rPr>
          <w:rFonts w:ascii="標楷體" w:eastAsia="標楷體" w:hAnsi="標楷體"/>
          <w:color w:val="000000"/>
        </w:rPr>
      </w:pPr>
      <w:proofErr w:type="spellStart"/>
      <w:r>
        <w:rPr>
          <w:rFonts w:ascii="標楷體" w:eastAsia="標楷體" w:hAnsi="標楷體"/>
          <w:color w:val="000000"/>
        </w:rPr>
        <w:t>dibismuth</w:t>
      </w:r>
      <w:proofErr w:type="spellEnd"/>
      <w:r>
        <w:rPr>
          <w:rFonts w:ascii="標楷體" w:eastAsia="標楷體" w:hAnsi="標楷體"/>
          <w:color w:val="000000"/>
        </w:rPr>
        <w:t xml:space="preserve"> trioxide, sucralfate, pirenzepine HCl, </w:t>
      </w:r>
      <w:proofErr w:type="spellStart"/>
      <w:r>
        <w:rPr>
          <w:rFonts w:ascii="標楷體" w:eastAsia="標楷體" w:hAnsi="標楷體"/>
          <w:color w:val="000000"/>
        </w:rPr>
        <w:t>Gaspin</w:t>
      </w:r>
      <w:proofErr w:type="spellEnd"/>
      <w:r>
        <w:rPr>
          <w:rFonts w:ascii="標楷體" w:eastAsia="標楷體" w:hAnsi="標楷體"/>
          <w:color w:val="000000"/>
        </w:rPr>
        <w:t>, Caved-S, misoprostol, proglumide及其他未列入之同類藥品，價格與其相當者比照辦理。</w:t>
      </w:r>
    </w:p>
    <w:p w:rsidR="007F2590" w:rsidRDefault="00DF7A0F">
      <w:pPr>
        <w:snapToGrid w:val="0"/>
        <w:ind w:left="811" w:hanging="245"/>
        <w:rPr>
          <w:rFonts w:ascii="標楷體" w:eastAsia="標楷體" w:hAnsi="標楷體"/>
          <w:color w:val="000000"/>
        </w:rPr>
      </w:pPr>
      <w:r>
        <w:rPr>
          <w:rFonts w:ascii="標楷體" w:eastAsia="標楷體" w:hAnsi="標楷體"/>
          <w:color w:val="000000"/>
        </w:rPr>
        <w:t>2.使用規定：(106/12/1、110/12/1、113/8/1)</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(1)使用於治療活動性（active）或癒合中（healing）之消化性潰瘍及逆流性食道炎。(92/10/1)</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(2)瘢痕期（scar stage）之消化性潰瘍復發預防，其劑量依照醫理減量使用。</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(3)消化性潰瘍及逆流性食道炎符合洛杉磯食道炎分級表（The Los Angeles Classification of Esophagitis※備註）Grade A或Grade B者，欲使用消化性潰瘍用藥，其使用期間以四個月為限，申報費用時需檢附四個月內有效之上消化道內視鏡檢查或上消化道</w:t>
      </w:r>
      <w:proofErr w:type="gramStart"/>
      <w:r>
        <w:rPr>
          <w:rFonts w:ascii="標楷體" w:eastAsia="標楷體" w:hAnsi="標楷體"/>
          <w:color w:val="000000"/>
        </w:rPr>
        <w:t>Ｘ</w:t>
      </w:r>
      <w:proofErr w:type="gramEnd"/>
      <w:r>
        <w:rPr>
          <w:rFonts w:ascii="標楷體" w:eastAsia="標楷體" w:hAnsi="標楷體"/>
          <w:color w:val="000000"/>
        </w:rPr>
        <w:t>光攝影報告，其針劑限使用於消化道出血不能口服之病人急性期替代療法。(92/10/1)</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(4)經上消化道內視鏡檢查，診斷為重度逆流性食道炎，且符合洛杉磯食道炎分級表（The Los Angeles Classification of Esophagitis※備註）Grade C或Grade D者，得經消化系專科醫師之確認後可長期使用消化性潰瘍用藥一年。另外，下列病患得比照辦理：(92/10/1)</w:t>
      </w:r>
    </w:p>
    <w:p w:rsidR="007F2590" w:rsidRDefault="00DF7A0F">
      <w:pPr>
        <w:snapToGrid w:val="0"/>
        <w:ind w:left="1231" w:hanging="379"/>
        <w:rPr>
          <w:rFonts w:ascii="標楷體" w:eastAsia="標楷體" w:hAnsi="標楷體"/>
          <w:color w:val="000000"/>
        </w:rPr>
      </w:pPr>
      <w:r>
        <w:rPr>
          <w:rFonts w:ascii="標楷體" w:eastAsia="標楷體" w:hAnsi="標楷體"/>
          <w:color w:val="000000"/>
        </w:rPr>
        <w:t>Ⅰ.胃切除</w:t>
      </w:r>
      <w:proofErr w:type="gramStart"/>
      <w:r>
        <w:rPr>
          <w:rFonts w:ascii="標楷體" w:eastAsia="標楷體" w:hAnsi="標楷體"/>
          <w:color w:val="000000"/>
        </w:rPr>
        <w:t>手術縫接</w:t>
      </w:r>
      <w:proofErr w:type="gramEnd"/>
      <w:r>
        <w:rPr>
          <w:rFonts w:ascii="標楷體" w:eastAsia="標楷體" w:hAnsi="標楷體"/>
          <w:color w:val="000000"/>
        </w:rPr>
        <w:t>處產生之潰瘍。</w:t>
      </w:r>
    </w:p>
    <w:p w:rsidR="007F2590" w:rsidRDefault="00DF7A0F">
      <w:pPr>
        <w:snapToGrid w:val="0"/>
        <w:ind w:left="1231" w:hanging="379"/>
        <w:rPr>
          <w:rFonts w:ascii="標楷體" w:eastAsia="標楷體" w:hAnsi="標楷體"/>
          <w:color w:val="000000"/>
        </w:rPr>
      </w:pPr>
      <w:r>
        <w:rPr>
          <w:rFonts w:ascii="標楷體" w:eastAsia="標楷體" w:hAnsi="標楷體"/>
          <w:color w:val="000000"/>
        </w:rPr>
        <w:t>Ⅱ.經消化系專科醫師重覆多次（三次以上）上消化道內視鏡檢查確認屬難治癒性之潰瘍。經診斷確定為Zollinger-</w:t>
      </w:r>
      <w:proofErr w:type="spellStart"/>
      <w:r>
        <w:rPr>
          <w:rFonts w:ascii="標楷體" w:eastAsia="標楷體" w:hAnsi="標楷體"/>
          <w:color w:val="000000"/>
        </w:rPr>
        <w:t>Ellision</w:t>
      </w:r>
      <w:proofErr w:type="spellEnd"/>
      <w:r>
        <w:rPr>
          <w:rFonts w:ascii="標楷體" w:eastAsia="標楷體" w:hAnsi="標楷體"/>
          <w:color w:val="000000"/>
        </w:rPr>
        <w:t>症候群之病患，得長期使用氫離子幫浦阻斷劑而不受一年之限制。</w:t>
      </w:r>
    </w:p>
    <w:p w:rsidR="007F2590" w:rsidRDefault="00DF7A0F">
      <w:pPr>
        <w:snapToGrid w:val="0"/>
        <w:ind w:left="1231" w:hanging="379"/>
        <w:rPr>
          <w:rFonts w:ascii="標楷體" w:eastAsia="標楷體" w:hAnsi="標楷體"/>
          <w:color w:val="000000"/>
        </w:rPr>
      </w:pPr>
      <w:r>
        <w:rPr>
          <w:rFonts w:ascii="標楷體" w:eastAsia="標楷體" w:hAnsi="標楷體"/>
          <w:color w:val="000000"/>
        </w:rPr>
        <w:t>(5)因腦中風，冠狀動脈疾病或周邊血管疾病，或易出血體質(備註)而需使用雙重抗血小板藥物及抗凝血藥物，如aspirin、warfarin、tirofiban、cilostazol、 P2Y12 inhibitor（如clopidogrel、ticagrelor、ticlopidine、prasugrel）或新一代口服抗凝血藥物（如rivaroxaban、apixaban、</w:t>
      </w:r>
      <w:proofErr w:type="spellStart"/>
      <w:r>
        <w:rPr>
          <w:rFonts w:ascii="標楷體" w:eastAsia="標楷體" w:hAnsi="標楷體"/>
          <w:color w:val="000000"/>
        </w:rPr>
        <w:t>edoxaban</w:t>
      </w:r>
      <w:proofErr w:type="spellEnd"/>
      <w:r>
        <w:rPr>
          <w:rFonts w:ascii="標楷體" w:eastAsia="標楷體" w:hAnsi="標楷體"/>
          <w:color w:val="000000"/>
        </w:rPr>
        <w:t>、dabigatran）病人得以使用每日藥費6.5元</w:t>
      </w:r>
      <w:proofErr w:type="gramStart"/>
      <w:r>
        <w:rPr>
          <w:rFonts w:ascii="標楷體" w:eastAsia="標楷體" w:hAnsi="標楷體"/>
          <w:color w:val="000000"/>
        </w:rPr>
        <w:t>以下之氫離子</w:t>
      </w:r>
      <w:proofErr w:type="gramEnd"/>
      <w:r>
        <w:rPr>
          <w:rFonts w:ascii="標楷體" w:eastAsia="標楷體" w:hAnsi="標楷體"/>
          <w:color w:val="000000"/>
        </w:rPr>
        <w:t>幫浦阻斷劑(PPI)，最長以16週為限；若為曾接受過內視鏡檢查，經彩色內視鏡圖譜證實有活動性消化性潰瘍或上消化道出血，最長以一年為限，如使用期間或停藥後，活動性消化性潰瘍再發或上消化道出血，得再治療一年。(110/12/1)</w:t>
      </w:r>
    </w:p>
    <w:p w:rsidR="007F2590" w:rsidRDefault="00DF7A0F">
      <w:pPr>
        <w:snapToGrid w:val="0"/>
        <w:ind w:left="1231" w:hanging="379"/>
        <w:rPr>
          <w:rFonts w:ascii="標楷體" w:eastAsia="標楷體" w:hAnsi="標楷體"/>
          <w:color w:val="000000"/>
        </w:rPr>
      </w:pPr>
      <w:r>
        <w:rPr>
          <w:rFonts w:ascii="標楷體" w:eastAsia="標楷體" w:hAnsi="標楷體"/>
          <w:color w:val="000000"/>
        </w:rPr>
        <w:t>備註：易出血性體質建議如下(110/12/1)：</w:t>
      </w:r>
    </w:p>
    <w:p w:rsidR="007F2590" w:rsidRDefault="00DF7A0F">
      <w:pPr>
        <w:snapToGrid w:val="0"/>
        <w:ind w:left="1231" w:hanging="379"/>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t>第五期慢性腎臟病(eGFR&lt;15mL/min/1.73M</w:t>
      </w:r>
      <w:proofErr w:type="gramStart"/>
      <w:r>
        <w:rPr>
          <w:rFonts w:ascii="標楷體" w:eastAsia="標楷體" w:hAnsi="標楷體"/>
          <w:color w:val="000000"/>
        </w:rPr>
        <w:t>2)或透析治治療中</w:t>
      </w:r>
      <w:proofErr w:type="gramEnd"/>
    </w:p>
    <w:p w:rsidR="007F2590" w:rsidRDefault="00DF7A0F">
      <w:pPr>
        <w:snapToGrid w:val="0"/>
        <w:ind w:left="1231" w:hanging="379"/>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t>血小板＜80,000 /mm3。</w:t>
      </w:r>
    </w:p>
    <w:p w:rsidR="007F2590" w:rsidRDefault="00DF7A0F">
      <w:pPr>
        <w:snapToGrid w:val="0"/>
        <w:ind w:left="1231" w:hanging="379"/>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ab/>
        <w:t>肝臟疾病且INR&gt;1.7。</w:t>
      </w:r>
    </w:p>
    <w:p w:rsidR="007F2590" w:rsidRDefault="00DF7A0F">
      <w:pPr>
        <w:snapToGrid w:val="0"/>
        <w:ind w:left="1231" w:hanging="379"/>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ab/>
        <w:t>其他凝血功能不全疾病。</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lastRenderedPageBreak/>
        <w:t>(6)需使用NSAIDs而曾經上消化道內視鏡或</w:t>
      </w:r>
      <w:proofErr w:type="gramStart"/>
      <w:r>
        <w:rPr>
          <w:rFonts w:ascii="標楷體" w:eastAsia="標楷體" w:hAnsi="標楷體"/>
          <w:color w:val="000000"/>
        </w:rPr>
        <w:t>Ｘ</w:t>
      </w:r>
      <w:proofErr w:type="gramEnd"/>
      <w:r>
        <w:rPr>
          <w:rFonts w:ascii="標楷體" w:eastAsia="標楷體" w:hAnsi="標楷體"/>
          <w:color w:val="000000"/>
        </w:rPr>
        <w:t>光攝影證實有過潰瘍，得於使用NSAIDs期間內，使用消化性潰瘍用藥。(92/10/1、110/12/1)</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(7)對於症狀擬似逆流性食道炎之患者，但其上消化道內視鏡檢查無異常，若欲使用消化性潰瘍用藥，則需檢附其他相關檢查（如24小時pH監測）的結果。(92/10/1)</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(8)消化性潰瘍穿孔病人經手術證實者，且所施手術僅為單純縫合，未作胃酸抑制相關手術者，可檢附手術記錄或病理檢驗報告，申請使用消化性潰瘍用藥，但以四個月內為限，如需繼續使用，仍請檢附胃鏡檢查或上腸胃道</w:t>
      </w:r>
      <w:proofErr w:type="gramStart"/>
      <w:r>
        <w:rPr>
          <w:rFonts w:ascii="標楷體" w:eastAsia="標楷體" w:hAnsi="標楷體"/>
          <w:color w:val="000000"/>
        </w:rPr>
        <w:t>Ｘ</w:t>
      </w:r>
      <w:proofErr w:type="gramEnd"/>
      <w:r>
        <w:rPr>
          <w:rFonts w:ascii="標楷體" w:eastAsia="標楷體" w:hAnsi="標楷體"/>
          <w:color w:val="000000"/>
        </w:rPr>
        <w:t>光檢查四個月內有效報告影本。(92/10/1)</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(9)嚴重外傷、大手術、腦手術、嚴重燙傷、休克、嚴重胰臟炎及急性腦中風者為預防壓力性潰瘍，得使用消化性潰瘍藥品。此類藥物之針劑限使用於不能口服之前述病患短期替代療法。</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(10)經由碳13尿素呼氣檢查、或幽門螺旋桿菌糞便抗原檢查、或上消化道內視鏡切片檢查，確診為幽門螺旋桿菌感染之病人，得進行初次幽門螺旋桿菌消除治療，使用時需檢附檢測報告並註明初次治療。(92/10/1、113/8/1)</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(11)幽門螺旋桿菌之消除治療療程以二</w:t>
      </w:r>
      <w:proofErr w:type="gramStart"/>
      <w:r>
        <w:rPr>
          <w:rFonts w:ascii="標楷體" w:eastAsia="標楷體" w:hAnsi="標楷體"/>
          <w:color w:val="000000"/>
        </w:rPr>
        <w:t>週</w:t>
      </w:r>
      <w:proofErr w:type="gramEnd"/>
      <w:r>
        <w:rPr>
          <w:rFonts w:ascii="標楷體" w:eastAsia="標楷體" w:hAnsi="標楷體"/>
          <w:color w:val="000000"/>
        </w:rPr>
        <w:t>為原則，特殊病例需延長治療或再次治療，需檢附相關檢驗報告說明理由。</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(12)下列病患若因長期服用NSAIDs而需使用</w:t>
      </w:r>
      <w:proofErr w:type="gramStart"/>
      <w:r>
        <w:rPr>
          <w:rFonts w:ascii="標楷體" w:eastAsia="標楷體" w:hAnsi="標楷體"/>
          <w:color w:val="000000"/>
        </w:rPr>
        <w:t>前列腺素劑</w:t>
      </w:r>
      <w:proofErr w:type="gramEnd"/>
      <w:r>
        <w:rPr>
          <w:rFonts w:ascii="標楷體" w:eastAsia="標楷體" w:hAnsi="標楷體"/>
          <w:color w:val="000000"/>
        </w:rPr>
        <w:t>(如misoprostol)，得免附胃鏡報告：(99/7/1)</w:t>
      </w:r>
    </w:p>
    <w:p w:rsidR="007F2590" w:rsidRDefault="00DF7A0F">
      <w:pPr>
        <w:snapToGrid w:val="0"/>
        <w:ind w:left="1231" w:hanging="379"/>
        <w:rPr>
          <w:rFonts w:ascii="標楷體" w:eastAsia="標楷體" w:hAnsi="標楷體"/>
          <w:color w:val="000000"/>
        </w:rPr>
      </w:pPr>
      <w:r>
        <w:rPr>
          <w:rFonts w:ascii="標楷體" w:eastAsia="標楷體" w:hAnsi="標楷體"/>
          <w:color w:val="000000"/>
        </w:rPr>
        <w:t>Ⅰ紅斑性狼瘡。</w:t>
      </w:r>
    </w:p>
    <w:p w:rsidR="007F2590" w:rsidRDefault="00DF7A0F">
      <w:pPr>
        <w:snapToGrid w:val="0"/>
        <w:ind w:left="1231" w:hanging="379"/>
        <w:rPr>
          <w:rFonts w:ascii="標楷體" w:eastAsia="標楷體" w:hAnsi="標楷體"/>
          <w:color w:val="000000"/>
        </w:rPr>
      </w:pPr>
      <w:r>
        <w:rPr>
          <w:rFonts w:ascii="標楷體" w:eastAsia="標楷體" w:hAnsi="標楷體"/>
          <w:color w:val="000000"/>
        </w:rPr>
        <w:t>Ⅱ五十歲以上</w:t>
      </w:r>
      <w:proofErr w:type="gramStart"/>
      <w:r>
        <w:rPr>
          <w:rFonts w:ascii="標楷體" w:eastAsia="標楷體" w:hAnsi="標楷體"/>
          <w:color w:val="000000"/>
        </w:rPr>
        <w:t>罹患類</w:t>
      </w:r>
      <w:proofErr w:type="gramEnd"/>
      <w:r>
        <w:rPr>
          <w:rFonts w:ascii="標楷體" w:eastAsia="標楷體" w:hAnsi="標楷體"/>
          <w:color w:val="000000"/>
        </w:rPr>
        <w:t>風濕性關節炎或僵直性脊椎炎之病患。</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(13)經消化系專科醫師上消化道內視鏡檢查，並經病理切片確診為Barrett</w:t>
      </w:r>
      <w:proofErr w:type="gramStart"/>
      <w:r>
        <w:rPr>
          <w:rFonts w:ascii="標楷體" w:eastAsia="標楷體" w:hAnsi="標楷體"/>
          <w:color w:val="000000"/>
        </w:rPr>
        <w:t>’</w:t>
      </w:r>
      <w:proofErr w:type="gramEnd"/>
      <w:r>
        <w:rPr>
          <w:rFonts w:ascii="標楷體" w:eastAsia="標楷體" w:hAnsi="標楷體"/>
          <w:color w:val="000000"/>
        </w:rPr>
        <w:t>s esophagus之病患，可使用消化性潰瘍用藥一年，一年內至少須經上消化道內視鏡檢查追蹤一次。(101/1/1)</w:t>
      </w:r>
    </w:p>
    <w:p w:rsidR="007F2590" w:rsidRDefault="00DF7A0F">
      <w:pPr>
        <w:snapToGrid w:val="0"/>
        <w:ind w:left="1049" w:hanging="341"/>
        <w:rPr>
          <w:rFonts w:ascii="標楷體" w:eastAsia="標楷體" w:hAnsi="標楷體"/>
          <w:color w:val="000000"/>
        </w:rPr>
      </w:pPr>
      <w:r>
        <w:rPr>
          <w:rFonts w:ascii="標楷體" w:eastAsia="標楷體" w:hAnsi="標楷體"/>
          <w:color w:val="000000"/>
        </w:rPr>
        <w:t>(14)腦性麻痺、先天性心臟病、消化道畸形及其他有施行胃鏡檢查困難之兒科病患有消化道出血、消化性潰瘍、逆流性食道炎者，可使用消化性潰瘍用藥六個月。上述病人若經上消化道X光攝影或經食道酸鹼度測定為重度逆流者，得經兒科消化醫學次專科醫師確認後長期使用消化性潰瘍用藥一年。(106/12/1)</w:t>
      </w:r>
    </w:p>
    <w:p w:rsidR="007F2590" w:rsidRDefault="00DF7A0F">
      <w:pPr>
        <w:snapToGrid w:val="0"/>
        <w:ind w:left="1419" w:hanging="850"/>
        <w:rPr>
          <w:rFonts w:ascii="標楷體" w:eastAsia="標楷體" w:hAnsi="標楷體"/>
          <w:color w:val="000000"/>
        </w:rPr>
      </w:pPr>
      <w:r>
        <w:rPr>
          <w:rFonts w:ascii="標楷體" w:eastAsia="標楷體" w:hAnsi="標楷體"/>
          <w:color w:val="000000"/>
        </w:rPr>
        <w:t>備註：</w:t>
      </w:r>
    </w:p>
    <w:p w:rsidR="007F2590" w:rsidRDefault="00DF7A0F">
      <w:pPr>
        <w:snapToGrid w:val="0"/>
        <w:ind w:left="811" w:hanging="245"/>
        <w:rPr>
          <w:rFonts w:ascii="標楷體" w:eastAsia="標楷體" w:hAnsi="標楷體"/>
          <w:color w:val="000000"/>
        </w:rPr>
      </w:pPr>
      <w:r>
        <w:rPr>
          <w:rFonts w:ascii="標楷體" w:eastAsia="標楷體" w:hAnsi="標楷體"/>
          <w:color w:val="000000"/>
        </w:rPr>
        <w:t>1.The Los Angeles Classification of Esophagitis</w:t>
      </w:r>
    </w:p>
    <w:p w:rsidR="007F2590" w:rsidRDefault="00DF7A0F">
      <w:pPr>
        <w:snapToGrid w:val="0"/>
        <w:ind w:left="1889" w:hanging="1063"/>
        <w:rPr>
          <w:rFonts w:ascii="標楷體" w:eastAsia="標楷體" w:hAnsi="標楷體"/>
          <w:color w:val="000000"/>
        </w:rPr>
      </w:pPr>
      <w:r>
        <w:rPr>
          <w:rFonts w:ascii="標楷體" w:eastAsia="標楷體" w:hAnsi="標楷體"/>
          <w:color w:val="000000"/>
        </w:rPr>
        <w:t>Grade A:</w:t>
      </w:r>
      <w:r>
        <w:rPr>
          <w:rFonts w:ascii="標楷體" w:eastAsia="標楷體" w:hAnsi="標楷體"/>
          <w:color w:val="000000"/>
        </w:rPr>
        <w:tab/>
        <w:t xml:space="preserve">One or more mucosal </w:t>
      </w:r>
      <w:proofErr w:type="spellStart"/>
      <w:r>
        <w:rPr>
          <w:rFonts w:ascii="標楷體" w:eastAsia="標楷體" w:hAnsi="標楷體"/>
          <w:color w:val="000000"/>
        </w:rPr>
        <w:t>break,each</w:t>
      </w:r>
      <w:proofErr w:type="spellEnd"/>
      <w:r>
        <w:rPr>
          <w:rFonts w:ascii="標楷體" w:eastAsia="標楷體" w:hAnsi="標楷體"/>
          <w:color w:val="000000"/>
        </w:rPr>
        <w:t xml:space="preserve"> </w:t>
      </w:r>
      <w:proofErr w:type="gramStart"/>
      <w:r>
        <w:rPr>
          <w:rFonts w:ascii="標楷體" w:eastAsia="標楷體" w:hAnsi="標楷體"/>
          <w:color w:val="000000"/>
        </w:rPr>
        <w:t>≦</w:t>
      </w:r>
      <w:proofErr w:type="gramEnd"/>
      <w:r>
        <w:rPr>
          <w:rFonts w:ascii="標楷體" w:eastAsia="標楷體" w:hAnsi="標楷體"/>
          <w:color w:val="000000"/>
        </w:rPr>
        <w:t xml:space="preserve">5mm </w:t>
      </w:r>
      <w:proofErr w:type="spellStart"/>
      <w:r>
        <w:rPr>
          <w:rFonts w:ascii="標楷體" w:eastAsia="標楷體" w:hAnsi="標楷體"/>
          <w:color w:val="000000"/>
        </w:rPr>
        <w:t>long,confined</w:t>
      </w:r>
      <w:proofErr w:type="spellEnd"/>
      <w:r>
        <w:rPr>
          <w:rFonts w:ascii="標楷體" w:eastAsia="標楷體" w:hAnsi="標楷體"/>
          <w:color w:val="000000"/>
        </w:rPr>
        <w:t xml:space="preserve"> to the mucosal folds。</w:t>
      </w:r>
    </w:p>
    <w:p w:rsidR="007F2590" w:rsidRDefault="00DF7A0F">
      <w:pPr>
        <w:snapToGrid w:val="0"/>
        <w:ind w:left="1889" w:hanging="1063"/>
        <w:rPr>
          <w:rFonts w:ascii="標楷體" w:eastAsia="標楷體" w:hAnsi="標楷體"/>
          <w:color w:val="000000"/>
        </w:rPr>
      </w:pPr>
      <w:r>
        <w:rPr>
          <w:rFonts w:ascii="標楷體" w:eastAsia="標楷體" w:hAnsi="標楷體"/>
          <w:color w:val="000000"/>
        </w:rPr>
        <w:t>Grade B:</w:t>
      </w:r>
      <w:r>
        <w:rPr>
          <w:rFonts w:ascii="標楷體" w:eastAsia="標楷體" w:hAnsi="標楷體"/>
          <w:color w:val="000000"/>
        </w:rPr>
        <w:tab/>
        <w:t>One or more mucosal break &gt; 5mm long, confined to the mucosal folds but not continuous between the tops of two mucosal folds。</w:t>
      </w:r>
    </w:p>
    <w:p w:rsidR="007F2590" w:rsidRDefault="00DF7A0F">
      <w:pPr>
        <w:snapToGrid w:val="0"/>
        <w:ind w:left="1889" w:hanging="1063"/>
        <w:rPr>
          <w:rFonts w:ascii="標楷體" w:eastAsia="標楷體" w:hAnsi="標楷體"/>
          <w:color w:val="000000"/>
        </w:rPr>
      </w:pPr>
      <w:r>
        <w:rPr>
          <w:rFonts w:ascii="標楷體" w:eastAsia="標楷體" w:hAnsi="標楷體"/>
          <w:color w:val="000000"/>
        </w:rPr>
        <w:t>Grade C:</w:t>
      </w:r>
      <w:r>
        <w:rPr>
          <w:rFonts w:ascii="標楷體" w:eastAsia="標楷體" w:hAnsi="標楷體"/>
          <w:color w:val="000000"/>
        </w:rPr>
        <w:tab/>
        <w:t>One or more mucosal break continuous between the tops of two or more mucosal folds but which involve less than 75% of the esophageal circumference。</w:t>
      </w:r>
    </w:p>
    <w:p w:rsidR="007F2590" w:rsidRDefault="00DF7A0F">
      <w:pPr>
        <w:snapToGrid w:val="0"/>
        <w:ind w:left="1889" w:hanging="1063"/>
        <w:rPr>
          <w:rFonts w:ascii="標楷體" w:eastAsia="標楷體" w:hAnsi="標楷體"/>
          <w:color w:val="000000"/>
        </w:rPr>
      </w:pPr>
      <w:r>
        <w:rPr>
          <w:rFonts w:ascii="標楷體" w:eastAsia="標楷體" w:hAnsi="標楷體"/>
          <w:color w:val="000000"/>
        </w:rPr>
        <w:t>Grade D:</w:t>
      </w:r>
      <w:r>
        <w:rPr>
          <w:rFonts w:ascii="標楷體" w:eastAsia="標楷體" w:hAnsi="標楷體"/>
          <w:color w:val="000000"/>
        </w:rPr>
        <w:tab/>
        <w:t>Mucosal breaks which involve less than 75% of the esophageal circumference。</w:t>
      </w:r>
    </w:p>
    <w:p w:rsidR="007F2590" w:rsidRDefault="00DF7A0F">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醫療院所使用單價新台幣四元(含)以下之消化性潰瘍用藥時，得由醫師視病情決定是否需要上消化道內視鏡檢查。(92/10/1)</w:t>
      </w:r>
    </w:p>
    <w:p w:rsidR="007F2590" w:rsidRDefault="00DF7A0F">
      <w:pPr>
        <w:ind w:left="672" w:hanging="386"/>
        <w:rPr>
          <w:rFonts w:ascii="標楷體" w:eastAsia="標楷體" w:hAnsi="標楷體"/>
          <w:color w:val="000000"/>
        </w:rPr>
      </w:pPr>
      <w:r>
        <w:rPr>
          <w:rFonts w:ascii="標楷體" w:eastAsia="標楷體" w:hAnsi="標楷體"/>
          <w:color w:val="000000"/>
        </w:rPr>
        <w:t>7.2.</w:t>
      </w:r>
      <w:proofErr w:type="gramStart"/>
      <w:r>
        <w:rPr>
          <w:rFonts w:ascii="標楷體" w:eastAsia="標楷體" w:hAnsi="標楷體"/>
          <w:color w:val="000000"/>
        </w:rPr>
        <w:t>止吐劑</w:t>
      </w:r>
      <w:proofErr w:type="gramEnd"/>
      <w:r>
        <w:rPr>
          <w:rFonts w:ascii="標楷體" w:eastAsia="標楷體" w:hAnsi="標楷體"/>
          <w:color w:val="000000"/>
        </w:rPr>
        <w:t xml:space="preserve">  Antiemetic drugs</w:t>
      </w:r>
    </w:p>
    <w:p w:rsidR="007F2590" w:rsidRDefault="00DF7A0F">
      <w:pPr>
        <w:ind w:left="809"/>
        <w:rPr>
          <w:rFonts w:ascii="標楷體" w:eastAsia="標楷體" w:hAnsi="標楷體"/>
          <w:color w:val="000000"/>
        </w:rPr>
      </w:pPr>
      <w:r>
        <w:rPr>
          <w:rFonts w:ascii="標楷體" w:eastAsia="標楷體" w:hAnsi="標楷體"/>
          <w:color w:val="000000"/>
        </w:rPr>
        <w:t>靜脈注射癌症化療藥品之</w:t>
      </w:r>
      <w:proofErr w:type="gramStart"/>
      <w:r>
        <w:rPr>
          <w:rFonts w:ascii="標楷體" w:eastAsia="標楷體" w:hAnsi="標楷體"/>
          <w:color w:val="000000"/>
        </w:rPr>
        <w:t>致吐性</w:t>
      </w:r>
      <w:proofErr w:type="gramEnd"/>
      <w:r>
        <w:rPr>
          <w:rFonts w:ascii="標楷體" w:eastAsia="標楷體" w:hAnsi="標楷體"/>
          <w:color w:val="000000"/>
        </w:rPr>
        <w:t>風險與劑量標準，依NCCN (National Comprehensive Cancer Network)最新版治療指引內容。(101/02/1、101/4/1、</w:t>
      </w:r>
      <w:r>
        <w:rPr>
          <w:rFonts w:ascii="標楷體" w:eastAsia="標楷體" w:hAnsi="標楷體"/>
          <w:color w:val="000000"/>
        </w:rPr>
        <w:lastRenderedPageBreak/>
        <w:t>107/5/1)</w:t>
      </w:r>
    </w:p>
    <w:p w:rsidR="007F2590" w:rsidRDefault="00DF7A0F">
      <w:pPr>
        <w:ind w:left="994" w:hanging="708"/>
        <w:rPr>
          <w:rFonts w:ascii="標楷體" w:eastAsia="標楷體" w:hAnsi="標楷體"/>
          <w:color w:val="000000"/>
        </w:rPr>
      </w:pPr>
      <w:r>
        <w:rPr>
          <w:rFonts w:ascii="標楷體" w:eastAsia="標楷體" w:hAnsi="標楷體"/>
          <w:color w:val="000000"/>
        </w:rPr>
        <w:t>7.2.1.Serotonin antagonists（如ondansetron、</w:t>
      </w:r>
      <w:proofErr w:type="spellStart"/>
      <w:r>
        <w:rPr>
          <w:rFonts w:ascii="標楷體" w:eastAsia="標楷體" w:hAnsi="標楷體"/>
          <w:color w:val="000000"/>
        </w:rPr>
        <w:t>granisetron</w:t>
      </w:r>
      <w:proofErr w:type="spellEnd"/>
      <w:r>
        <w:rPr>
          <w:rFonts w:ascii="標楷體" w:eastAsia="標楷體" w:hAnsi="標楷體"/>
          <w:color w:val="000000"/>
        </w:rPr>
        <w:t>、</w:t>
      </w:r>
      <w:proofErr w:type="spellStart"/>
      <w:r>
        <w:rPr>
          <w:rFonts w:ascii="標楷體" w:eastAsia="標楷體" w:hAnsi="標楷體"/>
          <w:color w:val="000000"/>
        </w:rPr>
        <w:t>tropisetron</w:t>
      </w:r>
      <w:proofErr w:type="spellEnd"/>
      <w:r>
        <w:rPr>
          <w:rFonts w:ascii="標楷體" w:eastAsia="標楷體" w:hAnsi="標楷體"/>
          <w:color w:val="000000"/>
        </w:rPr>
        <w:t>、</w:t>
      </w:r>
      <w:proofErr w:type="spellStart"/>
      <w:r>
        <w:rPr>
          <w:rFonts w:ascii="標楷體" w:eastAsia="標楷體" w:hAnsi="標楷體"/>
          <w:color w:val="000000"/>
        </w:rPr>
        <w:t>ramosetron</w:t>
      </w:r>
      <w:proofErr w:type="spellEnd"/>
      <w:r>
        <w:rPr>
          <w:rFonts w:ascii="標楷體" w:eastAsia="標楷體" w:hAnsi="標楷體"/>
          <w:color w:val="000000"/>
        </w:rPr>
        <w:t>、palonosetron等）(93/2/1、93/9/1、98/9/1、99/5/1、101/4/1、102/9/1)</w:t>
      </w:r>
    </w:p>
    <w:p w:rsidR="007F2590" w:rsidRDefault="00DF7A0F">
      <w:pPr>
        <w:ind w:left="811" w:hanging="245"/>
        <w:rPr>
          <w:rFonts w:ascii="標楷體" w:eastAsia="標楷體" w:hAnsi="標楷體"/>
          <w:color w:val="000000"/>
        </w:rPr>
      </w:pPr>
      <w:r>
        <w:rPr>
          <w:rFonts w:ascii="標楷體" w:eastAsia="標楷體" w:hAnsi="標楷體"/>
          <w:color w:val="000000"/>
        </w:rPr>
        <w:t>1.血液幹細胞移植患者接受高劑量化學治療時。</w:t>
      </w:r>
    </w:p>
    <w:p w:rsidR="007F2590" w:rsidRDefault="00DF7A0F">
      <w:pPr>
        <w:ind w:left="811" w:hanging="245"/>
        <w:rPr>
          <w:rFonts w:ascii="標楷體" w:eastAsia="標楷體" w:hAnsi="標楷體"/>
          <w:color w:val="000000"/>
        </w:rPr>
      </w:pPr>
      <w:r>
        <w:rPr>
          <w:rFonts w:ascii="標楷體" w:eastAsia="標楷體" w:hAnsi="標楷體"/>
          <w:color w:val="000000"/>
        </w:rPr>
        <w:t>2.惡性腫瘤患者及風濕免疫疾病（如紅斑性狼瘡、類風濕性關節炎、貝西氏症、皮肌炎/多發性肌炎、硬皮症、血管炎等）患者接受化學治療時，依下述情形使用：(98/9/1、99/5/1)</w:t>
      </w:r>
    </w:p>
    <w:p w:rsidR="007F2590" w:rsidRDefault="00DF7A0F">
      <w:pPr>
        <w:ind w:left="1049" w:hanging="341"/>
        <w:rPr>
          <w:rFonts w:ascii="標楷體" w:eastAsia="標楷體" w:hAnsi="標楷體"/>
          <w:color w:val="000000"/>
        </w:rPr>
      </w:pPr>
      <w:r>
        <w:rPr>
          <w:rFonts w:ascii="標楷體" w:eastAsia="標楷體" w:hAnsi="標楷體"/>
          <w:color w:val="000000"/>
        </w:rPr>
        <w:t>(1)前述患者處方高</w:t>
      </w:r>
      <w:proofErr w:type="gramStart"/>
      <w:r>
        <w:rPr>
          <w:rFonts w:ascii="標楷體" w:eastAsia="標楷體" w:hAnsi="標楷體"/>
          <w:color w:val="000000"/>
        </w:rPr>
        <w:t>致吐性</w:t>
      </w:r>
      <w:proofErr w:type="gramEnd"/>
      <w:r>
        <w:rPr>
          <w:rFonts w:ascii="標楷體" w:eastAsia="標楷體" w:hAnsi="標楷體"/>
          <w:color w:val="000000"/>
        </w:rPr>
        <w:t>藥品，可預防性使用ondansetron 8~32 mg、</w:t>
      </w:r>
      <w:proofErr w:type="spellStart"/>
      <w:r>
        <w:rPr>
          <w:rFonts w:ascii="標楷體" w:eastAsia="標楷體" w:hAnsi="標楷體"/>
          <w:color w:val="000000"/>
        </w:rPr>
        <w:t>granisetron</w:t>
      </w:r>
      <w:proofErr w:type="spellEnd"/>
      <w:r>
        <w:rPr>
          <w:rFonts w:ascii="標楷體" w:eastAsia="標楷體" w:hAnsi="標楷體"/>
          <w:color w:val="000000"/>
        </w:rPr>
        <w:t xml:space="preserve"> 1~3 mg、</w:t>
      </w:r>
      <w:proofErr w:type="spellStart"/>
      <w:r>
        <w:rPr>
          <w:rFonts w:ascii="標楷體" w:eastAsia="標楷體" w:hAnsi="標楷體"/>
          <w:color w:val="000000"/>
        </w:rPr>
        <w:t>tropisetron</w:t>
      </w:r>
      <w:proofErr w:type="spellEnd"/>
      <w:r>
        <w:rPr>
          <w:rFonts w:ascii="標楷體" w:eastAsia="標楷體" w:hAnsi="標楷體"/>
          <w:color w:val="000000"/>
        </w:rPr>
        <w:t xml:space="preserve"> 5 mg、</w:t>
      </w:r>
      <w:proofErr w:type="spellStart"/>
      <w:r>
        <w:rPr>
          <w:rFonts w:ascii="標楷體" w:eastAsia="標楷體" w:hAnsi="標楷體"/>
          <w:color w:val="000000"/>
        </w:rPr>
        <w:t>ramosetron</w:t>
      </w:r>
      <w:proofErr w:type="spellEnd"/>
      <w:r>
        <w:rPr>
          <w:rFonts w:ascii="標楷體" w:eastAsia="標楷體" w:hAnsi="標楷體"/>
          <w:color w:val="000000"/>
        </w:rPr>
        <w:t xml:space="preserve"> 0.3 mg一日劑量。必要時其使用以不得超過五日為原則。若發生嚴重延遲性嘔吐，得直接使用，每療程使用不得超過五日為原則。</w:t>
      </w:r>
    </w:p>
    <w:p w:rsidR="007F2590" w:rsidRDefault="00DF7A0F">
      <w:pPr>
        <w:ind w:left="1049" w:hanging="341"/>
        <w:rPr>
          <w:rFonts w:ascii="標楷體" w:eastAsia="標楷體" w:hAnsi="標楷體"/>
          <w:color w:val="000000"/>
        </w:rPr>
      </w:pPr>
      <w:r>
        <w:rPr>
          <w:rFonts w:ascii="標楷體" w:eastAsia="標楷體" w:hAnsi="標楷體"/>
          <w:color w:val="000000"/>
        </w:rPr>
        <w:t>(2)前述患者處方中</w:t>
      </w:r>
      <w:proofErr w:type="gramStart"/>
      <w:r>
        <w:rPr>
          <w:rFonts w:ascii="標楷體" w:eastAsia="標楷體" w:hAnsi="標楷體"/>
          <w:color w:val="000000"/>
        </w:rPr>
        <w:t>致吐性</w:t>
      </w:r>
      <w:proofErr w:type="gramEnd"/>
      <w:r>
        <w:rPr>
          <w:rFonts w:ascii="標楷體" w:eastAsia="標楷體" w:hAnsi="標楷體"/>
          <w:color w:val="000000"/>
        </w:rPr>
        <w:t>藥品，可預防性使用ondansetron 8~32 mg、</w:t>
      </w:r>
      <w:proofErr w:type="spellStart"/>
      <w:r>
        <w:rPr>
          <w:rFonts w:ascii="標楷體" w:eastAsia="標楷體" w:hAnsi="標楷體"/>
          <w:color w:val="000000"/>
        </w:rPr>
        <w:t>granisetron</w:t>
      </w:r>
      <w:proofErr w:type="spellEnd"/>
      <w:r>
        <w:rPr>
          <w:rFonts w:ascii="標楷體" w:eastAsia="標楷體" w:hAnsi="標楷體"/>
          <w:color w:val="000000"/>
        </w:rPr>
        <w:t xml:space="preserve"> 1~3 mg、</w:t>
      </w:r>
      <w:proofErr w:type="spellStart"/>
      <w:r>
        <w:rPr>
          <w:rFonts w:ascii="標楷體" w:eastAsia="標楷體" w:hAnsi="標楷體"/>
          <w:color w:val="000000"/>
        </w:rPr>
        <w:t>tropisetron</w:t>
      </w:r>
      <w:proofErr w:type="spellEnd"/>
      <w:r>
        <w:rPr>
          <w:rFonts w:ascii="標楷體" w:eastAsia="標楷體" w:hAnsi="標楷體"/>
          <w:color w:val="000000"/>
        </w:rPr>
        <w:t xml:space="preserve"> 5 mg、</w:t>
      </w:r>
      <w:proofErr w:type="spellStart"/>
      <w:r>
        <w:rPr>
          <w:rFonts w:ascii="標楷體" w:eastAsia="標楷體" w:hAnsi="標楷體"/>
          <w:color w:val="000000"/>
        </w:rPr>
        <w:t>ramosetron</w:t>
      </w:r>
      <w:proofErr w:type="spellEnd"/>
      <w:r>
        <w:rPr>
          <w:rFonts w:ascii="標楷體" w:eastAsia="標楷體" w:hAnsi="標楷體"/>
          <w:color w:val="000000"/>
        </w:rPr>
        <w:t xml:space="preserve"> 0.3 mg一日劑量。若發生嚴重延遲性嘔吐，使用dexamethasone 及 metoclopramide 無效之病例，每療程使用以不得超過五日為原則。病歷需有使用dexamethasone及 metoclopramide 無效之記錄。</w:t>
      </w:r>
    </w:p>
    <w:p w:rsidR="007F2590" w:rsidRDefault="00DF7A0F">
      <w:pPr>
        <w:ind w:left="1049" w:hanging="341"/>
        <w:rPr>
          <w:rFonts w:ascii="標楷體" w:eastAsia="標楷體" w:hAnsi="標楷體"/>
          <w:color w:val="000000"/>
        </w:rPr>
      </w:pPr>
      <w:r>
        <w:rPr>
          <w:rFonts w:ascii="標楷體" w:eastAsia="標楷體" w:hAnsi="標楷體"/>
          <w:color w:val="000000"/>
        </w:rPr>
        <w:t>(3)血液腫瘤病患接受化學治療，需使用中、高</w:t>
      </w:r>
      <w:proofErr w:type="gramStart"/>
      <w:r>
        <w:rPr>
          <w:rFonts w:ascii="標楷體" w:eastAsia="標楷體" w:hAnsi="標楷體"/>
          <w:color w:val="000000"/>
        </w:rPr>
        <w:t>致吐性</w:t>
      </w:r>
      <w:proofErr w:type="gramEnd"/>
      <w:r>
        <w:rPr>
          <w:rFonts w:ascii="標楷體" w:eastAsia="標楷體" w:hAnsi="標楷體"/>
          <w:color w:val="000000"/>
        </w:rPr>
        <w:t>抗癌藥品時，得依患者接受抗癌藥品實際使用天數使用</w:t>
      </w:r>
      <w:proofErr w:type="gramStart"/>
      <w:r>
        <w:rPr>
          <w:rFonts w:ascii="標楷體" w:eastAsia="標楷體" w:hAnsi="標楷體"/>
          <w:color w:val="000000"/>
        </w:rPr>
        <w:t>本類</w:t>
      </w:r>
      <w:proofErr w:type="gramEnd"/>
      <w:r>
        <w:rPr>
          <w:rFonts w:ascii="標楷體" w:eastAsia="標楷體" w:hAnsi="標楷體"/>
          <w:color w:val="000000"/>
        </w:rPr>
        <w:t>製劑。(93/9/1)</w:t>
      </w:r>
    </w:p>
    <w:p w:rsidR="007F2590" w:rsidRDefault="00DF7A0F">
      <w:pPr>
        <w:ind w:left="1049" w:hanging="341"/>
        <w:rPr>
          <w:rFonts w:ascii="標楷體" w:eastAsia="標楷體" w:hAnsi="標楷體"/>
          <w:color w:val="000000"/>
        </w:rPr>
      </w:pPr>
      <w:r>
        <w:rPr>
          <w:rFonts w:ascii="標楷體" w:eastAsia="標楷體" w:hAnsi="標楷體"/>
          <w:color w:val="000000"/>
        </w:rPr>
        <w:t>(4)Palonosetron限於中、</w:t>
      </w:r>
      <w:proofErr w:type="gramStart"/>
      <w:r>
        <w:rPr>
          <w:rFonts w:ascii="標楷體" w:eastAsia="標楷體" w:hAnsi="標楷體"/>
          <w:color w:val="000000"/>
        </w:rPr>
        <w:t>高致吐化學治療</w:t>
      </w:r>
      <w:proofErr w:type="gramEnd"/>
      <w:r>
        <w:rPr>
          <w:rFonts w:ascii="標楷體" w:eastAsia="標楷體" w:hAnsi="標楷體"/>
          <w:color w:val="000000"/>
        </w:rPr>
        <w:t>之前使用。(99/5/1)</w:t>
      </w:r>
    </w:p>
    <w:p w:rsidR="007F2590" w:rsidRDefault="00DF7A0F">
      <w:pPr>
        <w:ind w:left="811" w:hanging="245"/>
        <w:rPr>
          <w:rFonts w:ascii="標楷體" w:eastAsia="標楷體" w:hAnsi="標楷體"/>
          <w:color w:val="000000"/>
        </w:rPr>
      </w:pPr>
      <w:r>
        <w:rPr>
          <w:rFonts w:ascii="標楷體" w:eastAsia="標楷體" w:hAnsi="標楷體"/>
          <w:color w:val="000000"/>
        </w:rPr>
        <w:t>3.接受腹部放射照射之癌症病人，得依下列規範使用ondansetron、</w:t>
      </w:r>
      <w:proofErr w:type="spellStart"/>
      <w:r>
        <w:rPr>
          <w:rFonts w:ascii="標楷體" w:eastAsia="標楷體" w:hAnsi="標楷體"/>
          <w:color w:val="000000"/>
        </w:rPr>
        <w:t>granisetron</w:t>
      </w:r>
      <w:proofErr w:type="spellEnd"/>
      <w:r>
        <w:rPr>
          <w:rFonts w:ascii="標楷體" w:eastAsia="標楷體" w:hAnsi="標楷體"/>
          <w:color w:val="000000"/>
        </w:rPr>
        <w:t>等藥品：(93/9/1)</w:t>
      </w:r>
    </w:p>
    <w:p w:rsidR="007F2590" w:rsidRDefault="00DF7A0F">
      <w:pPr>
        <w:ind w:left="1049" w:hanging="341"/>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1)Total</w:t>
      </w:r>
      <w:proofErr w:type="gramEnd"/>
      <w:r>
        <w:rPr>
          <w:rFonts w:ascii="標楷體" w:eastAsia="標楷體" w:hAnsi="標楷體"/>
          <w:color w:val="000000"/>
        </w:rPr>
        <w:t xml:space="preserve"> body or half body irradiation</w:t>
      </w:r>
    </w:p>
    <w:p w:rsidR="007F2590" w:rsidRDefault="00DF7A0F">
      <w:pPr>
        <w:ind w:left="1049" w:hanging="341"/>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2)Pelvis</w:t>
      </w:r>
      <w:proofErr w:type="gramEnd"/>
      <w:r>
        <w:rPr>
          <w:rFonts w:ascii="標楷體" w:eastAsia="標楷體" w:hAnsi="標楷體"/>
          <w:color w:val="000000"/>
        </w:rPr>
        <w:t xml:space="preserve"> or upper abdominal region of single irradiation dose&gt; 6 </w:t>
      </w:r>
      <w:proofErr w:type="spellStart"/>
      <w:r>
        <w:rPr>
          <w:rFonts w:ascii="標楷體" w:eastAsia="標楷體" w:hAnsi="標楷體"/>
          <w:color w:val="000000"/>
        </w:rPr>
        <w:t>Gy</w:t>
      </w:r>
      <w:proofErr w:type="spellEnd"/>
    </w:p>
    <w:p w:rsidR="007F2590" w:rsidRDefault="00DF7A0F">
      <w:pPr>
        <w:ind w:left="1049" w:hanging="341"/>
        <w:rPr>
          <w:rFonts w:ascii="標楷體" w:eastAsia="標楷體" w:hAnsi="標楷體"/>
          <w:color w:val="000000"/>
        </w:rPr>
      </w:pPr>
      <w:r>
        <w:rPr>
          <w:rFonts w:ascii="標楷體" w:eastAsia="標楷體" w:hAnsi="標楷體"/>
          <w:color w:val="000000"/>
        </w:rPr>
        <w:t>(3)腹部放射治療中產生嘔吐，經使用dexamethasone、metoclopramide或prochlorperazine等傳統</w:t>
      </w:r>
      <w:proofErr w:type="gramStart"/>
      <w:r>
        <w:rPr>
          <w:rFonts w:ascii="標楷體" w:eastAsia="標楷體" w:hAnsi="標楷體"/>
          <w:color w:val="000000"/>
        </w:rPr>
        <w:t>止吐劑無效</w:t>
      </w:r>
      <w:proofErr w:type="gramEnd"/>
      <w:r>
        <w:rPr>
          <w:rFonts w:ascii="標楷體" w:eastAsia="標楷體" w:hAnsi="標楷體"/>
          <w:color w:val="000000"/>
        </w:rPr>
        <w:t>，仍發生嚴重嘔吐之患者。</w:t>
      </w:r>
    </w:p>
    <w:p w:rsidR="007F2590" w:rsidRDefault="00DF7A0F">
      <w:pPr>
        <w:ind w:left="847" w:hanging="281"/>
        <w:rPr>
          <w:rFonts w:ascii="標楷體" w:eastAsia="標楷體" w:hAnsi="標楷體"/>
          <w:color w:val="000000"/>
        </w:rPr>
      </w:pPr>
      <w:r>
        <w:rPr>
          <w:rFonts w:ascii="標楷體" w:eastAsia="標楷體" w:hAnsi="標楷體"/>
          <w:color w:val="000000"/>
        </w:rPr>
        <w:t>4.穿</w:t>
      </w:r>
      <w:proofErr w:type="gramStart"/>
      <w:r>
        <w:rPr>
          <w:rFonts w:ascii="標楷體" w:eastAsia="標楷體" w:hAnsi="標楷體"/>
          <w:color w:val="000000"/>
        </w:rPr>
        <w:t>皮貼片劑限</w:t>
      </w:r>
      <w:proofErr w:type="gramEnd"/>
      <w:r>
        <w:rPr>
          <w:rFonts w:ascii="標楷體" w:eastAsia="標楷體" w:hAnsi="標楷體"/>
          <w:color w:val="000000"/>
        </w:rPr>
        <w:t>用於無法口服之病患。(102/9/1)</w:t>
      </w:r>
    </w:p>
    <w:p w:rsidR="007F2590" w:rsidRDefault="00DF7A0F">
      <w:pPr>
        <w:ind w:left="672" w:hanging="386"/>
        <w:rPr>
          <w:rFonts w:ascii="標楷體" w:eastAsia="標楷體" w:hAnsi="標楷體"/>
          <w:color w:val="000000"/>
        </w:rPr>
      </w:pPr>
      <w:r>
        <w:rPr>
          <w:rFonts w:ascii="標楷體" w:eastAsia="標楷體" w:hAnsi="標楷體"/>
          <w:color w:val="000000"/>
        </w:rPr>
        <w:t>7.2.2. Neurokinin-1 receptor antagonist （如</w:t>
      </w:r>
      <w:proofErr w:type="spellStart"/>
      <w:r>
        <w:rPr>
          <w:rFonts w:ascii="標楷體" w:eastAsia="標楷體" w:hAnsi="標楷體"/>
          <w:color w:val="000000"/>
        </w:rPr>
        <w:t>aprepitant</w:t>
      </w:r>
      <w:proofErr w:type="spellEnd"/>
      <w:r>
        <w:rPr>
          <w:rFonts w:ascii="標楷體" w:eastAsia="標楷體" w:hAnsi="標楷體"/>
          <w:color w:val="000000"/>
        </w:rPr>
        <w:t>、</w:t>
      </w:r>
      <w:proofErr w:type="spellStart"/>
      <w:r>
        <w:rPr>
          <w:rFonts w:ascii="標楷體" w:eastAsia="標楷體" w:hAnsi="標楷體"/>
          <w:color w:val="000000"/>
        </w:rPr>
        <w:t>fosaprepitant</w:t>
      </w:r>
      <w:proofErr w:type="spellEnd"/>
      <w:r>
        <w:rPr>
          <w:rFonts w:ascii="標楷體" w:eastAsia="標楷體" w:hAnsi="標楷體"/>
          <w:color w:val="000000"/>
        </w:rPr>
        <w:t>）(94/10/1、101/02/1、101/4/1、101/12/1、102/8/1)</w:t>
      </w:r>
    </w:p>
    <w:p w:rsidR="007F2590" w:rsidRDefault="00DF7A0F">
      <w:pPr>
        <w:ind w:left="811" w:hanging="245"/>
        <w:rPr>
          <w:rFonts w:ascii="標楷體" w:eastAsia="標楷體" w:hAnsi="標楷體"/>
          <w:color w:val="000000"/>
        </w:rPr>
      </w:pPr>
      <w:r>
        <w:rPr>
          <w:rFonts w:ascii="標楷體" w:eastAsia="標楷體" w:hAnsi="標楷體"/>
          <w:color w:val="000000"/>
        </w:rPr>
        <w:t>1.與其他止吐藥劑</w:t>
      </w:r>
      <w:proofErr w:type="gramStart"/>
      <w:r>
        <w:rPr>
          <w:rFonts w:ascii="標楷體" w:eastAsia="標楷體" w:hAnsi="標楷體"/>
          <w:color w:val="000000"/>
        </w:rPr>
        <w:t>併</w:t>
      </w:r>
      <w:proofErr w:type="gramEnd"/>
      <w:r>
        <w:rPr>
          <w:rFonts w:ascii="標楷體" w:eastAsia="標楷體" w:hAnsi="標楷體"/>
          <w:color w:val="000000"/>
        </w:rPr>
        <w:t>用，以防止由高</w:t>
      </w:r>
      <w:proofErr w:type="gramStart"/>
      <w:r>
        <w:rPr>
          <w:rFonts w:ascii="標楷體" w:eastAsia="標楷體" w:hAnsi="標楷體"/>
          <w:color w:val="000000"/>
        </w:rPr>
        <w:t>致吐</w:t>
      </w:r>
      <w:proofErr w:type="gramEnd"/>
      <w:r>
        <w:rPr>
          <w:rFonts w:ascii="標楷體" w:eastAsia="標楷體" w:hAnsi="標楷體"/>
          <w:color w:val="000000"/>
        </w:rPr>
        <w:t>性癌症化療藥物在初次或重覆使用時所引起的急性或延遲性噁心與嘔吐。(101/2/1)</w:t>
      </w:r>
    </w:p>
    <w:p w:rsidR="007F2590" w:rsidRDefault="00DF7A0F">
      <w:pPr>
        <w:ind w:left="811" w:hanging="245"/>
        <w:rPr>
          <w:rFonts w:ascii="標楷體" w:eastAsia="標楷體" w:hAnsi="標楷體"/>
          <w:color w:val="000000"/>
        </w:rPr>
      </w:pPr>
      <w:r>
        <w:rPr>
          <w:rFonts w:ascii="標楷體" w:eastAsia="標楷體" w:hAnsi="標楷體"/>
          <w:color w:val="000000"/>
        </w:rPr>
        <w:t>2.口服</w:t>
      </w:r>
      <w:proofErr w:type="gramStart"/>
      <w:r>
        <w:rPr>
          <w:rFonts w:ascii="標楷體" w:eastAsia="標楷體" w:hAnsi="標楷體"/>
          <w:color w:val="000000"/>
        </w:rPr>
        <w:t>製劑限用</w:t>
      </w:r>
      <w:proofErr w:type="gramEnd"/>
      <w:r>
        <w:rPr>
          <w:rFonts w:ascii="標楷體" w:eastAsia="標楷體" w:hAnsi="標楷體"/>
          <w:color w:val="000000"/>
        </w:rPr>
        <w:t>三天，每日限用一顆。注射製劑限於</w:t>
      </w:r>
      <w:proofErr w:type="gramStart"/>
      <w:r>
        <w:rPr>
          <w:rFonts w:ascii="標楷體" w:eastAsia="標楷體" w:hAnsi="標楷體"/>
          <w:color w:val="000000"/>
        </w:rPr>
        <w:t>化療第一天</w:t>
      </w:r>
      <w:proofErr w:type="gramEnd"/>
      <w:r>
        <w:rPr>
          <w:rFonts w:ascii="標楷體" w:eastAsia="標楷體" w:hAnsi="標楷體"/>
          <w:color w:val="000000"/>
        </w:rPr>
        <w:t>使用。(101/4/1、101/12/1)</w:t>
      </w:r>
    </w:p>
    <w:p w:rsidR="007F2590" w:rsidRDefault="00DF7A0F">
      <w:pPr>
        <w:ind w:left="811" w:hanging="245"/>
      </w:pPr>
      <w:r>
        <w:rPr>
          <w:rFonts w:ascii="標楷體" w:eastAsia="標楷體" w:hAnsi="標楷體"/>
          <w:bCs/>
          <w:color w:val="000000"/>
        </w:rPr>
        <w:t>3.</w:t>
      </w:r>
      <w:proofErr w:type="gramStart"/>
      <w:r>
        <w:rPr>
          <w:rFonts w:ascii="標楷體" w:eastAsia="標楷體" w:hAnsi="標楷體"/>
          <w:bCs/>
          <w:color w:val="000000"/>
        </w:rPr>
        <w:t>本品除</w:t>
      </w:r>
      <w:proofErr w:type="gramEnd"/>
      <w:r>
        <w:rPr>
          <w:rFonts w:ascii="標楷體" w:eastAsia="標楷體" w:hAnsi="標楷體"/>
          <w:bCs/>
          <w:color w:val="000000"/>
        </w:rPr>
        <w:t>第一天外，不得併用5-HT</w:t>
      </w:r>
      <w:r>
        <w:rPr>
          <w:rFonts w:ascii="標楷體" w:eastAsia="標楷體" w:hAnsi="標楷體"/>
          <w:bCs/>
          <w:color w:val="000000"/>
          <w:vertAlign w:val="subscript"/>
        </w:rPr>
        <w:t>3</w:t>
      </w:r>
      <w:r>
        <w:rPr>
          <w:rFonts w:ascii="標楷體" w:eastAsia="標楷體" w:hAnsi="標楷體"/>
          <w:bCs/>
          <w:color w:val="000000"/>
        </w:rPr>
        <w:t>之藥物。(101/4/1)</w:t>
      </w:r>
    </w:p>
    <w:p w:rsidR="007F2590" w:rsidRDefault="00DF7A0F">
      <w:pPr>
        <w:ind w:left="811" w:hanging="245"/>
        <w:rPr>
          <w:rFonts w:ascii="標楷體" w:eastAsia="標楷體" w:hAnsi="標楷體"/>
          <w:color w:val="000000"/>
        </w:rPr>
      </w:pPr>
      <w:r>
        <w:rPr>
          <w:rFonts w:ascii="標楷體" w:eastAsia="標楷體" w:hAnsi="標楷體"/>
          <w:color w:val="000000"/>
        </w:rPr>
        <w:t>4.</w:t>
      </w:r>
      <w:proofErr w:type="gramStart"/>
      <w:r>
        <w:rPr>
          <w:rFonts w:ascii="標楷體" w:eastAsia="標楷體" w:hAnsi="標楷體"/>
          <w:color w:val="000000"/>
        </w:rPr>
        <w:t>若於化療</w:t>
      </w:r>
      <w:proofErr w:type="gramEnd"/>
      <w:r>
        <w:rPr>
          <w:rFonts w:ascii="標楷體" w:eastAsia="標楷體" w:hAnsi="標楷體"/>
          <w:color w:val="000000"/>
        </w:rPr>
        <w:t>第四天（含）後仍有Grade 2 以上之嘔吐，則於第四天及第五天可依照7.2.1.規範給予serotonin antagonist。(102/8/1)</w:t>
      </w:r>
    </w:p>
    <w:p w:rsidR="002A0CAC" w:rsidRPr="002A0CAC" w:rsidRDefault="00DF7A0F" w:rsidP="002A0CAC">
      <w:pPr>
        <w:ind w:left="672" w:hanging="386"/>
        <w:rPr>
          <w:rFonts w:ascii="標楷體" w:eastAsia="標楷體" w:hAnsi="標楷體"/>
          <w:color w:val="000000"/>
        </w:rPr>
      </w:pPr>
      <w:r>
        <w:rPr>
          <w:rFonts w:ascii="標楷體" w:eastAsia="標楷體" w:hAnsi="標楷體"/>
          <w:color w:val="000000"/>
        </w:rPr>
        <w:t>7.2.3.</w:t>
      </w:r>
      <w:r w:rsidR="002A0CAC" w:rsidRPr="002A0CAC">
        <w:rPr>
          <w:rFonts w:ascii="標楷體" w:eastAsia="標楷體" w:hAnsi="標楷體" w:cs="Calibri"/>
          <w:color w:val="000000"/>
          <w:kern w:val="0"/>
          <w:sz w:val="28"/>
          <w:szCs w:val="28"/>
        </w:rPr>
        <w:t xml:space="preserve"> </w:t>
      </w:r>
      <w:r w:rsidR="002A0CAC" w:rsidRPr="002A0CAC">
        <w:rPr>
          <w:rFonts w:ascii="標楷體" w:eastAsia="標楷體" w:hAnsi="標楷體"/>
          <w:color w:val="000000"/>
        </w:rPr>
        <w:t>含palonosetron及</w:t>
      </w:r>
      <w:proofErr w:type="spellStart"/>
      <w:r w:rsidR="002A0CAC" w:rsidRPr="002A0CAC">
        <w:rPr>
          <w:rFonts w:ascii="標楷體" w:eastAsia="標楷體" w:hAnsi="標楷體"/>
          <w:color w:val="000000"/>
        </w:rPr>
        <w:t>netupitant</w:t>
      </w:r>
      <w:proofErr w:type="spellEnd"/>
      <w:r w:rsidR="002A0CAC" w:rsidRPr="002A0CAC">
        <w:rPr>
          <w:rFonts w:ascii="標楷體" w:eastAsia="標楷體" w:hAnsi="標楷體"/>
          <w:color w:val="000000"/>
        </w:rPr>
        <w:t>之複方製劑(如</w:t>
      </w:r>
      <w:proofErr w:type="spellStart"/>
      <w:r w:rsidR="002A0CAC" w:rsidRPr="002A0CAC">
        <w:rPr>
          <w:rFonts w:ascii="標楷體" w:eastAsia="標楷體" w:hAnsi="標楷體"/>
          <w:color w:val="000000"/>
        </w:rPr>
        <w:t>Akynzeo</w:t>
      </w:r>
      <w:proofErr w:type="spellEnd"/>
      <w:r w:rsidR="002A0CAC" w:rsidRPr="002A0CAC">
        <w:rPr>
          <w:rFonts w:ascii="標楷體" w:eastAsia="標楷體" w:hAnsi="標楷體"/>
          <w:color w:val="000000"/>
        </w:rPr>
        <w:t>)(108/1/1、114/8/1)</w:t>
      </w:r>
    </w:p>
    <w:p w:rsidR="002A0CAC" w:rsidRPr="002A0CAC" w:rsidRDefault="002A0CAC" w:rsidP="002A0CAC">
      <w:pPr>
        <w:ind w:left="993" w:hanging="386"/>
        <w:rPr>
          <w:rFonts w:ascii="標楷體" w:eastAsia="標楷體" w:hAnsi="標楷體"/>
          <w:color w:val="000000"/>
        </w:rPr>
      </w:pPr>
      <w:r w:rsidRPr="002A0CAC">
        <w:rPr>
          <w:rFonts w:ascii="標楷體" w:eastAsia="標楷體" w:hAnsi="標楷體"/>
          <w:color w:val="000000"/>
        </w:rPr>
        <w:t>1.限用於</w:t>
      </w:r>
    </w:p>
    <w:p w:rsidR="002A0CAC" w:rsidRPr="002A0CAC" w:rsidRDefault="002A0CAC" w:rsidP="002A0CAC">
      <w:pPr>
        <w:ind w:left="993" w:hanging="386"/>
        <w:rPr>
          <w:rFonts w:ascii="標楷體" w:eastAsia="標楷體" w:hAnsi="標楷體"/>
          <w:color w:val="000000"/>
        </w:rPr>
      </w:pPr>
      <w:r w:rsidRPr="002A0CAC">
        <w:rPr>
          <w:rFonts w:ascii="標楷體" w:eastAsia="標楷體" w:hAnsi="標楷體"/>
          <w:color w:val="000000"/>
        </w:rPr>
        <w:t>(1)防止由高</w:t>
      </w:r>
      <w:proofErr w:type="gramStart"/>
      <w:r w:rsidRPr="002A0CAC">
        <w:rPr>
          <w:rFonts w:ascii="標楷體" w:eastAsia="標楷體" w:hAnsi="標楷體"/>
          <w:color w:val="000000"/>
        </w:rPr>
        <w:t>致吐性</w:t>
      </w:r>
      <w:proofErr w:type="gramEnd"/>
      <w:r w:rsidRPr="002A0CAC">
        <w:rPr>
          <w:rFonts w:ascii="標楷體" w:eastAsia="標楷體" w:hAnsi="標楷體"/>
          <w:color w:val="000000"/>
        </w:rPr>
        <w:t>癌症化療藥物在初次或重覆使用時所引起的急性或延遲性噁心與嘔</w:t>
      </w:r>
      <w:r w:rsidRPr="002A0CAC">
        <w:rPr>
          <w:rFonts w:ascii="標楷體" w:eastAsia="標楷體" w:hAnsi="標楷體"/>
          <w:color w:val="000000"/>
        </w:rPr>
        <w:lastRenderedPageBreak/>
        <w:t>吐。</w:t>
      </w:r>
    </w:p>
    <w:p w:rsidR="002A0CAC" w:rsidRPr="002A0CAC" w:rsidRDefault="002A0CAC" w:rsidP="002A0CAC">
      <w:pPr>
        <w:ind w:left="993" w:hanging="426"/>
        <w:rPr>
          <w:rFonts w:ascii="標楷體" w:eastAsia="標楷體" w:hAnsi="標楷體"/>
          <w:color w:val="000000"/>
        </w:rPr>
      </w:pPr>
      <w:r w:rsidRPr="002A0CAC">
        <w:rPr>
          <w:rFonts w:ascii="標楷體" w:eastAsia="標楷體" w:hAnsi="標楷體"/>
          <w:color w:val="000000"/>
        </w:rPr>
        <w:t>(2)初次使用中</w:t>
      </w:r>
      <w:proofErr w:type="gramStart"/>
      <w:r w:rsidRPr="002A0CAC">
        <w:rPr>
          <w:rFonts w:ascii="標楷體" w:eastAsia="標楷體" w:hAnsi="標楷體"/>
          <w:color w:val="000000"/>
        </w:rPr>
        <w:t>致吐性</w:t>
      </w:r>
      <w:proofErr w:type="gramEnd"/>
      <w:r w:rsidRPr="002A0CAC">
        <w:rPr>
          <w:rFonts w:ascii="標楷體" w:eastAsia="標楷體" w:hAnsi="標楷體"/>
          <w:color w:val="000000"/>
        </w:rPr>
        <w:t>癌症化療藥物時併用含serotonin antagonist止吐處方，仍發生急性或延遲性噁心與嘔吐之病人，並限於後續重覆</w:t>
      </w:r>
      <w:proofErr w:type="gramStart"/>
      <w:r w:rsidRPr="002A0CAC">
        <w:rPr>
          <w:rFonts w:ascii="標楷體" w:eastAsia="標楷體" w:hAnsi="標楷體"/>
          <w:color w:val="000000"/>
        </w:rPr>
        <w:t>使用原化</w:t>
      </w:r>
      <w:proofErr w:type="gramEnd"/>
      <w:r w:rsidRPr="002A0CAC">
        <w:rPr>
          <w:rFonts w:ascii="標楷體" w:eastAsia="標楷體" w:hAnsi="標楷體"/>
          <w:color w:val="000000"/>
        </w:rPr>
        <w:t>療藥物處方之療程預防性使用。(114/8/1)</w:t>
      </w:r>
    </w:p>
    <w:p w:rsidR="002A0CAC" w:rsidRPr="002A0CAC" w:rsidRDefault="002A0CAC" w:rsidP="002A0CAC">
      <w:pPr>
        <w:ind w:left="672" w:firstLine="37"/>
        <w:rPr>
          <w:rFonts w:ascii="標楷體" w:eastAsia="標楷體" w:hAnsi="標楷體"/>
          <w:color w:val="000000"/>
        </w:rPr>
      </w:pPr>
      <w:r w:rsidRPr="002A0CAC">
        <w:rPr>
          <w:rFonts w:ascii="標楷體" w:eastAsia="標楷體" w:hAnsi="標楷體"/>
          <w:color w:val="000000"/>
        </w:rPr>
        <w:t>2.每次</w:t>
      </w:r>
      <w:proofErr w:type="gramStart"/>
      <w:r w:rsidRPr="002A0CAC">
        <w:rPr>
          <w:rFonts w:ascii="標楷體" w:eastAsia="標楷體" w:hAnsi="標楷體"/>
          <w:color w:val="000000"/>
        </w:rPr>
        <w:t>化療限使用</w:t>
      </w:r>
      <w:proofErr w:type="gramEnd"/>
      <w:r w:rsidRPr="002A0CAC">
        <w:rPr>
          <w:rFonts w:ascii="標楷體" w:eastAsia="標楷體" w:hAnsi="標楷體"/>
          <w:color w:val="000000"/>
        </w:rPr>
        <w:t>1粒。</w:t>
      </w:r>
    </w:p>
    <w:p w:rsidR="007F2590" w:rsidRDefault="002A0CAC" w:rsidP="002A0CAC">
      <w:pPr>
        <w:ind w:left="993" w:hanging="284"/>
      </w:pPr>
      <w:r w:rsidRPr="002A0CAC">
        <w:rPr>
          <w:rFonts w:ascii="標楷體" w:eastAsia="標楷體" w:hAnsi="標楷體"/>
          <w:color w:val="000000"/>
        </w:rPr>
        <w:t>3.自使用本案藥品之日起3天內不得</w:t>
      </w:r>
      <w:proofErr w:type="gramStart"/>
      <w:r w:rsidRPr="002A0CAC">
        <w:rPr>
          <w:rFonts w:ascii="標楷體" w:eastAsia="標楷體" w:hAnsi="標楷體"/>
          <w:color w:val="000000"/>
        </w:rPr>
        <w:t>併</w:t>
      </w:r>
      <w:proofErr w:type="gramEnd"/>
      <w:r w:rsidRPr="002A0CAC">
        <w:rPr>
          <w:rFonts w:ascii="標楷體" w:eastAsia="標楷體" w:hAnsi="標楷體"/>
          <w:color w:val="000000"/>
        </w:rPr>
        <w:t>用其他serotonin antagonist或neurokinin-1 receptor antagonist</w:t>
      </w:r>
      <w:proofErr w:type="gramStart"/>
      <w:r w:rsidRPr="002A0CAC">
        <w:rPr>
          <w:rFonts w:ascii="標楷體" w:eastAsia="標楷體" w:hAnsi="標楷體"/>
          <w:color w:val="000000"/>
        </w:rPr>
        <w:t>止吐</w:t>
      </w:r>
      <w:proofErr w:type="gramEnd"/>
      <w:r w:rsidRPr="002A0CAC">
        <w:rPr>
          <w:rFonts w:ascii="標楷體" w:eastAsia="標楷體" w:hAnsi="標楷體"/>
          <w:color w:val="000000"/>
        </w:rPr>
        <w:t>劑。</w:t>
      </w:r>
    </w:p>
    <w:p w:rsidR="007F2590" w:rsidRDefault="00DF7A0F">
      <w:pPr>
        <w:ind w:left="672" w:hanging="386"/>
        <w:rPr>
          <w:rFonts w:ascii="標楷體" w:eastAsia="標楷體" w:hAnsi="標楷體"/>
          <w:color w:val="000000"/>
        </w:rPr>
      </w:pPr>
      <w:r>
        <w:rPr>
          <w:rFonts w:ascii="標楷體" w:eastAsia="標楷體" w:hAnsi="標楷體"/>
          <w:color w:val="000000"/>
        </w:rPr>
        <w:t>7.3.其他  Miscellaneous</w:t>
      </w:r>
    </w:p>
    <w:p w:rsidR="007F2590" w:rsidRDefault="00DF7A0F">
      <w:pPr>
        <w:ind w:left="672" w:hanging="386"/>
        <w:rPr>
          <w:rFonts w:ascii="標楷體" w:eastAsia="標楷體" w:hAnsi="標楷體"/>
          <w:color w:val="000000"/>
        </w:rPr>
      </w:pPr>
      <w:r>
        <w:rPr>
          <w:rFonts w:ascii="標楷體" w:eastAsia="標楷體" w:hAnsi="標楷體"/>
          <w:color w:val="000000"/>
        </w:rPr>
        <w:t>7.3.1.Mesalazine（如</w:t>
      </w:r>
      <w:proofErr w:type="spellStart"/>
      <w:r>
        <w:rPr>
          <w:rFonts w:ascii="標楷體" w:eastAsia="標楷體" w:hAnsi="標楷體"/>
          <w:color w:val="000000"/>
        </w:rPr>
        <w:t>Asacol</w:t>
      </w:r>
      <w:proofErr w:type="spellEnd"/>
      <w:r>
        <w:rPr>
          <w:rFonts w:ascii="標楷體" w:eastAsia="標楷體" w:hAnsi="標楷體"/>
          <w:color w:val="000000"/>
        </w:rPr>
        <w:t>）、</w:t>
      </w:r>
      <w:proofErr w:type="spellStart"/>
      <w:r>
        <w:rPr>
          <w:rFonts w:ascii="標楷體" w:eastAsia="標楷體" w:hAnsi="標楷體"/>
          <w:color w:val="000000"/>
        </w:rPr>
        <w:t>balsalazide</w:t>
      </w:r>
      <w:proofErr w:type="spellEnd"/>
      <w:r>
        <w:rPr>
          <w:rFonts w:ascii="標楷體" w:eastAsia="標楷體" w:hAnsi="標楷體"/>
          <w:color w:val="000000"/>
        </w:rPr>
        <w:t xml:space="preserve"> (如</w:t>
      </w:r>
      <w:proofErr w:type="spellStart"/>
      <w:r>
        <w:rPr>
          <w:rFonts w:ascii="標楷體" w:eastAsia="標楷體" w:hAnsi="標楷體"/>
          <w:color w:val="000000"/>
        </w:rPr>
        <w:t>Basazyde</w:t>
      </w:r>
      <w:proofErr w:type="spellEnd"/>
      <w:r>
        <w:rPr>
          <w:rFonts w:ascii="標楷體" w:eastAsia="標楷體" w:hAnsi="標楷體"/>
          <w:color w:val="000000"/>
        </w:rPr>
        <w:t>)(94/5/1)：</w:t>
      </w:r>
    </w:p>
    <w:p w:rsidR="007F2590" w:rsidRDefault="00DF7A0F">
      <w:pPr>
        <w:ind w:left="798" w:hanging="1"/>
        <w:rPr>
          <w:rFonts w:ascii="標楷體" w:eastAsia="標楷體" w:hAnsi="標楷體"/>
          <w:color w:val="000000"/>
        </w:rPr>
      </w:pPr>
      <w:r>
        <w:rPr>
          <w:rFonts w:ascii="標楷體" w:eastAsia="標楷體" w:hAnsi="標楷體"/>
          <w:color w:val="000000"/>
        </w:rPr>
        <w:t>限潰瘍性結腸炎、</w:t>
      </w:r>
      <w:proofErr w:type="gramStart"/>
      <w:r>
        <w:rPr>
          <w:rFonts w:ascii="標楷體" w:eastAsia="標楷體" w:hAnsi="標楷體"/>
          <w:color w:val="000000"/>
        </w:rPr>
        <w:t>庫隆氏症</w:t>
      </w:r>
      <w:proofErr w:type="gramEnd"/>
      <w:r>
        <w:rPr>
          <w:rFonts w:ascii="標楷體" w:eastAsia="標楷體" w:hAnsi="標楷體"/>
          <w:color w:val="000000"/>
        </w:rPr>
        <w:t>病例使用。</w:t>
      </w:r>
    </w:p>
    <w:p w:rsidR="007F2590" w:rsidRDefault="00DF7A0F">
      <w:pPr>
        <w:ind w:left="672" w:hanging="386"/>
        <w:rPr>
          <w:rFonts w:ascii="標楷體" w:eastAsia="標楷體" w:hAnsi="標楷體"/>
          <w:color w:val="000000"/>
        </w:rPr>
      </w:pPr>
      <w:r>
        <w:rPr>
          <w:rFonts w:ascii="標楷體" w:eastAsia="標楷體" w:hAnsi="標楷體"/>
          <w:color w:val="000000"/>
        </w:rPr>
        <w:t>7.3.2.益生菌類藥物Antidiarrheal microorganisms：</w:t>
      </w:r>
    </w:p>
    <w:p w:rsidR="007F2590" w:rsidRDefault="00DF7A0F">
      <w:pPr>
        <w:ind w:left="798" w:hanging="1"/>
        <w:rPr>
          <w:rFonts w:ascii="標楷體" w:eastAsia="標楷體" w:hAnsi="標楷體"/>
          <w:color w:val="000000"/>
        </w:rPr>
      </w:pPr>
      <w:r>
        <w:rPr>
          <w:rFonts w:ascii="標楷體" w:eastAsia="標楷體" w:hAnsi="標楷體"/>
          <w:color w:val="000000"/>
        </w:rPr>
        <w:t>限用於接受放射治療、化學療法患者，治療期間造成的腹瀉。（97/8/1）</w:t>
      </w:r>
    </w:p>
    <w:p w:rsidR="007F2590" w:rsidRDefault="00DF7A0F">
      <w:pPr>
        <w:ind w:left="782" w:hanging="499"/>
        <w:rPr>
          <w:rFonts w:ascii="標楷體" w:eastAsia="標楷體" w:hAnsi="標楷體"/>
          <w:color w:val="000000"/>
        </w:rPr>
      </w:pPr>
      <w:r>
        <w:rPr>
          <w:rFonts w:ascii="標楷體" w:eastAsia="標楷體" w:hAnsi="標楷體"/>
          <w:color w:val="000000"/>
        </w:rPr>
        <w:t xml:space="preserve">7.3.3. </w:t>
      </w:r>
      <w:proofErr w:type="spellStart"/>
      <w:r>
        <w:rPr>
          <w:rFonts w:ascii="標楷體" w:eastAsia="標楷體" w:hAnsi="標楷體"/>
          <w:color w:val="000000"/>
        </w:rPr>
        <w:t>Racecadotril</w:t>
      </w:r>
      <w:proofErr w:type="spellEnd"/>
      <w:r>
        <w:rPr>
          <w:rFonts w:ascii="標楷體" w:eastAsia="標楷體" w:hAnsi="標楷體"/>
          <w:color w:val="000000"/>
        </w:rPr>
        <w:t xml:space="preserve"> (如</w:t>
      </w:r>
      <w:proofErr w:type="spellStart"/>
      <w:r>
        <w:rPr>
          <w:rFonts w:ascii="標楷體" w:eastAsia="標楷體" w:hAnsi="標楷體"/>
          <w:color w:val="000000"/>
        </w:rPr>
        <w:t>Hidrasec</w:t>
      </w:r>
      <w:proofErr w:type="spellEnd"/>
      <w:r>
        <w:rPr>
          <w:rFonts w:ascii="標楷體" w:eastAsia="標楷體" w:hAnsi="標楷體"/>
          <w:color w:val="000000"/>
        </w:rPr>
        <w:t>)(106/3/1)</w:t>
      </w:r>
    </w:p>
    <w:p w:rsidR="007F2590" w:rsidRDefault="00DF7A0F">
      <w:pPr>
        <w:ind w:left="797"/>
        <w:rPr>
          <w:rFonts w:ascii="標楷體" w:eastAsia="標楷體" w:hAnsi="標楷體"/>
          <w:color w:val="000000"/>
        </w:rPr>
      </w:pPr>
      <w:r>
        <w:rPr>
          <w:rFonts w:ascii="標楷體" w:eastAsia="標楷體" w:hAnsi="標楷體"/>
          <w:color w:val="000000"/>
        </w:rPr>
        <w:t>每療程使用不得超過5 天。</w:t>
      </w:r>
    </w:p>
    <w:p w:rsidR="007F2590" w:rsidRDefault="00DF7A0F">
      <w:pPr>
        <w:spacing w:line="400" w:lineRule="exact"/>
        <w:ind w:left="782" w:hanging="499"/>
        <w:rPr>
          <w:rFonts w:ascii="標楷體" w:eastAsia="標楷體" w:hAnsi="標楷體"/>
          <w:color w:val="000000"/>
        </w:rPr>
      </w:pPr>
      <w:r>
        <w:rPr>
          <w:rFonts w:ascii="標楷體" w:eastAsia="標楷體" w:hAnsi="標楷體"/>
          <w:color w:val="000000"/>
        </w:rPr>
        <w:t>7.3.4. Cholic acid（如</w:t>
      </w:r>
      <w:proofErr w:type="spellStart"/>
      <w:r>
        <w:rPr>
          <w:rFonts w:ascii="標楷體" w:eastAsia="標楷體" w:hAnsi="標楷體"/>
          <w:color w:val="000000"/>
        </w:rPr>
        <w:t>Cholbam</w:t>
      </w:r>
      <w:proofErr w:type="spellEnd"/>
      <w:r>
        <w:rPr>
          <w:rFonts w:ascii="標楷體" w:eastAsia="標楷體" w:hAnsi="標楷體"/>
          <w:color w:val="000000"/>
        </w:rPr>
        <w:t>）（108/7/1）：</w:t>
      </w:r>
    </w:p>
    <w:p w:rsidR="007F2590" w:rsidRDefault="00DF7A0F">
      <w:pPr>
        <w:spacing w:line="400" w:lineRule="exact"/>
        <w:ind w:left="782" w:hanging="499"/>
        <w:rPr>
          <w:rFonts w:ascii="標楷體" w:eastAsia="標楷體" w:hAnsi="標楷體"/>
          <w:color w:val="000000"/>
        </w:rPr>
      </w:pPr>
      <w:r>
        <w:rPr>
          <w:rFonts w:ascii="標楷體" w:eastAsia="標楷體" w:hAnsi="標楷體"/>
          <w:color w:val="000000"/>
        </w:rPr>
        <w:t xml:space="preserve">  限E7870</w:t>
      </w:r>
      <w:proofErr w:type="gramStart"/>
      <w:r>
        <w:rPr>
          <w:rFonts w:ascii="標楷體" w:eastAsia="標楷體" w:hAnsi="標楷體"/>
          <w:color w:val="000000"/>
        </w:rPr>
        <w:t>先天性膽</w:t>
      </w:r>
      <w:proofErr w:type="gramEnd"/>
      <w:r>
        <w:rPr>
          <w:rFonts w:ascii="標楷體" w:eastAsia="標楷體" w:hAnsi="標楷體"/>
          <w:color w:val="000000"/>
        </w:rPr>
        <w:t>酸合成障礙、E71.510 Zellweger氏症候群病患使用。</w:t>
      </w:r>
    </w:p>
    <w:p w:rsidR="007F2590" w:rsidRDefault="00DF7A0F">
      <w:pPr>
        <w:spacing w:line="400" w:lineRule="exact"/>
        <w:ind w:left="811" w:hanging="245"/>
        <w:rPr>
          <w:rFonts w:ascii="標楷體" w:eastAsia="標楷體" w:hAnsi="標楷體"/>
          <w:bCs/>
          <w:color w:val="000000"/>
        </w:rPr>
      </w:pPr>
      <w:r>
        <w:rPr>
          <w:rFonts w:ascii="標楷體" w:eastAsia="標楷體" w:hAnsi="標楷體"/>
          <w:bCs/>
          <w:color w:val="000000"/>
        </w:rPr>
        <w:t>1.需符合以下診斷條件之</w:t>
      </w:r>
      <w:proofErr w:type="gramStart"/>
      <w:r>
        <w:rPr>
          <w:rFonts w:ascii="標楷體" w:eastAsia="標楷體" w:hAnsi="標楷體"/>
          <w:bCs/>
          <w:color w:val="000000"/>
        </w:rPr>
        <w:t>一</w:t>
      </w:r>
      <w:proofErr w:type="gramEnd"/>
      <w:r>
        <w:rPr>
          <w:rFonts w:ascii="標楷體" w:eastAsia="標楷體" w:hAnsi="標楷體"/>
          <w:bCs/>
          <w:color w:val="000000"/>
        </w:rPr>
        <w:t>者：</w:t>
      </w:r>
    </w:p>
    <w:p w:rsidR="007F2590" w:rsidRDefault="00DF7A0F">
      <w:pPr>
        <w:numPr>
          <w:ilvl w:val="0"/>
          <w:numId w:val="2"/>
        </w:numPr>
        <w:spacing w:line="400" w:lineRule="exact"/>
        <w:ind w:left="1133"/>
        <w:rPr>
          <w:rFonts w:ascii="標楷體" w:eastAsia="標楷體" w:hAnsi="標楷體"/>
          <w:szCs w:val="28"/>
        </w:rPr>
      </w:pPr>
      <w:r>
        <w:rPr>
          <w:rFonts w:ascii="標楷體" w:eastAsia="標楷體" w:hAnsi="標楷體"/>
          <w:szCs w:val="28"/>
        </w:rPr>
        <w:t>除臨床表徵外，須佐證患者尿液</w:t>
      </w:r>
      <w:proofErr w:type="gramStart"/>
      <w:r>
        <w:rPr>
          <w:rFonts w:ascii="標楷體" w:eastAsia="標楷體" w:hAnsi="標楷體"/>
          <w:szCs w:val="28"/>
        </w:rPr>
        <w:t>膽酸質譜</w:t>
      </w:r>
      <w:proofErr w:type="gramEnd"/>
      <w:r>
        <w:rPr>
          <w:rFonts w:ascii="標楷體" w:eastAsia="標楷體" w:hAnsi="標楷體"/>
          <w:szCs w:val="28"/>
        </w:rPr>
        <w:t>分析顯示尿液膽汁酸異常，或證明患者基因經分子生物學檢驗確認有一處已知或必然會引起單一酵素缺乏造成</w:t>
      </w:r>
      <w:proofErr w:type="gramStart"/>
      <w:r>
        <w:rPr>
          <w:rFonts w:ascii="標楷體" w:eastAsia="標楷體" w:hAnsi="標楷體"/>
          <w:szCs w:val="28"/>
        </w:rPr>
        <w:t>先天性</w:t>
      </w:r>
      <w:proofErr w:type="gramEnd"/>
      <w:r>
        <w:rPr>
          <w:rFonts w:ascii="標楷體" w:eastAsia="標楷體" w:hAnsi="標楷體"/>
          <w:szCs w:val="28"/>
        </w:rPr>
        <w:t>膽酸合成障礙之突變。</w:t>
      </w:r>
    </w:p>
    <w:p w:rsidR="007F2590" w:rsidRDefault="00DF7A0F">
      <w:pPr>
        <w:numPr>
          <w:ilvl w:val="0"/>
          <w:numId w:val="2"/>
        </w:numPr>
        <w:spacing w:line="400" w:lineRule="exact"/>
        <w:ind w:left="1133"/>
        <w:rPr>
          <w:rFonts w:ascii="標楷體" w:eastAsia="標楷體" w:hAnsi="標楷體"/>
          <w:szCs w:val="28"/>
        </w:rPr>
      </w:pPr>
      <w:r>
        <w:rPr>
          <w:rFonts w:ascii="標楷體" w:eastAsia="標楷體" w:hAnsi="標楷體"/>
          <w:szCs w:val="28"/>
        </w:rPr>
        <w:t>過氧化體代謝異常（包括Zellweger spectrum disorders）病人呈現之肝病表現、脂肪</w:t>
      </w:r>
      <w:proofErr w:type="gramStart"/>
      <w:r>
        <w:rPr>
          <w:rFonts w:ascii="標楷體" w:eastAsia="標楷體" w:hAnsi="標楷體"/>
          <w:szCs w:val="28"/>
        </w:rPr>
        <w:t>瀉或脂</w:t>
      </w:r>
      <w:proofErr w:type="gramEnd"/>
      <w:r>
        <w:rPr>
          <w:rFonts w:ascii="標楷體" w:eastAsia="標楷體" w:hAnsi="標楷體"/>
          <w:szCs w:val="28"/>
        </w:rPr>
        <w:t>溶性維生素吸收降低所引起的併發症。</w:t>
      </w:r>
    </w:p>
    <w:p w:rsidR="007F2590" w:rsidRDefault="00DF7A0F">
      <w:pPr>
        <w:spacing w:line="400" w:lineRule="exact"/>
        <w:ind w:left="811" w:hanging="245"/>
        <w:rPr>
          <w:rFonts w:ascii="標楷體" w:eastAsia="標楷體" w:hAnsi="標楷體"/>
          <w:bCs/>
          <w:color w:val="000000"/>
        </w:rPr>
      </w:pPr>
      <w:r>
        <w:rPr>
          <w:rFonts w:ascii="標楷體" w:eastAsia="標楷體" w:hAnsi="標楷體"/>
          <w:bCs/>
          <w:color w:val="000000"/>
        </w:rPr>
        <w:t>2.限兒科消化次專科醫師，或兒童神經科醫師，或兒科專科經醫學</w:t>
      </w:r>
      <w:proofErr w:type="gramStart"/>
      <w:r>
        <w:rPr>
          <w:rFonts w:ascii="標楷體" w:eastAsia="標楷體" w:hAnsi="標楷體"/>
          <w:bCs/>
          <w:color w:val="000000"/>
        </w:rPr>
        <w:t>遺傳學次專訓練</w:t>
      </w:r>
      <w:proofErr w:type="gramEnd"/>
      <w:r>
        <w:rPr>
          <w:rFonts w:ascii="標楷體" w:eastAsia="標楷體" w:hAnsi="標楷體"/>
          <w:bCs/>
          <w:color w:val="000000"/>
        </w:rPr>
        <w:t>取得證書之醫師使用。</w:t>
      </w:r>
    </w:p>
    <w:p w:rsidR="007F2590" w:rsidRDefault="00DF7A0F">
      <w:pPr>
        <w:spacing w:line="400" w:lineRule="exact"/>
        <w:ind w:left="811" w:hanging="245"/>
        <w:rPr>
          <w:rFonts w:ascii="標楷體" w:eastAsia="標楷體" w:hAnsi="標楷體"/>
          <w:bCs/>
          <w:color w:val="000000"/>
        </w:rPr>
      </w:pPr>
      <w:r>
        <w:rPr>
          <w:rFonts w:ascii="標楷體" w:eastAsia="標楷體" w:hAnsi="標楷體"/>
          <w:bCs/>
          <w:color w:val="000000"/>
        </w:rPr>
        <w:t>3.應定期追蹤評估治療效果及下列事項：</w:t>
      </w:r>
    </w:p>
    <w:p w:rsidR="007F2590" w:rsidRDefault="00DF7A0F">
      <w:pPr>
        <w:spacing w:line="400" w:lineRule="exact"/>
        <w:ind w:left="811" w:hanging="245"/>
        <w:rPr>
          <w:rFonts w:ascii="標楷體" w:eastAsia="標楷體" w:hAnsi="標楷體"/>
          <w:bCs/>
          <w:color w:val="000000"/>
        </w:rPr>
      </w:pPr>
      <w:r>
        <w:rPr>
          <w:rFonts w:ascii="標楷體" w:eastAsia="標楷體" w:hAnsi="標楷體"/>
          <w:bCs/>
          <w:color w:val="000000"/>
        </w:rPr>
        <w:t xml:space="preserve">  用藥後第一年至少每3個月監測一次血清aspartate aminotransferase (AST)，血清alanine aminotransferase (ALT)，膽紅素等之血中濃度，之後每6個月監測一次。</w:t>
      </w:r>
    </w:p>
    <w:p w:rsidR="007F2590" w:rsidRDefault="00DF7A0F">
      <w:pPr>
        <w:spacing w:line="400" w:lineRule="exact"/>
        <w:ind w:left="811" w:hanging="245"/>
        <w:rPr>
          <w:rFonts w:ascii="標楷體" w:eastAsia="標楷體" w:hAnsi="標楷體"/>
          <w:bCs/>
          <w:color w:val="000000"/>
        </w:rPr>
      </w:pPr>
      <w:r>
        <w:rPr>
          <w:rFonts w:ascii="標楷體" w:eastAsia="標楷體" w:hAnsi="標楷體"/>
          <w:bCs/>
          <w:color w:val="000000"/>
        </w:rPr>
        <w:t>4.需經事前審查核准後使用。</w:t>
      </w:r>
    </w:p>
    <w:p w:rsidR="007F2590" w:rsidRDefault="00DF7A0F">
      <w:pPr>
        <w:spacing w:line="400" w:lineRule="exact"/>
        <w:ind w:left="782" w:hanging="499"/>
        <w:rPr>
          <w:rFonts w:ascii="標楷體" w:eastAsia="標楷體" w:hAnsi="標楷體"/>
          <w:color w:val="000000"/>
        </w:rPr>
      </w:pPr>
      <w:r>
        <w:rPr>
          <w:rFonts w:ascii="標楷體" w:eastAsia="標楷體" w:hAnsi="標楷體"/>
          <w:color w:val="000000"/>
        </w:rPr>
        <w:t>7.3.5. Budesonide(如</w:t>
      </w:r>
      <w:proofErr w:type="spellStart"/>
      <w:r>
        <w:rPr>
          <w:rFonts w:ascii="標楷體" w:eastAsia="標楷體" w:hAnsi="標楷體"/>
          <w:color w:val="000000"/>
        </w:rPr>
        <w:t>Cortiment</w:t>
      </w:r>
      <w:proofErr w:type="spellEnd"/>
      <w:r>
        <w:rPr>
          <w:rFonts w:ascii="標楷體" w:eastAsia="標楷體" w:hAnsi="標楷體"/>
          <w:color w:val="000000"/>
        </w:rPr>
        <w:t xml:space="preserve"> MMX)(108/7/1):</w:t>
      </w:r>
    </w:p>
    <w:p w:rsidR="007F2590" w:rsidRDefault="00DF7A0F">
      <w:pPr>
        <w:spacing w:line="400" w:lineRule="exact"/>
        <w:ind w:left="384" w:hanging="101"/>
        <w:rPr>
          <w:rFonts w:ascii="標楷體" w:eastAsia="標楷體" w:hAnsi="標楷體"/>
          <w:color w:val="000000"/>
        </w:rPr>
      </w:pPr>
      <w:r>
        <w:rPr>
          <w:rFonts w:ascii="標楷體" w:eastAsia="標楷體" w:hAnsi="標楷體"/>
          <w:color w:val="000000"/>
        </w:rPr>
        <w:t xml:space="preserve">  1.限符合下列各項條件之病患使用：</w:t>
      </w:r>
    </w:p>
    <w:p w:rsidR="007F2590" w:rsidRDefault="00DF7A0F">
      <w:pPr>
        <w:spacing w:line="400" w:lineRule="exact"/>
        <w:ind w:left="782" w:hanging="499"/>
        <w:rPr>
          <w:rFonts w:ascii="標楷體" w:eastAsia="標楷體" w:hAnsi="標楷體"/>
          <w:color w:val="000000"/>
        </w:rPr>
      </w:pPr>
      <w:r>
        <w:rPr>
          <w:rFonts w:ascii="標楷體" w:eastAsia="標楷體" w:hAnsi="標楷體"/>
          <w:color w:val="000000"/>
        </w:rPr>
        <w:t xml:space="preserve">    (1)對已接受</w:t>
      </w:r>
      <w:proofErr w:type="spellStart"/>
      <w:r>
        <w:rPr>
          <w:rFonts w:ascii="標楷體" w:eastAsia="標楷體" w:hAnsi="標楷體"/>
          <w:color w:val="000000"/>
        </w:rPr>
        <w:t>aminosalicylate</w:t>
      </w:r>
      <w:proofErr w:type="spellEnd"/>
      <w:r>
        <w:rPr>
          <w:rFonts w:ascii="標楷體" w:eastAsia="標楷體" w:hAnsi="標楷體"/>
          <w:color w:val="000000"/>
        </w:rPr>
        <w:t>類藥物治療效果不佳或</w:t>
      </w:r>
      <w:proofErr w:type="gramStart"/>
      <w:r>
        <w:rPr>
          <w:rFonts w:ascii="標楷體" w:eastAsia="標楷體" w:hAnsi="標楷體"/>
          <w:color w:val="000000"/>
        </w:rPr>
        <w:t>不</w:t>
      </w:r>
      <w:proofErr w:type="gramEnd"/>
      <w:r>
        <w:rPr>
          <w:rFonts w:ascii="標楷體" w:eastAsia="標楷體" w:hAnsi="標楷體"/>
          <w:color w:val="000000"/>
        </w:rPr>
        <w:t>能耐受之成人患者。</w:t>
      </w:r>
    </w:p>
    <w:p w:rsidR="007F2590" w:rsidRDefault="00DF7A0F">
      <w:pPr>
        <w:spacing w:line="400" w:lineRule="exact"/>
        <w:ind w:left="782" w:hanging="499"/>
        <w:rPr>
          <w:rFonts w:ascii="標楷體" w:eastAsia="標楷體" w:hAnsi="標楷體"/>
          <w:color w:val="000000"/>
        </w:rPr>
      </w:pPr>
      <w:r>
        <w:rPr>
          <w:rFonts w:ascii="標楷體" w:eastAsia="標楷體" w:hAnsi="標楷體"/>
          <w:color w:val="000000"/>
        </w:rPr>
        <w:t xml:space="preserve">    (2)領有潰瘍性結腸炎重大傷病卡。</w:t>
      </w:r>
    </w:p>
    <w:p w:rsidR="007F2590" w:rsidRDefault="00DF7A0F">
      <w:pPr>
        <w:spacing w:line="400" w:lineRule="exact"/>
        <w:ind w:left="782" w:hanging="499"/>
        <w:rPr>
          <w:rFonts w:ascii="標楷體" w:eastAsia="標楷體" w:hAnsi="標楷體"/>
          <w:color w:val="000000"/>
        </w:rPr>
      </w:pPr>
      <w:r>
        <w:rPr>
          <w:rFonts w:ascii="標楷體" w:eastAsia="標楷體" w:hAnsi="標楷體"/>
          <w:color w:val="000000"/>
        </w:rPr>
        <w:t xml:space="preserve">  2.每療程限使用8</w:t>
      </w:r>
      <w:proofErr w:type="gramStart"/>
      <w:r>
        <w:rPr>
          <w:rFonts w:ascii="標楷體" w:eastAsia="標楷體" w:hAnsi="標楷體"/>
          <w:color w:val="000000"/>
        </w:rPr>
        <w:t>週</w:t>
      </w:r>
      <w:proofErr w:type="gramEnd"/>
      <w:r>
        <w:rPr>
          <w:rFonts w:ascii="標楷體" w:eastAsia="標楷體" w:hAnsi="標楷體"/>
          <w:color w:val="000000"/>
        </w:rPr>
        <w:t>，每日限使用1粒。</w:t>
      </w:r>
    </w:p>
    <w:p w:rsidR="007F2590" w:rsidRDefault="00DF7A0F">
      <w:pPr>
        <w:spacing w:line="400" w:lineRule="exact"/>
        <w:ind w:left="782" w:hanging="499"/>
        <w:rPr>
          <w:rFonts w:ascii="標楷體" w:eastAsia="標楷體" w:hAnsi="標楷體"/>
          <w:color w:val="000000"/>
        </w:rPr>
      </w:pPr>
      <w:r>
        <w:rPr>
          <w:rFonts w:ascii="標楷體" w:eastAsia="標楷體" w:hAnsi="標楷體"/>
          <w:color w:val="000000"/>
        </w:rPr>
        <w:t>7.3.6. 含</w:t>
      </w:r>
      <w:proofErr w:type="spellStart"/>
      <w:r>
        <w:rPr>
          <w:rFonts w:ascii="標楷體" w:eastAsia="標楷體" w:hAnsi="標楷體"/>
          <w:color w:val="000000"/>
        </w:rPr>
        <w:t>amylase+lipase+protease</w:t>
      </w:r>
      <w:proofErr w:type="spellEnd"/>
      <w:r>
        <w:rPr>
          <w:rFonts w:ascii="標楷體" w:eastAsia="標楷體" w:hAnsi="標楷體"/>
          <w:color w:val="000000"/>
        </w:rPr>
        <w:t>複方製劑(如</w:t>
      </w:r>
      <w:proofErr w:type="spellStart"/>
      <w:r>
        <w:rPr>
          <w:rFonts w:ascii="標楷體" w:eastAsia="標楷體" w:hAnsi="標楷體"/>
          <w:color w:val="000000"/>
        </w:rPr>
        <w:t>Protase</w:t>
      </w:r>
      <w:proofErr w:type="spellEnd"/>
      <w:r>
        <w:rPr>
          <w:rFonts w:ascii="標楷體" w:eastAsia="標楷體" w:hAnsi="標楷體"/>
          <w:color w:val="000000"/>
        </w:rPr>
        <w:t xml:space="preserve">、Creon)：(110/1/1) </w:t>
      </w:r>
    </w:p>
    <w:p w:rsidR="007F2590" w:rsidRDefault="00DF7A0F">
      <w:pPr>
        <w:spacing w:line="400" w:lineRule="exact"/>
        <w:ind w:left="850" w:hanging="262"/>
        <w:rPr>
          <w:rFonts w:ascii="標楷體" w:eastAsia="標楷體" w:hAnsi="標楷體"/>
          <w:color w:val="000000"/>
        </w:rPr>
      </w:pPr>
      <w:r>
        <w:rPr>
          <w:rFonts w:ascii="標楷體" w:eastAsia="標楷體" w:hAnsi="標楷體"/>
          <w:color w:val="000000"/>
        </w:rPr>
        <w:t>1.適用因疾病所導致之胰液分泌不全：</w:t>
      </w:r>
      <w:proofErr w:type="gramStart"/>
      <w:r>
        <w:rPr>
          <w:rFonts w:ascii="標楷體" w:eastAsia="標楷體" w:hAnsi="標楷體"/>
          <w:color w:val="000000"/>
        </w:rPr>
        <w:t>如囊狀性</w:t>
      </w:r>
      <w:proofErr w:type="gramEnd"/>
      <w:r>
        <w:rPr>
          <w:rFonts w:ascii="標楷體" w:eastAsia="標楷體" w:hAnsi="標楷體"/>
          <w:color w:val="000000"/>
        </w:rPr>
        <w:t>纖維化疾病、慢性胰臟炎、胰臟切除手術、胃腸繞道手術，或其他因腫瘤引發之胰管膽管阻塞之情形。</w:t>
      </w:r>
    </w:p>
    <w:p w:rsidR="007F2590" w:rsidRDefault="00DF7A0F">
      <w:pPr>
        <w:spacing w:line="400" w:lineRule="exact"/>
        <w:ind w:left="1077" w:hanging="499"/>
        <w:rPr>
          <w:rFonts w:ascii="標楷體" w:eastAsia="標楷體" w:hAnsi="標楷體"/>
          <w:color w:val="000000"/>
        </w:rPr>
      </w:pPr>
      <w:r>
        <w:rPr>
          <w:rFonts w:ascii="標楷體" w:eastAsia="標楷體" w:hAnsi="標楷體"/>
          <w:color w:val="000000"/>
        </w:rPr>
        <w:lastRenderedPageBreak/>
        <w:t>2.申報費用時應檢附病歷資料及相關檢驗（查）報告：</w:t>
      </w:r>
    </w:p>
    <w:p w:rsidR="007F2590" w:rsidRDefault="00DF7A0F">
      <w:pPr>
        <w:spacing w:line="400" w:lineRule="exact"/>
        <w:ind w:left="1274" w:hanging="499"/>
        <w:rPr>
          <w:rFonts w:ascii="標楷體" w:eastAsia="標楷體" w:hAnsi="標楷體"/>
          <w:color w:val="000000"/>
        </w:rPr>
      </w:pPr>
      <w:r>
        <w:rPr>
          <w:rFonts w:ascii="標楷體" w:eastAsia="標楷體" w:hAnsi="標楷體"/>
          <w:color w:val="000000"/>
        </w:rPr>
        <w:t>(1)胰液分泌不全之疾病。</w:t>
      </w:r>
    </w:p>
    <w:p w:rsidR="007F2590" w:rsidRDefault="00DF7A0F">
      <w:pPr>
        <w:spacing w:line="400" w:lineRule="exact"/>
        <w:ind w:left="1274" w:hanging="499"/>
        <w:rPr>
          <w:rFonts w:ascii="標楷體" w:eastAsia="標楷體" w:hAnsi="標楷體"/>
          <w:color w:val="000000"/>
        </w:rPr>
      </w:pPr>
      <w:r>
        <w:rPr>
          <w:rFonts w:ascii="標楷體" w:eastAsia="標楷體" w:hAnsi="標楷體"/>
          <w:color w:val="000000"/>
        </w:rPr>
        <w:t>(2)有營養不良或脂肪</w:t>
      </w:r>
      <w:proofErr w:type="gramStart"/>
      <w:r>
        <w:rPr>
          <w:rFonts w:ascii="標楷體" w:eastAsia="標楷體" w:hAnsi="標楷體"/>
          <w:color w:val="000000"/>
        </w:rPr>
        <w:t>痢</w:t>
      </w:r>
      <w:proofErr w:type="gramEnd"/>
      <w:r>
        <w:rPr>
          <w:rFonts w:ascii="標楷體" w:eastAsia="標楷體" w:hAnsi="標楷體"/>
          <w:color w:val="000000"/>
        </w:rPr>
        <w:t>便之記載。</w:t>
      </w:r>
    </w:p>
    <w:p w:rsidR="007F2590" w:rsidRDefault="00DF7A0F">
      <w:pPr>
        <w:spacing w:line="400" w:lineRule="exact"/>
        <w:ind w:left="1092" w:hanging="499"/>
        <w:rPr>
          <w:rFonts w:ascii="標楷體" w:eastAsia="標楷體" w:hAnsi="標楷體"/>
          <w:color w:val="000000"/>
        </w:rPr>
      </w:pPr>
      <w:r>
        <w:rPr>
          <w:rFonts w:ascii="標楷體" w:eastAsia="標楷體" w:hAnsi="標楷體"/>
          <w:color w:val="000000"/>
        </w:rPr>
        <w:t>3.功能性腸胃炎不得</w:t>
      </w:r>
      <w:proofErr w:type="gramStart"/>
      <w:r>
        <w:rPr>
          <w:rFonts w:ascii="標楷體" w:eastAsia="標楷體" w:hAnsi="標楷體"/>
          <w:color w:val="000000"/>
        </w:rPr>
        <w:t>使用本類藥品</w:t>
      </w:r>
      <w:proofErr w:type="gramEnd"/>
      <w:r>
        <w:rPr>
          <w:rFonts w:ascii="標楷體" w:eastAsia="標楷體" w:hAnsi="標楷體"/>
          <w:color w:val="000000"/>
        </w:rPr>
        <w:t>。</w:t>
      </w:r>
    </w:p>
    <w:p w:rsidR="007F2590" w:rsidRDefault="00DF7A0F">
      <w:pPr>
        <w:spacing w:line="400" w:lineRule="exact"/>
        <w:ind w:left="608" w:hanging="282"/>
        <w:rPr>
          <w:rFonts w:ascii="標楷體" w:eastAsia="標楷體" w:hAnsi="標楷體"/>
          <w:szCs w:val="24"/>
        </w:rPr>
      </w:pPr>
      <w:r>
        <w:rPr>
          <w:rFonts w:ascii="標楷體" w:eastAsia="標楷體" w:hAnsi="標楷體"/>
          <w:szCs w:val="24"/>
        </w:rPr>
        <w:t>7.3.7. Dioctahedral smectite</w:t>
      </w:r>
      <w:proofErr w:type="gramStart"/>
      <w:r>
        <w:rPr>
          <w:rFonts w:ascii="標楷體" w:eastAsia="標楷體" w:hAnsi="標楷體"/>
          <w:szCs w:val="24"/>
        </w:rPr>
        <w:t>口服懸液劑</w:t>
      </w:r>
      <w:proofErr w:type="gramEnd"/>
      <w:r>
        <w:rPr>
          <w:rFonts w:ascii="標楷體" w:eastAsia="標楷體" w:hAnsi="標楷體"/>
          <w:szCs w:val="24"/>
        </w:rPr>
        <w:t>(如Smectite oral suspension)：(113/4/1)</w:t>
      </w:r>
    </w:p>
    <w:p w:rsidR="007F2590" w:rsidRDefault="00DF7A0F">
      <w:pPr>
        <w:spacing w:line="400" w:lineRule="exact"/>
        <w:ind w:left="1092" w:hanging="499"/>
        <w:rPr>
          <w:rFonts w:ascii="標楷體" w:eastAsia="標楷體" w:hAnsi="標楷體"/>
          <w:szCs w:val="24"/>
        </w:rPr>
      </w:pPr>
      <w:r>
        <w:rPr>
          <w:rFonts w:ascii="標楷體" w:eastAsia="標楷體" w:hAnsi="標楷體"/>
          <w:szCs w:val="24"/>
        </w:rPr>
        <w:t>限用於2歲以上至未滿18歲兒童。</w:t>
      </w:r>
    </w:p>
    <w:p w:rsidR="00DF7A0F" w:rsidRPr="00DF7A0F" w:rsidRDefault="00DF7A0F" w:rsidP="00DF7A0F">
      <w:pPr>
        <w:spacing w:line="400" w:lineRule="exact"/>
        <w:ind w:left="1134" w:hanging="808"/>
        <w:rPr>
          <w:rFonts w:ascii="標楷體" w:eastAsia="標楷體" w:hAnsi="標楷體"/>
          <w:szCs w:val="24"/>
        </w:rPr>
      </w:pPr>
      <w:r w:rsidRPr="00DF7A0F">
        <w:rPr>
          <w:rFonts w:ascii="標楷體" w:eastAsia="標楷體" w:hAnsi="標楷體"/>
          <w:szCs w:val="24"/>
        </w:rPr>
        <w:t>7.3.8.Teduglutide (如</w:t>
      </w:r>
      <w:proofErr w:type="spellStart"/>
      <w:r w:rsidRPr="00DF7A0F">
        <w:rPr>
          <w:rFonts w:ascii="標楷體" w:eastAsia="標楷體" w:hAnsi="標楷體"/>
          <w:szCs w:val="24"/>
        </w:rPr>
        <w:t>Revestive</w:t>
      </w:r>
      <w:proofErr w:type="spellEnd"/>
      <w:r w:rsidRPr="00DF7A0F">
        <w:rPr>
          <w:rFonts w:ascii="標楷體" w:eastAsia="標楷體" w:hAnsi="標楷體"/>
          <w:szCs w:val="24"/>
        </w:rPr>
        <w:t>)：(114/8/1)</w:t>
      </w:r>
    </w:p>
    <w:p w:rsidR="00DF7A0F" w:rsidRPr="00DF7A0F" w:rsidRDefault="00DF7A0F" w:rsidP="00E65DD7">
      <w:pPr>
        <w:spacing w:line="400" w:lineRule="exact"/>
        <w:ind w:left="879" w:hanging="284"/>
        <w:rPr>
          <w:rFonts w:ascii="標楷體" w:eastAsia="標楷體" w:hAnsi="標楷體"/>
          <w:szCs w:val="24"/>
        </w:rPr>
      </w:pPr>
      <w:r w:rsidRPr="00DF7A0F">
        <w:rPr>
          <w:rFonts w:ascii="標楷體" w:eastAsia="標楷體" w:hAnsi="標楷體"/>
          <w:szCs w:val="24"/>
        </w:rPr>
        <w:t>1.限用於1歲以上18歲以下</w:t>
      </w:r>
      <w:proofErr w:type="gramStart"/>
      <w:r w:rsidRPr="00DF7A0F">
        <w:rPr>
          <w:rFonts w:ascii="標楷體" w:eastAsia="標楷體" w:hAnsi="標楷體"/>
          <w:szCs w:val="24"/>
        </w:rPr>
        <w:t>患有短腸症</w:t>
      </w:r>
      <w:proofErr w:type="gramEnd"/>
      <w:r w:rsidRPr="00DF7A0F">
        <w:rPr>
          <w:rFonts w:ascii="標楷體" w:eastAsia="標楷體" w:hAnsi="標楷體"/>
          <w:szCs w:val="24"/>
        </w:rPr>
        <w:t>，且依賴靜脈營養的兒童病人，應完全符合下列條件：</w:t>
      </w:r>
      <w:bookmarkStart w:id="0" w:name="_GoBack"/>
      <w:bookmarkEnd w:id="0"/>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(1)處於腸道手術適應期後之穩定狀態(6個月內無腸胃道手術)。</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(2)須排除以下任</w:t>
      </w:r>
      <w:proofErr w:type="gramStart"/>
      <w:r w:rsidRPr="00DF7A0F">
        <w:rPr>
          <w:rFonts w:ascii="標楷體" w:eastAsia="標楷體" w:hAnsi="標楷體"/>
          <w:szCs w:val="24"/>
        </w:rPr>
        <w:t>一</w:t>
      </w:r>
      <w:proofErr w:type="gramEnd"/>
      <w:r w:rsidRPr="00DF7A0F">
        <w:rPr>
          <w:rFonts w:ascii="標楷體" w:eastAsia="標楷體" w:hAnsi="標楷體"/>
          <w:szCs w:val="24"/>
        </w:rPr>
        <w:t>情形：</w:t>
      </w:r>
    </w:p>
    <w:p w:rsidR="00DF7A0F" w:rsidRPr="00DF7A0F" w:rsidRDefault="00DF7A0F" w:rsidP="00DF7A0F">
      <w:pPr>
        <w:numPr>
          <w:ilvl w:val="0"/>
          <w:numId w:val="3"/>
        </w:numPr>
        <w:spacing w:line="400" w:lineRule="exact"/>
        <w:rPr>
          <w:rFonts w:ascii="標楷體" w:eastAsia="標楷體" w:hAnsi="標楷體"/>
          <w:szCs w:val="24"/>
        </w:rPr>
      </w:pPr>
      <w:r w:rsidRPr="00DF7A0F">
        <w:rPr>
          <w:rFonts w:ascii="標楷體" w:eastAsia="標楷體" w:hAnsi="標楷體"/>
          <w:szCs w:val="24"/>
        </w:rPr>
        <w:t>腸阻塞或腸道狹窄。</w:t>
      </w:r>
    </w:p>
    <w:p w:rsidR="00DF7A0F" w:rsidRPr="00DF7A0F" w:rsidRDefault="00DF7A0F" w:rsidP="00DF7A0F">
      <w:pPr>
        <w:numPr>
          <w:ilvl w:val="0"/>
          <w:numId w:val="3"/>
        </w:numPr>
        <w:spacing w:line="400" w:lineRule="exact"/>
        <w:rPr>
          <w:rFonts w:ascii="標楷體" w:eastAsia="標楷體" w:hAnsi="標楷體"/>
          <w:szCs w:val="24"/>
        </w:rPr>
      </w:pPr>
      <w:r w:rsidRPr="00DF7A0F">
        <w:rPr>
          <w:rFonts w:ascii="標楷體" w:eastAsia="標楷體" w:hAnsi="標楷體"/>
          <w:szCs w:val="24"/>
        </w:rPr>
        <w:t>最近5年內有胃腸道惡性腫瘤</w:t>
      </w:r>
      <w:proofErr w:type="gramStart"/>
      <w:r w:rsidRPr="00DF7A0F">
        <w:rPr>
          <w:rFonts w:ascii="標楷體" w:eastAsia="標楷體" w:hAnsi="標楷體"/>
          <w:szCs w:val="24"/>
        </w:rPr>
        <w:t>病史或活動性</w:t>
      </w:r>
      <w:proofErr w:type="gramEnd"/>
      <w:r w:rsidRPr="00DF7A0F">
        <w:rPr>
          <w:rFonts w:ascii="標楷體" w:eastAsia="標楷體" w:hAnsi="標楷體"/>
          <w:szCs w:val="24"/>
        </w:rPr>
        <w:t>惡性腫瘤。</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2.需經事前審查核准後使用。</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3.初次使用條件需符合以下各項條件：</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(1)依賴靜脈</w:t>
      </w:r>
      <w:proofErr w:type="gramStart"/>
      <w:r w:rsidRPr="00DF7A0F">
        <w:rPr>
          <w:rFonts w:ascii="標楷體" w:eastAsia="標楷體" w:hAnsi="標楷體"/>
          <w:szCs w:val="24"/>
        </w:rPr>
        <w:t>營養輸注達</w:t>
      </w:r>
      <w:proofErr w:type="gramEnd"/>
      <w:r w:rsidRPr="00DF7A0F">
        <w:rPr>
          <w:rFonts w:ascii="標楷體" w:eastAsia="標楷體" w:hAnsi="標楷體"/>
          <w:szCs w:val="24"/>
        </w:rPr>
        <w:t>持續12個月以上。</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(2)在過去4</w:t>
      </w:r>
      <w:proofErr w:type="gramStart"/>
      <w:r w:rsidRPr="00DF7A0F">
        <w:rPr>
          <w:rFonts w:ascii="標楷體" w:eastAsia="標楷體" w:hAnsi="標楷體"/>
          <w:szCs w:val="24"/>
        </w:rPr>
        <w:t>週</w:t>
      </w:r>
      <w:proofErr w:type="gramEnd"/>
      <w:r w:rsidRPr="00DF7A0F">
        <w:rPr>
          <w:rFonts w:ascii="標楷體" w:eastAsia="標楷體" w:hAnsi="標楷體"/>
          <w:szCs w:val="24"/>
        </w:rPr>
        <w:t>中，超過30%的熱量或液體/電解質需求依賴</w:t>
      </w:r>
      <w:proofErr w:type="gramStart"/>
      <w:r w:rsidRPr="00DF7A0F">
        <w:rPr>
          <w:rFonts w:ascii="標楷體" w:eastAsia="標楷體" w:hAnsi="標楷體"/>
          <w:szCs w:val="24"/>
        </w:rPr>
        <w:t>靜脈輸</w:t>
      </w:r>
      <w:proofErr w:type="gramEnd"/>
      <w:r w:rsidRPr="00DF7A0F">
        <w:rPr>
          <w:rFonts w:ascii="標楷體" w:eastAsia="標楷體" w:hAnsi="標楷體"/>
          <w:szCs w:val="24"/>
        </w:rPr>
        <w:t>注。</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4.續用申請條件：</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(1)應定期追蹤評估治療效果，每次門診時應記錄靜脈營養及輸液使用量。</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(2)初次治療6個月後評估治療反應，相較於初次治療前之基期，應降低依賴靜脈營養輸液量之總量達20%以上者，方可再申請6個月。</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5.停用條件：</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(1)經藥物治療後，每6個月評估一次靜脈</w:t>
      </w:r>
      <w:proofErr w:type="gramStart"/>
      <w:r w:rsidRPr="00DF7A0F">
        <w:rPr>
          <w:rFonts w:ascii="標楷體" w:eastAsia="標楷體" w:hAnsi="標楷體"/>
          <w:szCs w:val="24"/>
        </w:rPr>
        <w:t>營養輸注時</w:t>
      </w:r>
      <w:proofErr w:type="gramEnd"/>
      <w:r w:rsidRPr="00DF7A0F">
        <w:rPr>
          <w:rFonts w:ascii="標楷體" w:eastAsia="標楷體" w:hAnsi="標楷體"/>
          <w:szCs w:val="24"/>
        </w:rPr>
        <w:t>，相較於初次治療前之基期，減少依賴靜脈營養輸液量之總量未達20%以上者，應予以停用。</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(2)經藥物治療6個月以上，於治療期滿評估時，已完全脫離靜脈支持療法，達到腸道自主，連續達1個月以上者，應予以停用。</w:t>
      </w:r>
    </w:p>
    <w:p w:rsidR="00DF7A0F" w:rsidRPr="00DF7A0F" w:rsidRDefault="00DF7A0F" w:rsidP="00DF7A0F">
      <w:pPr>
        <w:spacing w:line="400" w:lineRule="exact"/>
        <w:ind w:left="1092" w:hanging="499"/>
        <w:rPr>
          <w:rFonts w:ascii="標楷體" w:eastAsia="標楷體" w:hAnsi="標楷體"/>
          <w:szCs w:val="24"/>
        </w:rPr>
      </w:pPr>
      <w:r w:rsidRPr="00DF7A0F">
        <w:rPr>
          <w:rFonts w:ascii="標楷體" w:eastAsia="標楷體" w:hAnsi="標楷體"/>
          <w:szCs w:val="24"/>
        </w:rPr>
        <w:t>6.每位病人限給付2年。</w:t>
      </w:r>
    </w:p>
    <w:sectPr w:rsidR="00DF7A0F" w:rsidRPr="00DF7A0F">
      <w:footerReference w:type="default" r:id="rId7"/>
      <w:pgSz w:w="11906" w:h="16838"/>
      <w:pgMar w:top="1134" w:right="1134" w:bottom="1134" w:left="1134" w:header="851" w:footer="992" w:gutter="0"/>
      <w:pgNumType w:start="1"/>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277" w:rsidRDefault="00DF7A0F">
      <w:r>
        <w:separator/>
      </w:r>
    </w:p>
  </w:endnote>
  <w:endnote w:type="continuationSeparator" w:id="0">
    <w:p w:rsidR="00862277" w:rsidRDefault="00DF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016" w:rsidRDefault="00DF7A0F">
    <w:pPr>
      <w:pStyle w:val="a5"/>
      <w:jc w:val="center"/>
    </w:pPr>
    <w:r>
      <w:rPr>
        <w:rFonts w:ascii="標楷體" w:eastAsia="標楷體" w:hAnsi="標楷體"/>
      </w:rPr>
      <w:t>第7節-</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p>
  <w:p w:rsidR="00CA4016" w:rsidRDefault="00E65D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277" w:rsidRDefault="00DF7A0F">
      <w:r>
        <w:rPr>
          <w:color w:val="000000"/>
        </w:rPr>
        <w:separator/>
      </w:r>
    </w:p>
  </w:footnote>
  <w:footnote w:type="continuationSeparator" w:id="0">
    <w:p w:rsidR="00862277" w:rsidRDefault="00DF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47F2"/>
    <w:multiLevelType w:val="multilevel"/>
    <w:tmpl w:val="3FA8904A"/>
    <w:lvl w:ilvl="0">
      <w:start w:val="1"/>
      <w:numFmt w:val="upperRoman"/>
      <w:lvlText w:val="%1."/>
      <w:lvlJc w:val="left"/>
      <w:pPr>
        <w:ind w:left="1181" w:hanging="480"/>
      </w:pPr>
      <w:rPr>
        <w:u w:val="none"/>
      </w:rPr>
    </w:lvl>
    <w:lvl w:ilvl="1">
      <w:start w:val="1"/>
      <w:numFmt w:val="ideographTraditional"/>
      <w:lvlText w:val="%2、"/>
      <w:lvlJc w:val="left"/>
      <w:pPr>
        <w:ind w:left="1661" w:hanging="480"/>
      </w:pPr>
    </w:lvl>
    <w:lvl w:ilvl="2">
      <w:start w:val="1"/>
      <w:numFmt w:val="lowerRoman"/>
      <w:lvlText w:val="%3."/>
      <w:lvlJc w:val="right"/>
      <w:pPr>
        <w:ind w:left="2141" w:hanging="480"/>
      </w:pPr>
    </w:lvl>
    <w:lvl w:ilvl="3">
      <w:start w:val="1"/>
      <w:numFmt w:val="decimal"/>
      <w:lvlText w:val="%4."/>
      <w:lvlJc w:val="left"/>
      <w:pPr>
        <w:ind w:left="2621" w:hanging="480"/>
      </w:pPr>
    </w:lvl>
    <w:lvl w:ilvl="4">
      <w:start w:val="1"/>
      <w:numFmt w:val="ideographTraditional"/>
      <w:lvlText w:val="%5、"/>
      <w:lvlJc w:val="left"/>
      <w:pPr>
        <w:ind w:left="3101" w:hanging="480"/>
      </w:pPr>
    </w:lvl>
    <w:lvl w:ilvl="5">
      <w:start w:val="1"/>
      <w:numFmt w:val="lowerRoman"/>
      <w:lvlText w:val="%6."/>
      <w:lvlJc w:val="right"/>
      <w:pPr>
        <w:ind w:left="3581" w:hanging="480"/>
      </w:pPr>
    </w:lvl>
    <w:lvl w:ilvl="6">
      <w:start w:val="1"/>
      <w:numFmt w:val="decimal"/>
      <w:lvlText w:val="%7."/>
      <w:lvlJc w:val="left"/>
      <w:pPr>
        <w:ind w:left="4061" w:hanging="480"/>
      </w:pPr>
    </w:lvl>
    <w:lvl w:ilvl="7">
      <w:start w:val="1"/>
      <w:numFmt w:val="ideographTraditional"/>
      <w:lvlText w:val="%8、"/>
      <w:lvlJc w:val="left"/>
      <w:pPr>
        <w:ind w:left="4541" w:hanging="480"/>
      </w:pPr>
    </w:lvl>
    <w:lvl w:ilvl="8">
      <w:start w:val="1"/>
      <w:numFmt w:val="lowerRoman"/>
      <w:lvlText w:val="%9."/>
      <w:lvlJc w:val="right"/>
      <w:pPr>
        <w:ind w:left="5021" w:hanging="480"/>
      </w:pPr>
    </w:lvl>
  </w:abstractNum>
  <w:abstractNum w:abstractNumId="1" w15:restartNumberingAfterBreak="0">
    <w:nsid w:val="237906D3"/>
    <w:multiLevelType w:val="multilevel"/>
    <w:tmpl w:val="F13C1F70"/>
    <w:lvl w:ilvl="0">
      <w:start w:val="1"/>
      <w:numFmt w:val="decimal"/>
      <w:lvlText w:val="(%1)"/>
      <w:lvlJc w:val="left"/>
      <w:pPr>
        <w:ind w:left="1930" w:hanging="480"/>
      </w:pPr>
    </w:lvl>
    <w:lvl w:ilvl="1">
      <w:start w:val="1"/>
      <w:numFmt w:val="ideographTraditional"/>
      <w:lvlText w:val="%2、"/>
      <w:lvlJc w:val="left"/>
      <w:pPr>
        <w:ind w:left="970" w:hanging="480"/>
      </w:pPr>
    </w:lvl>
    <w:lvl w:ilvl="2">
      <w:start w:val="1"/>
      <w:numFmt w:val="lowerRoman"/>
      <w:lvlText w:val="%3."/>
      <w:lvlJc w:val="right"/>
      <w:pPr>
        <w:ind w:left="970" w:hanging="480"/>
      </w:pPr>
    </w:lvl>
    <w:lvl w:ilvl="3">
      <w:start w:val="1"/>
      <w:numFmt w:val="decimal"/>
      <w:lvlText w:val="%4."/>
      <w:lvlJc w:val="left"/>
      <w:pPr>
        <w:ind w:left="1445" w:hanging="480"/>
      </w:pPr>
    </w:lvl>
    <w:lvl w:ilvl="4">
      <w:start w:val="1"/>
      <w:numFmt w:val="ideographTraditional"/>
      <w:lvlText w:val="%5、"/>
      <w:lvlJc w:val="left"/>
      <w:pPr>
        <w:ind w:left="1925" w:hanging="480"/>
      </w:pPr>
    </w:lvl>
    <w:lvl w:ilvl="5">
      <w:start w:val="1"/>
      <w:numFmt w:val="lowerRoman"/>
      <w:lvlText w:val="%6."/>
      <w:lvlJc w:val="right"/>
      <w:pPr>
        <w:ind w:left="2405" w:hanging="480"/>
      </w:pPr>
    </w:lvl>
    <w:lvl w:ilvl="6">
      <w:start w:val="1"/>
      <w:numFmt w:val="decimal"/>
      <w:lvlText w:val="%7."/>
      <w:lvlJc w:val="left"/>
      <w:pPr>
        <w:ind w:left="2885" w:hanging="480"/>
      </w:pPr>
    </w:lvl>
    <w:lvl w:ilvl="7">
      <w:start w:val="1"/>
      <w:numFmt w:val="ideographTraditional"/>
      <w:lvlText w:val="%8、"/>
      <w:lvlJc w:val="left"/>
      <w:pPr>
        <w:ind w:left="3365" w:hanging="480"/>
      </w:pPr>
    </w:lvl>
    <w:lvl w:ilvl="8">
      <w:start w:val="1"/>
      <w:numFmt w:val="lowerRoman"/>
      <w:lvlText w:val="%9."/>
      <w:lvlJc w:val="right"/>
      <w:pPr>
        <w:ind w:left="3845" w:hanging="480"/>
      </w:pPr>
    </w:lvl>
  </w:abstractNum>
  <w:abstractNum w:abstractNumId="2" w15:restartNumberingAfterBreak="0">
    <w:nsid w:val="455C0DFF"/>
    <w:multiLevelType w:val="multilevel"/>
    <w:tmpl w:val="3E6ACFC8"/>
    <w:styleLink w:val="LFO10"/>
    <w:lvl w:ilvl="0">
      <w:start w:val="1"/>
      <w:numFmt w:val="decimal"/>
      <w:lvlText w:val="%1."/>
      <w:lvlJc w:val="left"/>
      <w:pPr>
        <w:ind w:left="660" w:hanging="30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90"/>
    <w:rsid w:val="002A0CAC"/>
    <w:rsid w:val="00680728"/>
    <w:rsid w:val="007F2590"/>
    <w:rsid w:val="00862277"/>
    <w:rsid w:val="00B15599"/>
    <w:rsid w:val="00DF7A0F"/>
    <w:rsid w:val="00E65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728DA-0810-4460-8C33-6B199252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line="360" w:lineRule="exact"/>
      <w:jc w:val="center"/>
      <w:outlineLvl w:val="0"/>
    </w:pPr>
    <w:rPr>
      <w:rFonts w:ascii="Times New Roman" w:eastAsia="標楷體"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11">
    <w:name w:val="1."/>
    <w:basedOn w:val="a"/>
    <w:pPr>
      <w:spacing w:line="240" w:lineRule="exact"/>
      <w:ind w:left="242" w:hanging="142"/>
    </w:pPr>
    <w:rPr>
      <w:rFonts w:ascii="Times New Roman" w:eastAsia="標楷體" w:hAnsi="Times New Roman"/>
      <w:color w:val="000000"/>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numbering" w:customStyle="1" w:styleId="LFO10">
    <w:name w:val="LFO10"/>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cp:lastModifiedBy>王品姍</cp:lastModifiedBy>
  <cp:revision>6</cp:revision>
  <cp:lastPrinted>2024-07-29T00:58:00Z</cp:lastPrinted>
  <dcterms:created xsi:type="dcterms:W3CDTF">2025-07-21T08:53:00Z</dcterms:created>
  <dcterms:modified xsi:type="dcterms:W3CDTF">2025-07-23T01:48:00Z</dcterms:modified>
</cp:coreProperties>
</file>