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62693" w14:textId="77777777" w:rsidR="007838B6" w:rsidRDefault="00E66A36" w:rsidP="00E66A36">
      <w:pPr>
        <w:pStyle w:val="a2"/>
        <w:suppressAutoHyphens w:val="0"/>
        <w:jc w:val="center"/>
      </w:pPr>
      <w:r>
        <w:rPr>
          <w:rFonts w:ascii="標楷體" w:eastAsia="標楷體" w:hAnsi="標楷體"/>
        </w:rPr>
        <w:t>附表二十六之一全民健康保險克隆氏症使用生物製劑申請表</w:t>
      </w:r>
    </w:p>
    <w:tbl>
      <w:tblPr>
        <w:tblW w:w="978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7"/>
        <w:gridCol w:w="804"/>
        <w:gridCol w:w="511"/>
        <w:gridCol w:w="1030"/>
        <w:gridCol w:w="1403"/>
        <w:gridCol w:w="1596"/>
        <w:gridCol w:w="37"/>
        <w:gridCol w:w="1010"/>
        <w:gridCol w:w="2688"/>
        <w:gridCol w:w="43"/>
      </w:tblGrid>
      <w:tr w:rsidR="007838B6" w14:paraId="75A0E01C" w14:textId="77777777">
        <w:trPr>
          <w:cantSplit/>
          <w:trHeight w:val="376"/>
          <w:jc w:val="center"/>
        </w:trPr>
        <w:tc>
          <w:tcPr>
            <w:tcW w:w="147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8A2B95B" w14:textId="77777777" w:rsidR="007838B6" w:rsidRDefault="00E66A36">
            <w:pPr>
              <w:pStyle w:val="a2"/>
              <w:snapToGrid w:val="0"/>
              <w:spacing w:line="380" w:lineRule="exact"/>
            </w:pPr>
            <w:r>
              <w:rPr>
                <w:rFonts w:ascii="標楷體" w:eastAsia="標楷體" w:hAnsi="標楷體"/>
              </w:rPr>
              <w:t>醫院代號</w:t>
            </w:r>
          </w:p>
        </w:tc>
        <w:tc>
          <w:tcPr>
            <w:tcW w:w="154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BDBC" w14:textId="77777777" w:rsidR="007838B6" w:rsidRDefault="007838B6">
            <w:pPr>
              <w:pStyle w:val="a2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C1CC" w14:textId="77777777" w:rsidR="007838B6" w:rsidRDefault="00E66A36">
            <w:pPr>
              <w:pStyle w:val="a2"/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醫院名稱</w:t>
            </w:r>
          </w:p>
        </w:tc>
        <w:tc>
          <w:tcPr>
            <w:tcW w:w="15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B632F" w14:textId="77777777" w:rsidR="007838B6" w:rsidRDefault="007838B6">
            <w:pPr>
              <w:pStyle w:val="a2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E521" w14:textId="77777777" w:rsidR="007838B6" w:rsidRDefault="00E66A36">
            <w:pPr>
              <w:pStyle w:val="a2"/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26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CBB01C5" w14:textId="77777777" w:rsidR="007838B6" w:rsidRDefault="007838B6">
            <w:pPr>
              <w:pStyle w:val="a2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5D3FDA27" w14:textId="77777777" w:rsidR="007838B6" w:rsidRDefault="007838B6">
            <w:pPr>
              <w:pStyle w:val="a2"/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7838B6" w14:paraId="2E98ACA8" w14:textId="77777777">
        <w:trPr>
          <w:cantSplit/>
          <w:trHeight w:val="332"/>
          <w:jc w:val="center"/>
        </w:trPr>
        <w:tc>
          <w:tcPr>
            <w:tcW w:w="147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7C27920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病人姓名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8A48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B4D7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C56ED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F8C21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BDF9325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4B1CE562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7838B6" w14:paraId="73780678" w14:textId="77777777">
        <w:trPr>
          <w:cantSplit/>
          <w:trHeight w:val="356"/>
          <w:jc w:val="center"/>
        </w:trPr>
        <w:tc>
          <w:tcPr>
            <w:tcW w:w="147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2246A85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740B7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8280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病歷號碼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D300E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9F974D6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使用期間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203F103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　　年　　月　　日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2C41CD91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7838B6" w14:paraId="180693A7" w14:textId="77777777">
        <w:trPr>
          <w:cantSplit/>
          <w:trHeight w:val="337"/>
          <w:jc w:val="center"/>
        </w:trPr>
        <w:tc>
          <w:tcPr>
            <w:tcW w:w="147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E9D1EC8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藥品代碼</w:t>
            </w:r>
          </w:p>
        </w:tc>
        <w:tc>
          <w:tcPr>
            <w:tcW w:w="1541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CB2BBCB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FDB2C1D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用法用量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6385EC8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104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B98D715" w14:textId="77777777" w:rsidR="007838B6" w:rsidRDefault="007838B6"/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17FEB7E" w14:textId="77777777" w:rsidR="007838B6" w:rsidRDefault="00E66A3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　　年　　月　　日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2379F05B" w14:textId="77777777" w:rsidR="007838B6" w:rsidRDefault="007838B6">
            <w:pPr>
              <w:pStyle w:val="a2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7838B6" w14:paraId="12778DC9" w14:textId="77777777">
        <w:trPr>
          <w:trHeight w:val="679"/>
          <w:jc w:val="center"/>
        </w:trPr>
        <w:tc>
          <w:tcPr>
            <w:tcW w:w="9789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left w:w="108" w:type="dxa"/>
              <w:right w:w="108" w:type="dxa"/>
            </w:tcMar>
          </w:tcPr>
          <w:p w14:paraId="4F5B1C4F" w14:textId="77777777" w:rsidR="007838B6" w:rsidRDefault="00E66A36">
            <w:pPr>
              <w:pStyle w:val="a2"/>
              <w:suppressAutoHyphens w:val="0"/>
              <w:spacing w:line="400" w:lineRule="exact"/>
            </w:pPr>
            <w:r>
              <w:rPr>
                <w:rFonts w:ascii="標楷體" w:eastAsia="標楷體" w:hAnsi="標楷體" w:cs="新細明體"/>
                <w:b/>
                <w:bCs/>
              </w:rPr>
              <w:t>□</w:t>
            </w:r>
            <w:r>
              <w:rPr>
                <w:rFonts w:ascii="標楷體" w:eastAsia="標楷體" w:hAnsi="標楷體" w:cs="新細明體"/>
                <w:b/>
                <w:bCs/>
                <w:szCs w:val="17"/>
              </w:rPr>
              <w:t>符合下列所有條件：</w:t>
            </w:r>
          </w:p>
          <w:p w14:paraId="7559F274" w14:textId="77777777" w:rsidR="007838B6" w:rsidRDefault="00E66A36">
            <w:pPr>
              <w:pStyle w:val="a2"/>
              <w:suppressAutoHyphens w:val="0"/>
              <w:spacing w:line="360" w:lineRule="exact"/>
            </w:pPr>
            <w:r>
              <w:rPr>
                <w:rFonts w:ascii="標楷體" w:eastAsia="標楷體" w:hAnsi="標楷體" w:cs="新細明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</w:rPr>
              <w:t>診斷為克隆氏症且領有該症重大傷病卡，有效期限：____年____月至____年____月</w:t>
            </w:r>
          </w:p>
          <w:p w14:paraId="16B735F1" w14:textId="77777777" w:rsidR="007838B6" w:rsidRDefault="00E66A36">
            <w:pPr>
              <w:pStyle w:val="a2"/>
              <w:suppressAutoHyphens w:val="0"/>
              <w:spacing w:line="360" w:lineRule="exact"/>
            </w:pPr>
            <w:r>
              <w:rPr>
                <w:rFonts w:ascii="標楷體" w:eastAsia="標楷體" w:hAnsi="標楷體" w:cs="新細明體"/>
                <w:b/>
                <w:bCs/>
              </w:rPr>
              <w:t xml:space="preserve">    </w:t>
            </w:r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</w:rPr>
              <w:t>符合下列條件之一，且附上影像診斷評估報告。</w:t>
            </w:r>
          </w:p>
          <w:p w14:paraId="0D9D2450" w14:textId="77777777" w:rsidR="007838B6" w:rsidRDefault="00E66A36">
            <w:pPr>
              <w:pStyle w:val="a2"/>
              <w:suppressAutoHyphens w:val="0"/>
              <w:spacing w:line="360" w:lineRule="exact"/>
              <w:ind w:left="1680" w:hanging="1680"/>
            </w:pPr>
            <w:r>
              <w:rPr>
                <w:rFonts w:ascii="標楷體" w:eastAsia="標楷體" w:hAnsi="標楷體" w:cs="新細明體"/>
                <w:bCs/>
              </w:rPr>
              <w:t xml:space="preserve">        □</w:t>
            </w:r>
            <w:r>
              <w:rPr>
                <w:rFonts w:ascii="標楷體" w:eastAsia="標楷體" w:hAnsi="標楷體" w:cs="新細明體"/>
              </w:rPr>
              <w:t>一、經5-aminosalicylic acid藥物、類固醇、及/或免疫抑制劑充分治療超過</w:t>
            </w:r>
            <w:r>
              <w:rPr>
                <w:rFonts w:ascii="標楷體" w:eastAsia="標楷體" w:hAnsi="標楷體"/>
              </w:rPr>
              <w:t>六個月，仍然無法控制病情(CDAI</w:t>
            </w:r>
            <w:r>
              <w:rPr>
                <w:rFonts w:eastAsia="標楷體"/>
                <w:sz w:val="28"/>
                <w:szCs w:val="28"/>
              </w:rPr>
              <w:t>≥</w:t>
            </w:r>
            <w:r>
              <w:rPr>
                <w:rFonts w:ascii="標楷體" w:eastAsia="標楷體" w:hAnsi="標楷體"/>
              </w:rPr>
              <w:t>300)或產生嚴重藥物副作用時，且病況不適合手術者。</w:t>
            </w:r>
          </w:p>
          <w:p w14:paraId="6086C8A8" w14:textId="77777777" w:rsidR="007838B6" w:rsidRDefault="00E66A36">
            <w:pPr>
              <w:pStyle w:val="a2"/>
              <w:suppressAutoHyphens w:val="0"/>
              <w:spacing w:line="360" w:lineRule="exact"/>
              <w:ind w:left="1711"/>
            </w:pPr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</w:rPr>
              <w:t>無法控制病情（CDAI分數：_______）</w:t>
            </w:r>
          </w:p>
          <w:p w14:paraId="2DCCCCB1" w14:textId="77777777" w:rsidR="007838B6" w:rsidRDefault="00E66A36">
            <w:pPr>
              <w:pStyle w:val="a2"/>
              <w:suppressAutoHyphens w:val="0"/>
              <w:spacing w:line="360" w:lineRule="exact"/>
              <w:ind w:left="1711"/>
            </w:pPr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</w:rPr>
              <w:t>產生嚴重藥物副作用：藥名_________________時間__________</w:t>
            </w:r>
          </w:p>
          <w:p w14:paraId="24D57F37" w14:textId="77777777" w:rsidR="007838B6" w:rsidRDefault="00E66A36">
            <w:pPr>
              <w:pStyle w:val="a2"/>
              <w:spacing w:line="360" w:lineRule="exact"/>
              <w:ind w:firstLine="18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副作用說明：___________________________</w:t>
            </w:r>
          </w:p>
          <w:p w14:paraId="2D7E1D73" w14:textId="77777777" w:rsidR="007838B6" w:rsidRDefault="00E66A36">
            <w:pPr>
              <w:pStyle w:val="a2"/>
              <w:suppressAutoHyphens w:val="0"/>
              <w:spacing w:line="360" w:lineRule="exact"/>
              <w:ind w:left="1711"/>
            </w:pPr>
            <w:r>
              <w:rPr>
                <w:rFonts w:ascii="標楷體" w:eastAsia="標楷體" w:hAnsi="標楷體" w:cs="新細明體"/>
                <w:bCs/>
              </w:rPr>
              <w:t>□</w:t>
            </w:r>
            <w:r>
              <w:rPr>
                <w:rFonts w:ascii="標楷體" w:eastAsia="標楷體" w:hAnsi="標楷體" w:cs="新細明體"/>
              </w:rPr>
              <w:t>不適合手術之原因：___________________________________</w:t>
            </w:r>
          </w:p>
          <w:p w14:paraId="5A3C8EA8" w14:textId="77777777" w:rsidR="007838B6" w:rsidRDefault="00E66A36">
            <w:pPr>
              <w:pStyle w:val="a2"/>
              <w:suppressAutoHyphens w:val="0"/>
              <w:spacing w:line="360" w:lineRule="exact"/>
              <w:ind w:left="1680" w:hanging="1680"/>
            </w:pPr>
            <w:r>
              <w:rPr>
                <w:rFonts w:ascii="標楷體" w:eastAsia="標楷體" w:hAnsi="標楷體" w:cs="新細明體"/>
                <w:bCs/>
              </w:rPr>
              <w:t xml:space="preserve">        □</w:t>
            </w:r>
            <w:r>
              <w:rPr>
                <w:rFonts w:ascii="標楷體" w:eastAsia="標楷體" w:hAnsi="標楷體" w:cs="新細明體"/>
              </w:rPr>
              <w:t>二、經5-aminosalicylic acid藥物、類固醇、及免疫抑制劑充分治療超過六個</w:t>
            </w:r>
            <w:r>
              <w:rPr>
                <w:rFonts w:ascii="標楷體" w:eastAsia="標楷體" w:hAnsi="標楷體"/>
              </w:rPr>
              <w:t>月，或外科手術治療，肛門周圍廔管或腹壁廔管仍無法癒合</w:t>
            </w:r>
            <w:r w:rsidRPr="00F11D44">
              <w:rPr>
                <w:rFonts w:ascii="標楷體" w:eastAsia="標楷體" w:hAnsi="標楷體"/>
              </w:rPr>
              <w:t>且CDAI</w:t>
            </w:r>
            <w:r w:rsidRPr="00F11D44">
              <w:rPr>
                <w:rFonts w:eastAsia="標楷體"/>
              </w:rPr>
              <w:t>≥</w:t>
            </w:r>
            <w:r w:rsidRPr="00F11D44">
              <w:rPr>
                <w:rFonts w:ascii="標楷體" w:eastAsia="標楷體" w:hAnsi="標楷體"/>
                <w:color w:val="000000"/>
              </w:rPr>
              <w:t>100</w:t>
            </w:r>
            <w:r>
              <w:rPr>
                <w:rFonts w:ascii="標楷體" w:eastAsia="標楷體" w:hAnsi="標楷體"/>
              </w:rPr>
              <w:t>者。</w:t>
            </w:r>
          </w:p>
          <w:p w14:paraId="6039A09D" w14:textId="77777777" w:rsidR="007838B6" w:rsidRDefault="00E66A36">
            <w:pPr>
              <w:pStyle w:val="a2"/>
              <w:spacing w:line="360" w:lineRule="exact"/>
              <w:ind w:left="164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廔管無法癒合（CDAI分數：______），自___年___月起</w:t>
            </w:r>
          </w:p>
          <w:p w14:paraId="1DD3A238" w14:textId="77777777" w:rsidR="007838B6" w:rsidRDefault="00E66A36">
            <w:pPr>
              <w:pStyle w:val="a2"/>
              <w:suppressAutoHyphens w:val="0"/>
              <w:spacing w:line="360" w:lineRule="exact"/>
              <w:ind w:left="1680" w:hanging="1680"/>
            </w:pPr>
            <w:r>
              <w:rPr>
                <w:rFonts w:ascii="標楷體" w:eastAsia="標楷體" w:hAnsi="標楷體" w:cs="新細明體"/>
                <w:bCs/>
              </w:rPr>
              <w:t xml:space="preserve">        □</w:t>
            </w:r>
            <w:r>
              <w:rPr>
                <w:rFonts w:ascii="標楷體" w:eastAsia="標楷體" w:hAnsi="標楷體" w:cs="新細明體"/>
              </w:rPr>
              <w:t>三、經5-aminosalicylic acid 藥物如、類固醇、及免疫抑制劑充分治療，仍於</w:t>
            </w:r>
          </w:p>
          <w:p w14:paraId="5B03097F" w14:textId="77777777" w:rsidR="007838B6" w:rsidRDefault="00E66A36">
            <w:pPr>
              <w:pStyle w:val="a2"/>
              <w:spacing w:line="360" w:lineRule="exact"/>
              <w:ind w:left="797" w:firstLine="770"/>
            </w:pPr>
            <w:r>
              <w:rPr>
                <w:rFonts w:ascii="標楷體" w:eastAsia="標楷體" w:hAnsi="標楷體"/>
              </w:rPr>
              <w:t>一年內因克隆氏症之併發症接受二次(含)以上之手術治療且</w:t>
            </w:r>
            <w:r w:rsidRPr="00F11D44">
              <w:rPr>
                <w:rFonts w:ascii="標楷體" w:eastAsia="標楷體" w:hAnsi="標楷體"/>
              </w:rPr>
              <w:t>CDAI</w:t>
            </w:r>
            <w:r w:rsidRPr="00F11D44">
              <w:rPr>
                <w:rFonts w:eastAsia="標楷體"/>
              </w:rPr>
              <w:t>≥</w:t>
            </w:r>
            <w:r w:rsidRPr="00F11D44">
              <w:rPr>
                <w:rFonts w:ascii="標楷體" w:eastAsia="標楷體" w:hAnsi="標楷體"/>
                <w:color w:val="000000"/>
              </w:rPr>
              <w:t>100</w:t>
            </w:r>
            <w:r w:rsidRPr="00F11D44">
              <w:rPr>
                <w:rFonts w:ascii="標楷體" w:eastAsia="標楷體" w:hAnsi="標楷體"/>
              </w:rPr>
              <w:t>者。</w:t>
            </w:r>
          </w:p>
          <w:p w14:paraId="1E902E19" w14:textId="77777777" w:rsidR="007838B6" w:rsidRDefault="00E66A36">
            <w:pPr>
              <w:pStyle w:val="a2"/>
              <w:suppressAutoHyphens w:val="0"/>
              <w:spacing w:line="360" w:lineRule="exact"/>
              <w:ind w:left="1920" w:hanging="1920"/>
            </w:pPr>
            <w:r>
              <w:rPr>
                <w:rFonts w:ascii="標楷體" w:eastAsia="標楷體" w:hAnsi="標楷體" w:cs="新細明體"/>
                <w:bCs/>
              </w:rPr>
              <w:t xml:space="preserve">             □</w:t>
            </w:r>
            <w:r>
              <w:rPr>
                <w:rFonts w:ascii="標楷體" w:eastAsia="標楷體" w:hAnsi="標楷體" w:cs="新細明體"/>
              </w:rPr>
              <w:t>一年內因克隆氏症併發症接受二次(含)以上之手術_____年_____月與_____年_____月</w:t>
            </w:r>
          </w:p>
          <w:p w14:paraId="1C452A35" w14:textId="77777777" w:rsidR="007838B6" w:rsidRDefault="00E66A36">
            <w:pPr>
              <w:pStyle w:val="a2"/>
              <w:spacing w:before="180" w:after="0" w:line="400" w:lineRule="exact"/>
            </w:pPr>
            <w:r>
              <w:rPr>
                <w:rFonts w:ascii="標楷體" w:eastAsia="標楷體" w:hAnsi="標楷體" w:cs="新細明體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  <w:szCs w:val="17"/>
              </w:rPr>
              <w:t>符合繼續使用之療效評估：</w:t>
            </w:r>
          </w:p>
          <w:p w14:paraId="247104C7" w14:textId="77777777" w:rsidR="007838B6" w:rsidRDefault="00E66A36">
            <w:pPr>
              <w:pStyle w:val="a2"/>
              <w:spacing w:line="360" w:lineRule="exact"/>
              <w:ind w:left="799" w:hanging="427"/>
            </w:pPr>
            <w:r>
              <w:rPr>
                <w:rFonts w:ascii="標楷體" w:eastAsia="標楷體" w:hAnsi="標楷體"/>
                <w:b/>
                <w:bCs/>
                <w:szCs w:val="17"/>
              </w:rPr>
              <w:t>□</w:t>
            </w:r>
            <w:r>
              <w:rPr>
                <w:rFonts w:ascii="標楷體" w:eastAsia="標楷體" w:hAnsi="標楷體"/>
              </w:rPr>
              <w:t>初次使用者：adalimumab、或infliximab、或vedolizumab或risankizumab治療第三劑後、或ustekinumab治療第一劑後，達到有效緩解或部份有效緩解之誘導，誘導緩解失敗者，得提出申請轉換他類生物製劑，然同一療程不得合併使用。</w:t>
            </w:r>
          </w:p>
          <w:p w14:paraId="1ED111C0" w14:textId="77777777" w:rsidR="007838B6" w:rsidRDefault="00E66A36">
            <w:pPr>
              <w:pStyle w:val="a2"/>
              <w:spacing w:line="360" w:lineRule="exact"/>
              <w:ind w:left="797"/>
            </w:pPr>
            <w:r>
              <w:rPr>
                <w:rFonts w:ascii="標楷體" w:eastAsia="標楷體" w:hAnsi="標楷體"/>
                <w:b/>
                <w:bCs/>
                <w:color w:val="000000"/>
                <w:szCs w:val="17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達到有效緩解之誘導（CDAI&lt;150或廔管痊癒）</w:t>
            </w:r>
          </w:p>
          <w:p w14:paraId="55A2A2DA" w14:textId="77777777" w:rsidR="007838B6" w:rsidRDefault="00E66A36">
            <w:pPr>
              <w:pStyle w:val="a2"/>
              <w:spacing w:line="360" w:lineRule="exact"/>
              <w:ind w:left="1222" w:hanging="425"/>
            </w:pPr>
            <w:r>
              <w:rPr>
                <w:rFonts w:ascii="標楷體" w:eastAsia="標楷體" w:hAnsi="標楷體"/>
                <w:b/>
                <w:bCs/>
                <w:color w:val="000000"/>
                <w:szCs w:val="17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達到部份有效緩解之誘導（CDAI分數下降</w:t>
            </w:r>
            <w:r>
              <w:rPr>
                <w:rFonts w:eastAsia="標楷體"/>
                <w:color w:val="000000"/>
                <w:sz w:val="28"/>
                <w:szCs w:val="28"/>
              </w:rPr>
              <w:t>≥</w:t>
            </w:r>
            <w:r>
              <w:rPr>
                <w:rFonts w:ascii="標楷體" w:eastAsia="標楷體" w:hAnsi="標楷體"/>
                <w:color w:val="000000"/>
              </w:rPr>
              <w:t>100或廔管數量減少）</w:t>
            </w:r>
          </w:p>
          <w:p w14:paraId="5B4E768F" w14:textId="77777777" w:rsidR="007838B6" w:rsidRDefault="00E66A36">
            <w:pPr>
              <w:pStyle w:val="a2"/>
              <w:spacing w:line="360" w:lineRule="exact"/>
              <w:ind w:left="1222" w:hanging="425"/>
            </w:pPr>
            <w:r>
              <w:rPr>
                <w:rFonts w:ascii="標楷體" w:eastAsia="標楷體" w:hAnsi="標楷體"/>
                <w:b/>
                <w:bCs/>
                <w:color w:val="000000"/>
                <w:szCs w:val="17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緩解誘導之使用期間：____年_____月至_____年_____月</w:t>
            </w:r>
          </w:p>
          <w:p w14:paraId="6C274555" w14:textId="7DA38B64" w:rsidR="007838B6" w:rsidRDefault="00E66A36">
            <w:pPr>
              <w:pStyle w:val="a2"/>
              <w:spacing w:line="360" w:lineRule="exact"/>
              <w:ind w:left="742" w:hanging="372"/>
            </w:pPr>
            <w:r>
              <w:rPr>
                <w:rFonts w:ascii="標楷體" w:eastAsia="標楷體" w:hAnsi="標楷體"/>
                <w:b/>
                <w:bCs/>
                <w:color w:val="000000"/>
                <w:szCs w:val="17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繼續使用者：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adalimumab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需每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24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12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；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infliximab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需每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16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2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或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24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3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；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vedolizumab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需每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16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2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或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24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3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評估一次；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ustekinumab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需每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24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2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劑或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3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。評估仍維持前一次療程有效或部份有效緩解時之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CDAI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分數，方得提出申請續用。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ustekinumab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治療達到部分有效緩解者，經消化系專科醫師評估後，得申請繼續使用，以每隔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8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週給予皮下注射維持劑量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90mg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399BB19C" w14:textId="58C9CA87" w:rsidR="007838B6" w:rsidRDefault="00E66A36">
            <w:pPr>
              <w:pStyle w:val="a2"/>
              <w:spacing w:line="360" w:lineRule="exact"/>
              <w:ind w:left="742" w:hanging="372"/>
              <w:rPr>
                <w:rFonts w:hint="eastAsia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Cs w:val="17"/>
              </w:rPr>
              <w:lastRenderedPageBreak/>
              <w:t>□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adalimumab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治療期滿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54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28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；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infliximab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治療期滿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46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8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 ; vedolizumab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治療期滿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46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8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；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ustekinumab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治療期滿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44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5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或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48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週使用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7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劑，再提出續用者，必須距離前次生物製劑治療結束間隔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3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個月以上，且因病情復發或以其他治療難以控制達規定之標準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(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惟其中經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5-aminosalicylic acid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藥物、類固醇、及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/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或免疫抑制劑充分治療，連續超過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3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個月</w:t>
            </w:r>
            <w:r w:rsidR="0070464C" w:rsidRPr="0070464C">
              <w:rPr>
                <w:rFonts w:ascii="標楷體" w:eastAsia="標楷體" w:hAnsi="標楷體"/>
                <w:color w:val="000000"/>
              </w:rPr>
              <w:t>)</w:t>
            </w:r>
            <w:r w:rsidR="0070464C" w:rsidRPr="0070464C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14:paraId="24F97E85" w14:textId="77777777" w:rsidR="007838B6" w:rsidRDefault="00E66A36">
            <w:pPr>
              <w:pStyle w:val="a2"/>
              <w:suppressAutoHyphens w:val="0"/>
              <w:spacing w:line="360" w:lineRule="exact"/>
              <w:ind w:left="743" w:hanging="374"/>
            </w:pPr>
            <w:r>
              <w:rPr>
                <w:rFonts w:ascii="標楷體" w:eastAsia="標楷體" w:hAnsi="標楷體" w:cs="新細明體"/>
                <w:b/>
                <w:bCs/>
              </w:rPr>
              <w:t>□</w:t>
            </w:r>
            <w:r>
              <w:rPr>
                <w:rFonts w:ascii="標楷體" w:eastAsia="標楷體" w:hAnsi="標楷體" w:cs="新細明體"/>
                <w:color w:val="000000"/>
              </w:rPr>
              <w:t>連續兩次因療程結束暫緩用藥而疾病復發(CDAI</w:t>
            </w:r>
            <w:r>
              <w:rPr>
                <w:rFonts w:eastAsia="標楷體" w:cs="新細明體"/>
                <w:color w:val="000000"/>
              </w:rPr>
              <w:t>≥</w:t>
            </w:r>
            <w:r>
              <w:rPr>
                <w:rFonts w:ascii="標楷體" w:eastAsia="標楷體" w:hAnsi="標楷體" w:cs="新細明體"/>
                <w:color w:val="000000"/>
              </w:rPr>
              <w:t>300)，且第二次復發於藥效終止後3個月內發生，則可持續使用，惟需每24週提出續用事前審查。仍維持前一療程有效或部分有效緩解之CDAI分數，才可繼續申請續用。連續2年(4次評估)達到CDAI&lt;150，則應考慮停藥。</w:t>
            </w:r>
          </w:p>
        </w:tc>
      </w:tr>
      <w:tr w:rsidR="007838B6" w14:paraId="140CB15F" w14:textId="77777777">
        <w:trPr>
          <w:cantSplit/>
          <w:trHeight w:val="281"/>
          <w:jc w:val="center"/>
        </w:trPr>
        <w:tc>
          <w:tcPr>
            <w:tcW w:w="9746" w:type="dxa"/>
            <w:gridSpan w:val="9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0F8706DA" w14:textId="34F06E09" w:rsidR="007838B6" w:rsidRDefault="00D379B6">
            <w:pPr>
              <w:pStyle w:val="a2"/>
              <w:spacing w:before="180" w:after="0"/>
              <w:ind w:left="120"/>
            </w:pPr>
            <w:r w:rsidRPr="00D379B6">
              <w:rPr>
                <w:rFonts w:ascii="標楷體" w:eastAsia="標楷體" w:hAnsi="標楷體" w:hint="eastAsia"/>
                <w:b/>
              </w:rPr>
              <w:lastRenderedPageBreak/>
              <w:t>□</w:t>
            </w:r>
            <w:bookmarkStart w:id="0" w:name="_GoBack"/>
            <w:bookmarkEnd w:id="0"/>
            <w:r w:rsidRPr="00D379B6">
              <w:rPr>
                <w:rFonts w:ascii="標楷體" w:eastAsia="標楷體" w:hAnsi="標楷體" w:hint="eastAsia"/>
                <w:b/>
                <w:bCs/>
                <w:szCs w:val="17"/>
              </w:rPr>
              <w:t>符合「須排除或停止生物製劑使用之情形」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4A1EA0D4" w14:textId="77777777" w:rsidR="007838B6" w:rsidRDefault="007838B6">
            <w:pPr>
              <w:pStyle w:val="a2"/>
              <w:spacing w:before="180" w:after="0"/>
              <w:ind w:left="120"/>
            </w:pPr>
          </w:p>
        </w:tc>
      </w:tr>
      <w:tr w:rsidR="007838B6" w14:paraId="1D565FB4" w14:textId="77777777">
        <w:trPr>
          <w:cantSplit/>
          <w:trHeight w:val="400"/>
          <w:jc w:val="center"/>
        </w:trPr>
        <w:tc>
          <w:tcPr>
            <w:tcW w:w="66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45FD4082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0A182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  <w:p w14:paraId="7060A960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74ECE12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是否有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/>
              </w:rPr>
              <w:softHyphen/>
              <w:t>_____________仿單記載之禁忌情形。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35446EAB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838B6" w14:paraId="2278B57F" w14:textId="77777777">
        <w:trPr>
          <w:cantSplit/>
          <w:trHeight w:val="400"/>
          <w:jc w:val="center"/>
        </w:trPr>
        <w:tc>
          <w:tcPr>
            <w:tcW w:w="66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15A23E1B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550C0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  <w:p w14:paraId="74679F67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65B2176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婦女是否正在懷孕或授乳。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311F8D33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838B6" w14:paraId="45688C90" w14:textId="77777777">
        <w:trPr>
          <w:cantSplit/>
          <w:trHeight w:val="400"/>
          <w:jc w:val="center"/>
        </w:trPr>
        <w:tc>
          <w:tcPr>
            <w:tcW w:w="66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0BD7860F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E9469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  <w:p w14:paraId="09D06B5F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BB3CC38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病患是否有活動性感染症。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5BAE365E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838B6" w14:paraId="244D3305" w14:textId="77777777">
        <w:trPr>
          <w:cantSplit/>
          <w:trHeight w:val="400"/>
          <w:jc w:val="center"/>
        </w:trPr>
        <w:tc>
          <w:tcPr>
            <w:tcW w:w="66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56E5570A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8F599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  <w:p w14:paraId="0502B5B1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5401093D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未經完整治療之結核病的病患（包括潛伏結核感染治療未達四週者，申請時應檢附潛伏結核感染篩檢紀錄及治療紀錄供審查）。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46CC3D01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838B6" w14:paraId="42FFB71D" w14:textId="77777777">
        <w:trPr>
          <w:cantSplit/>
          <w:trHeight w:val="400"/>
          <w:jc w:val="center"/>
        </w:trPr>
        <w:tc>
          <w:tcPr>
            <w:tcW w:w="66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40AB109F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97A60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  <w:p w14:paraId="69C8B42D" w14:textId="77777777" w:rsidR="007838B6" w:rsidRDefault="007838B6">
            <w:pPr>
              <w:pStyle w:val="a2"/>
              <w:ind w:left="92"/>
              <w:textAlignment w:val="center"/>
              <w:rPr>
                <w:rFonts w:ascii="標楷體" w:eastAsia="標楷體" w:hAnsi="標楷體"/>
              </w:rPr>
            </w:pPr>
          </w:p>
          <w:p w14:paraId="53B51390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64BC66C2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病患是否具有高度感染機會之情形，其中包括：</w:t>
            </w:r>
          </w:p>
          <w:p w14:paraId="2ABF0C73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1.慢性腿部潰瘍。</w:t>
            </w:r>
          </w:p>
          <w:p w14:paraId="7E4D67CC" w14:textId="77777777" w:rsidR="007838B6" w:rsidRDefault="00E66A36">
            <w:pPr>
              <w:pStyle w:val="a2"/>
              <w:ind w:left="240" w:hanging="24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2.具有留置導尿管或身上有引流管之情形。</w:t>
            </w:r>
          </w:p>
          <w:p w14:paraId="7A93FD02" w14:textId="77777777" w:rsidR="007838B6" w:rsidRDefault="00E66A36">
            <w:pPr>
              <w:pStyle w:val="a2"/>
              <w:ind w:left="240" w:hanging="24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3.人工關節感染，該人工關節尚未摘除。</w:t>
            </w:r>
          </w:p>
          <w:p w14:paraId="1A5E3854" w14:textId="77777777" w:rsidR="007838B6" w:rsidRDefault="00E66A36">
            <w:pPr>
              <w:pStyle w:val="a2"/>
              <w:ind w:left="240" w:hanging="240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4.頑固性或復發性的胸腔感染疾病。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2BA3B912" w14:textId="77777777" w:rsidR="007838B6" w:rsidRDefault="007838B6">
            <w:pPr>
              <w:pStyle w:val="a2"/>
              <w:ind w:left="240" w:hanging="240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838B6" w14:paraId="577C4F72" w14:textId="77777777">
        <w:trPr>
          <w:cantSplit/>
          <w:trHeight w:val="400"/>
          <w:jc w:val="center"/>
        </w:trPr>
        <w:tc>
          <w:tcPr>
            <w:tcW w:w="66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6720A9A0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85403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  <w:p w14:paraId="1F5BDEB8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227BF46A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病患是否罹患惡性腫瘤或具有癌症前兆(pre-malignancy)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085C497F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838B6" w14:paraId="0B12862A" w14:textId="77777777">
        <w:trPr>
          <w:cantSplit/>
          <w:trHeight w:val="400"/>
          <w:jc w:val="center"/>
        </w:trPr>
        <w:tc>
          <w:tcPr>
            <w:tcW w:w="66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vAlign w:val="center"/>
          </w:tcPr>
          <w:p w14:paraId="5700BF19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0177E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  <w:p w14:paraId="48822ED0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454ACCEF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病患是否罹患多發性硬化症(multiple sclerosis)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61A4D1D3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838B6" w14:paraId="74E294E4" w14:textId="77777777">
        <w:trPr>
          <w:cantSplit/>
          <w:trHeight w:val="400"/>
          <w:jc w:val="center"/>
        </w:trPr>
        <w:tc>
          <w:tcPr>
            <w:tcW w:w="66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 w14:paraId="60B1AC0F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1B229B23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  <w:p w14:paraId="19A63F78" w14:textId="77777777" w:rsidR="007838B6" w:rsidRDefault="00E66A36">
            <w:pPr>
              <w:pStyle w:val="a2"/>
              <w:numPr>
                <w:ilvl w:val="0"/>
                <w:numId w:val="6"/>
              </w:numPr>
              <w:tabs>
                <w:tab w:val="left" w:pos="425"/>
              </w:tabs>
              <w:suppressAutoHyphens w:val="0"/>
              <w:ind w:left="425" w:hanging="333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64" w:type="dxa"/>
            <w:gridSpan w:val="6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19DDA973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使用____________發生懷孕或不良事件(包括：惡性腫瘤、該藥物引起的嚴重毒性、嚴重的感染性疾病)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67BA65DC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</w:tr>
      <w:tr w:rsidR="007838B6" w14:paraId="5729673B" w14:textId="77777777">
        <w:trPr>
          <w:cantSplit/>
          <w:trHeight w:val="1766"/>
          <w:jc w:val="center"/>
        </w:trPr>
        <w:tc>
          <w:tcPr>
            <w:tcW w:w="6048" w:type="dxa"/>
            <w:gridSpan w:val="7"/>
          </w:tcPr>
          <w:p w14:paraId="3376E537" w14:textId="77777777" w:rsidR="007838B6" w:rsidRDefault="00E66A36">
            <w:pPr>
              <w:pStyle w:val="a2"/>
              <w:textAlignment w:val="center"/>
            </w:pPr>
            <w:r>
              <w:rPr>
                <w:rFonts w:ascii="標楷體" w:eastAsia="標楷體" w:hAnsi="標楷體"/>
              </w:rPr>
              <w:t>申請醫師（簽名蓋章）：______________</w:t>
            </w:r>
            <w:r>
              <w:rPr>
                <w:rFonts w:ascii="標楷體" w:eastAsia="標楷體" w:hAnsi="標楷體"/>
                <w:u w:val="single"/>
              </w:rPr>
              <w:t xml:space="preserve">　　　　　　　</w:t>
            </w:r>
          </w:p>
          <w:p w14:paraId="73444884" w14:textId="77777777" w:rsidR="007838B6" w:rsidRDefault="00E66A36">
            <w:pPr>
              <w:pStyle w:val="a2"/>
              <w:textAlignment w:val="center"/>
            </w:pPr>
            <w:r>
              <w:rPr>
                <w:rFonts w:ascii="標楷體" w:eastAsia="標楷體" w:hAnsi="標楷體"/>
              </w:rPr>
              <w:t>消化系專科醫師證書：______________</w:t>
            </w:r>
            <w:r>
              <w:rPr>
                <w:rFonts w:ascii="標楷體" w:eastAsia="標楷體" w:hAnsi="標楷體"/>
                <w:u w:val="single"/>
              </w:rPr>
              <w:t xml:space="preserve">　　　　　　</w:t>
            </w:r>
          </w:p>
          <w:p w14:paraId="1D9EF27B" w14:textId="77777777" w:rsidR="007838B6" w:rsidRDefault="007838B6">
            <w:pPr>
              <w:pStyle w:val="a2"/>
              <w:tabs>
                <w:tab w:val="left" w:pos="2912"/>
              </w:tabs>
              <w:textAlignment w:val="center"/>
              <w:rPr>
                <w:rFonts w:ascii="標楷體" w:eastAsia="標楷體" w:hAnsi="標楷體"/>
                <w:u w:val="single"/>
              </w:rPr>
            </w:pPr>
          </w:p>
          <w:p w14:paraId="75C91C57" w14:textId="77777777" w:rsidR="007838B6" w:rsidRDefault="007838B6">
            <w:pPr>
              <w:pStyle w:val="a2"/>
              <w:tabs>
                <w:tab w:val="left" w:pos="2912"/>
              </w:tabs>
              <w:textAlignment w:val="center"/>
              <w:rPr>
                <w:rFonts w:ascii="標楷體" w:eastAsia="標楷體" w:hAnsi="標楷體"/>
                <w:u w:val="single"/>
              </w:rPr>
            </w:pPr>
          </w:p>
          <w:p w14:paraId="3F5136A2" w14:textId="77777777" w:rsidR="007838B6" w:rsidRDefault="007838B6">
            <w:pPr>
              <w:pStyle w:val="a2"/>
              <w:tabs>
                <w:tab w:val="left" w:pos="2912"/>
              </w:tabs>
              <w:textAlignment w:val="center"/>
              <w:rPr>
                <w:rFonts w:ascii="標楷體" w:eastAsia="標楷體" w:hAnsi="標楷體"/>
                <w:u w:val="single"/>
              </w:rPr>
            </w:pPr>
          </w:p>
          <w:p w14:paraId="29A9B69A" w14:textId="77777777" w:rsidR="007838B6" w:rsidRDefault="007838B6">
            <w:pPr>
              <w:pStyle w:val="a2"/>
              <w:tabs>
                <w:tab w:val="left" w:pos="2912"/>
              </w:tabs>
              <w:textAlignment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698" w:type="dxa"/>
            <w:gridSpan w:val="2"/>
          </w:tcPr>
          <w:p w14:paraId="6ECEEBF0" w14:textId="77777777" w:rsidR="007838B6" w:rsidRDefault="00E66A36">
            <w:pPr>
              <w:pStyle w:val="a2"/>
              <w:textAlignment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醫事機構章戳：</w:t>
            </w:r>
          </w:p>
        </w:tc>
        <w:tc>
          <w:tcPr>
            <w:tcW w:w="43" w:type="dxa"/>
            <w:tcMar>
              <w:left w:w="10" w:type="dxa"/>
              <w:right w:w="10" w:type="dxa"/>
            </w:tcMar>
          </w:tcPr>
          <w:p w14:paraId="133E46A8" w14:textId="77777777" w:rsidR="007838B6" w:rsidRDefault="007838B6">
            <w:pPr>
              <w:pStyle w:val="a2"/>
              <w:textAlignment w:val="center"/>
              <w:rPr>
                <w:rFonts w:ascii="標楷體" w:eastAsia="標楷體" w:hAnsi="標楷體"/>
              </w:rPr>
            </w:pPr>
          </w:p>
        </w:tc>
      </w:tr>
    </w:tbl>
    <w:p w14:paraId="6A6A3838" w14:textId="77777777" w:rsidR="007838B6" w:rsidRDefault="007838B6">
      <w:pPr>
        <w:pStyle w:val="a2"/>
        <w:suppressAutoHyphens w:val="0"/>
        <w:rPr>
          <w:rFonts w:ascii="標楷體" w:eastAsia="標楷體" w:hAnsi="標楷體"/>
          <w:color w:val="000000"/>
        </w:rPr>
      </w:pPr>
    </w:p>
    <w:sectPr w:rsidR="007838B6">
      <w:footerReference w:type="default" r:id="rId7"/>
      <w:pgSz w:w="11907" w:h="16840"/>
      <w:pgMar w:top="720" w:right="1106" w:bottom="851" w:left="1247" w:header="0" w:footer="72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A4B2" w14:textId="77777777" w:rsidR="00DE723B" w:rsidRDefault="00E66A36">
      <w:r>
        <w:separator/>
      </w:r>
    </w:p>
  </w:endnote>
  <w:endnote w:type="continuationSeparator" w:id="0">
    <w:p w14:paraId="30526F0A" w14:textId="77777777" w:rsidR="00DE723B" w:rsidRDefault="00E6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Liberation Sans"/>
    <w:panose1 w:val="020B0604020202020204"/>
    <w:charset w:val="88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004D7" w14:textId="77777777" w:rsidR="007838B6" w:rsidRDefault="00E66A36">
    <w:pPr>
      <w:pStyle w:val="16"/>
      <w:jc w:val="center"/>
    </w:pPr>
    <w:r>
      <w:rPr>
        <w:rStyle w:val="11"/>
        <w:lang w:val="zh-TW"/>
      </w:rPr>
      <w:fldChar w:fldCharType="begin"/>
    </w:r>
    <w:r>
      <w:rPr>
        <w:rStyle w:val="11"/>
        <w:lang w:val="zh-TW"/>
      </w:rPr>
      <w:instrText xml:space="preserve"> PAGE </w:instrText>
    </w:r>
    <w:r>
      <w:rPr>
        <w:rStyle w:val="11"/>
        <w:lang w:val="zh-TW"/>
      </w:rPr>
      <w:fldChar w:fldCharType="separate"/>
    </w:r>
    <w:r>
      <w:rPr>
        <w:rStyle w:val="11"/>
        <w:lang w:val="zh-TW"/>
      </w:rPr>
      <w:t>4</w:t>
    </w:r>
    <w:r>
      <w:rPr>
        <w:rStyle w:val="11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6B70D" w14:textId="77777777" w:rsidR="00DE723B" w:rsidRDefault="00E66A36">
      <w:r>
        <w:separator/>
      </w:r>
    </w:p>
  </w:footnote>
  <w:footnote w:type="continuationSeparator" w:id="0">
    <w:p w14:paraId="166F5A7C" w14:textId="77777777" w:rsidR="00DE723B" w:rsidRDefault="00E6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1A37"/>
    <w:multiLevelType w:val="multilevel"/>
    <w:tmpl w:val="B6707CF0"/>
    <w:lvl w:ilvl="0">
      <w:start w:val="1"/>
      <w:numFmt w:val="bullet"/>
      <w:pStyle w:val="3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867947"/>
    <w:multiLevelType w:val="multilevel"/>
    <w:tmpl w:val="DF02D28C"/>
    <w:lvl w:ilvl="0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097A3D"/>
    <w:multiLevelType w:val="multilevel"/>
    <w:tmpl w:val="9D704412"/>
    <w:lvl w:ilvl="0">
      <w:start w:val="1"/>
      <w:numFmt w:val="decimal"/>
      <w:pStyle w:val="a"/>
      <w:lvlText w:val="（%1）"/>
      <w:lvlJc w:val="left"/>
      <w:pPr>
        <w:tabs>
          <w:tab w:val="num" w:pos="0"/>
        </w:tabs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" w15:restartNumberingAfterBreak="0">
    <w:nsid w:val="44EE2889"/>
    <w:multiLevelType w:val="multilevel"/>
    <w:tmpl w:val="B05AF29E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660" w:hanging="3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80" w:hanging="480"/>
      </w:pPr>
      <w:rPr>
        <w:rFonts w:ascii="標楷體" w:eastAsia="標楷體" w:hAnsi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80" w:hanging="480"/>
      </w:pPr>
    </w:lvl>
  </w:abstractNum>
  <w:abstractNum w:abstractNumId="4" w15:restartNumberingAfterBreak="0">
    <w:nsid w:val="61E318A9"/>
    <w:multiLevelType w:val="multilevel"/>
    <w:tmpl w:val="A5CADCB8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F4F787B"/>
    <w:multiLevelType w:val="multilevel"/>
    <w:tmpl w:val="D3AE7790"/>
    <w:lvl w:ilvl="0">
      <w:start w:val="1"/>
      <w:numFmt w:val="decimal"/>
      <w:pStyle w:val="05cm752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B6"/>
    <w:rsid w:val="0070464C"/>
    <w:rsid w:val="007838B6"/>
    <w:rsid w:val="00CC72E1"/>
    <w:rsid w:val="00D379B6"/>
    <w:rsid w:val="00DE723B"/>
    <w:rsid w:val="00E66A36"/>
    <w:rsid w:val="00F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1A05D"/>
  <w15:docId w15:val="{B35C7F23-03C9-468C-A97C-E45BF1FE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textAlignment w:val="auto"/>
    </w:pPr>
    <w:rPr>
      <w:rFonts w:ascii="Times New Roman" w:eastAsia="新細明體;PMingLiU" w:hAnsi="Times New Roman"/>
    </w:rPr>
  </w:style>
  <w:style w:type="paragraph" w:styleId="1">
    <w:name w:val="heading 1"/>
    <w:basedOn w:val="a1"/>
    <w:next w:val="a2"/>
    <w:uiPriority w:val="9"/>
    <w:qFormat/>
    <w:pPr>
      <w:keepNext/>
      <w:numPr>
        <w:numId w:val="1"/>
      </w:numPr>
      <w:suppressAutoHyphens/>
      <w:spacing w:line="360" w:lineRule="exact"/>
      <w:jc w:val="center"/>
      <w:outlineLvl w:val="0"/>
    </w:pPr>
    <w:rPr>
      <w:rFonts w:eastAsia="標楷體"/>
      <w:b/>
      <w:bCs/>
      <w:sz w:val="32"/>
      <w:szCs w:val="32"/>
    </w:rPr>
  </w:style>
  <w:style w:type="paragraph" w:styleId="2">
    <w:name w:val="heading 2"/>
    <w:basedOn w:val="a1"/>
    <w:next w:val="a2"/>
    <w:uiPriority w:val="9"/>
    <w:semiHidden/>
    <w:unhideWhenUsed/>
    <w:qFormat/>
    <w:pPr>
      <w:numPr>
        <w:ilvl w:val="1"/>
        <w:numId w:val="1"/>
      </w:numPr>
      <w:suppressAutoHyphens/>
      <w:snapToGrid w:val="0"/>
      <w:spacing w:line="400" w:lineRule="exact"/>
      <w:jc w:val="center"/>
      <w:outlineLvl w:val="1"/>
    </w:pPr>
    <w:rPr>
      <w:rFonts w:ascii="標楷體" w:eastAsia="標楷體" w:hAnsi="標楷體"/>
      <w:b/>
      <w:sz w:val="32"/>
      <w:szCs w:val="32"/>
    </w:rPr>
  </w:style>
  <w:style w:type="paragraph" w:styleId="5">
    <w:name w:val="heading 5"/>
    <w:basedOn w:val="a1"/>
    <w:next w:val="a2"/>
    <w:uiPriority w:val="9"/>
    <w:semiHidden/>
    <w:unhideWhenUsed/>
    <w:qFormat/>
    <w:pPr>
      <w:keepNext/>
      <w:numPr>
        <w:ilvl w:val="4"/>
        <w:numId w:val="1"/>
      </w:numPr>
      <w:suppressAutoHyphens/>
      <w:autoSpaceDE w:val="0"/>
      <w:outlineLvl w:val="4"/>
    </w:pPr>
    <w:rPr>
      <w:b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頁首 字元"/>
    <w:qFormat/>
    <w:rPr>
      <w:kern w:val="2"/>
    </w:rPr>
  </w:style>
  <w:style w:type="character" w:customStyle="1" w:styleId="a7">
    <w:name w:val="頁尾 字元"/>
    <w:qFormat/>
    <w:rPr>
      <w:kern w:val="2"/>
    </w:rPr>
  </w:style>
  <w:style w:type="character" w:customStyle="1" w:styleId="10">
    <w:name w:val="標題 1 字元"/>
    <w:qFormat/>
    <w:rPr>
      <w:rFonts w:ascii="Times New Roman" w:eastAsia="標楷體" w:hAnsi="Times New Roman"/>
      <w:b/>
      <w:bCs/>
      <w:kern w:val="2"/>
      <w:sz w:val="32"/>
      <w:szCs w:val="32"/>
    </w:rPr>
  </w:style>
  <w:style w:type="character" w:customStyle="1" w:styleId="a8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本文 字元"/>
    <w:qFormat/>
    <w:rPr>
      <w:rFonts w:ascii="Times New Roman" w:hAnsi="Times New Roman"/>
      <w:kern w:val="2"/>
      <w:sz w:val="24"/>
      <w:szCs w:val="24"/>
    </w:rPr>
  </w:style>
  <w:style w:type="character" w:styleId="aa">
    <w:name w:val="page number"/>
    <w:basedOn w:val="a3"/>
  </w:style>
  <w:style w:type="character" w:customStyle="1" w:styleId="50">
    <w:name w:val="標題 5 字元"/>
    <w:qFormat/>
    <w:rPr>
      <w:rFonts w:ascii="Times New Roman" w:hAnsi="Times New Roman"/>
      <w:b/>
      <w:kern w:val="2"/>
      <w:sz w:val="28"/>
    </w:rPr>
  </w:style>
  <w:style w:type="character" w:customStyle="1" w:styleId="ab">
    <w:name w:val="日期 字元"/>
    <w:basedOn w:val="a3"/>
    <w:qFormat/>
    <w:rPr>
      <w:kern w:val="2"/>
      <w:sz w:val="24"/>
      <w:szCs w:val="22"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20">
    <w:name w:val="標題 2 字元"/>
    <w:basedOn w:val="a3"/>
    <w:qFormat/>
    <w:rPr>
      <w:rFonts w:ascii="標楷體" w:eastAsia="標楷體" w:hAnsi="標楷體"/>
      <w:b/>
      <w:kern w:val="2"/>
      <w:sz w:val="32"/>
      <w:szCs w:val="32"/>
    </w:rPr>
  </w:style>
  <w:style w:type="character" w:customStyle="1" w:styleId="11">
    <w:name w:val="預設段落字型1"/>
    <w:qFormat/>
  </w:style>
  <w:style w:type="character" w:customStyle="1" w:styleId="ad">
    <w:name w:val="清單段落 字元"/>
    <w:qFormat/>
    <w:rPr>
      <w:kern w:val="2"/>
      <w:sz w:val="24"/>
      <w:szCs w:val="22"/>
    </w:rPr>
  </w:style>
  <w:style w:type="character" w:customStyle="1" w:styleId="ae">
    <w:name w:val="註解文字 字元"/>
    <w:basedOn w:val="a3"/>
    <w:qFormat/>
    <w:rPr>
      <w:kern w:val="2"/>
      <w:sz w:val="24"/>
      <w:szCs w:val="22"/>
    </w:rPr>
  </w:style>
  <w:style w:type="character" w:customStyle="1" w:styleId="af">
    <w:name w:val="註解主旨 字元"/>
    <w:basedOn w:val="ae"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WWCharLFO3LVL1">
    <w:name w:val="WW_CharLFO3LVL1"/>
    <w:qFormat/>
    <w:rPr>
      <w:rFonts w:ascii="標楷體" w:eastAsia="標楷體" w:hAnsi="標楷體"/>
      <w:kern w:val="2"/>
      <w:sz w:val="32"/>
    </w:rPr>
  </w:style>
  <w:style w:type="character" w:customStyle="1" w:styleId="WWCharLFO3LVL2">
    <w:name w:val="WW_CharLFO3LVL2"/>
    <w:qFormat/>
    <w:rPr>
      <w:strike w:val="0"/>
      <w:dstrike w:val="0"/>
      <w:color w:val="000000"/>
    </w:rPr>
  </w:style>
  <w:style w:type="character" w:customStyle="1" w:styleId="WWCharLFO3LVL3">
    <w:name w:val="WW_CharLFO3LVL3"/>
    <w:qFormat/>
    <w:rPr>
      <w:rFonts w:ascii="標楷體" w:eastAsia="標楷體" w:hAnsi="標楷體" w:cs="Times New Roman"/>
    </w:rPr>
  </w:style>
  <w:style w:type="character" w:customStyle="1" w:styleId="WWCharLFO4LVL1">
    <w:name w:val="WW_CharLFO4LVL1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標楷體" w:eastAsia="標楷體" w:hAnsi="標楷體"/>
      <w:sz w:val="28"/>
      <w:szCs w:val="28"/>
    </w:rPr>
  </w:style>
  <w:style w:type="character" w:customStyle="1" w:styleId="WWCharLFO6LVL1">
    <w:name w:val="WW_CharLFO6LVL1"/>
    <w:qFormat/>
    <w:rPr>
      <w:lang w:val="en-US"/>
    </w:rPr>
  </w:style>
  <w:style w:type="character" w:customStyle="1" w:styleId="WWCharLFO8LVL1">
    <w:name w:val="WW_CharLFO8LVL1"/>
    <w:qFormat/>
    <w:rPr>
      <w:rFonts w:ascii="Wingdings" w:hAnsi="Wingdings" w:cs="Wingdings"/>
      <w:sz w:val="24"/>
      <w:szCs w:val="24"/>
    </w:rPr>
  </w:style>
  <w:style w:type="paragraph" w:styleId="af0">
    <w:name w:val="Title"/>
    <w:basedOn w:val="a1"/>
    <w:next w:val="a2"/>
    <w:uiPriority w:val="10"/>
    <w:qFormat/>
    <w:pPr>
      <w:keepNext/>
      <w:suppressAutoHyphens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2">
    <w:name w:val="Body Text"/>
    <w:basedOn w:val="a1"/>
    <w:qFormat/>
    <w:pPr>
      <w:suppressAutoHyphens/>
      <w:spacing w:after="120"/>
    </w:pPr>
    <w:rPr>
      <w:szCs w:val="24"/>
    </w:rPr>
  </w:style>
  <w:style w:type="paragraph" w:customStyle="1" w:styleId="af1">
    <w:name w:val="頁首與頁尾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1"/>
    <w:pPr>
      <w:tabs>
        <w:tab w:val="center" w:pos="4153"/>
        <w:tab w:val="right" w:pos="8306"/>
      </w:tabs>
      <w:suppressAutoHyphens/>
      <w:snapToGrid w:val="0"/>
    </w:pPr>
  </w:style>
  <w:style w:type="paragraph" w:styleId="af3">
    <w:name w:val="footer"/>
    <w:basedOn w:val="a1"/>
    <w:pPr>
      <w:tabs>
        <w:tab w:val="center" w:pos="4153"/>
        <w:tab w:val="right" w:pos="8306"/>
      </w:tabs>
      <w:suppressAutoHyphens/>
      <w:snapToGrid w:val="0"/>
    </w:pPr>
  </w:style>
  <w:style w:type="paragraph" w:styleId="Web">
    <w:name w:val="Normal (Web)"/>
    <w:basedOn w:val="a1"/>
    <w:qFormat/>
    <w:pPr>
      <w:suppressAutoHyphens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2">
    <w:name w:val="1."/>
    <w:basedOn w:val="a1"/>
    <w:qFormat/>
    <w:pPr>
      <w:suppressAutoHyphens/>
      <w:spacing w:line="240" w:lineRule="exact"/>
      <w:ind w:left="242" w:hanging="142"/>
    </w:pPr>
    <w:rPr>
      <w:rFonts w:eastAsia="標楷體"/>
      <w:color w:val="000000"/>
    </w:rPr>
  </w:style>
  <w:style w:type="paragraph" w:styleId="af4">
    <w:name w:val="Balloon Text"/>
    <w:basedOn w:val="a1"/>
    <w:qFormat/>
    <w:pPr>
      <w:suppressAutoHyphens/>
    </w:pPr>
    <w:rPr>
      <w:rFonts w:ascii="Cambria" w:hAnsi="Cambria"/>
      <w:sz w:val="18"/>
      <w:szCs w:val="18"/>
    </w:rPr>
  </w:style>
  <w:style w:type="paragraph" w:customStyle="1" w:styleId="af5">
    <w:name w:val="段落"/>
    <w:basedOn w:val="a1"/>
    <w:qFormat/>
    <w:pPr>
      <w:suppressAutoHyphens/>
      <w:spacing w:before="50" w:after="50" w:line="240" w:lineRule="exact"/>
      <w:ind w:left="100" w:hanging="100"/>
    </w:pPr>
    <w:rPr>
      <w:rFonts w:ascii="標楷體" w:eastAsia="標楷體" w:hAnsi="標楷體" w:cs="標楷體"/>
      <w:color w:val="000000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Arial Black" w:hAnsi="Arial Black"/>
      <w:color w:val="000000"/>
      <w:sz w:val="24"/>
      <w:szCs w:val="24"/>
    </w:rPr>
  </w:style>
  <w:style w:type="paragraph" w:customStyle="1" w:styleId="13">
    <w:name w:val="(1)"/>
    <w:basedOn w:val="a1"/>
    <w:qFormat/>
    <w:pPr>
      <w:suppressAutoHyphens/>
      <w:spacing w:before="120" w:line="380" w:lineRule="exact"/>
      <w:ind w:left="958" w:hanging="357"/>
    </w:pPr>
    <w:rPr>
      <w:rFonts w:ascii="標楷體" w:eastAsia="標楷體" w:hAnsi="標楷體"/>
      <w:sz w:val="28"/>
    </w:rPr>
  </w:style>
  <w:style w:type="paragraph" w:styleId="af6">
    <w:name w:val="List Paragraph"/>
    <w:basedOn w:val="a1"/>
    <w:qFormat/>
    <w:pPr>
      <w:suppressAutoHyphens/>
      <w:ind w:left="480"/>
    </w:pPr>
  </w:style>
  <w:style w:type="paragraph" w:customStyle="1" w:styleId="14">
    <w:name w:val="清單段落1"/>
    <w:basedOn w:val="a1"/>
    <w:qFormat/>
    <w:pPr>
      <w:suppressAutoHyphens/>
      <w:ind w:left="480"/>
    </w:pPr>
  </w:style>
  <w:style w:type="paragraph" w:styleId="3">
    <w:name w:val="List Bullet 3"/>
    <w:basedOn w:val="a1"/>
    <w:autoRedefine/>
    <w:qFormat/>
    <w:pPr>
      <w:numPr>
        <w:numId w:val="2"/>
      </w:numPr>
      <w:tabs>
        <w:tab w:val="left" w:pos="22680"/>
      </w:tabs>
      <w:suppressAutoHyphens/>
    </w:pPr>
  </w:style>
  <w:style w:type="paragraph" w:customStyle="1" w:styleId="a0">
    <w:name w:val="a."/>
    <w:basedOn w:val="a1"/>
    <w:qFormat/>
    <w:pPr>
      <w:numPr>
        <w:numId w:val="3"/>
      </w:numPr>
      <w:suppressAutoHyphens/>
      <w:spacing w:line="52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styleId="af7">
    <w:name w:val="Date"/>
    <w:basedOn w:val="a1"/>
    <w:next w:val="a2"/>
    <w:qFormat/>
    <w:pPr>
      <w:jc w:val="right"/>
    </w:pPr>
  </w:style>
  <w:style w:type="paragraph" w:styleId="af8">
    <w:name w:val="No Spacing"/>
    <w:qFormat/>
    <w:pPr>
      <w:widowControl w:val="0"/>
      <w:suppressAutoHyphens/>
    </w:pPr>
    <w:rPr>
      <w:kern w:val="2"/>
      <w:sz w:val="24"/>
      <w:szCs w:val="22"/>
    </w:rPr>
  </w:style>
  <w:style w:type="paragraph" w:customStyle="1" w:styleId="15">
    <w:name w:val="內文1"/>
    <w:qFormat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customStyle="1" w:styleId="16">
    <w:name w:val="頁尾1"/>
    <w:basedOn w:val="15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msonormal0">
    <w:name w:val="msonormal"/>
    <w:basedOn w:val="a1"/>
    <w:qFormat/>
    <w:pPr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styleId="af9">
    <w:name w:val="annotation text"/>
    <w:basedOn w:val="a1"/>
    <w:qFormat/>
    <w:pPr>
      <w:suppressAutoHyphens/>
    </w:pPr>
  </w:style>
  <w:style w:type="paragraph" w:styleId="afa">
    <w:name w:val="annotation subject"/>
    <w:basedOn w:val="af9"/>
    <w:next w:val="af9"/>
    <w:qFormat/>
    <w:rPr>
      <w:b/>
      <w:bCs/>
      <w:szCs w:val="24"/>
    </w:rPr>
  </w:style>
  <w:style w:type="paragraph" w:customStyle="1" w:styleId="a">
    <w:name w:val="結(一）"/>
    <w:basedOn w:val="a1"/>
    <w:qFormat/>
    <w:pPr>
      <w:numPr>
        <w:numId w:val="4"/>
      </w:numPr>
      <w:tabs>
        <w:tab w:val="left" w:pos="-5993"/>
        <w:tab w:val="left" w:pos="-5940"/>
      </w:tabs>
      <w:suppressAutoHyphens/>
      <w:spacing w:line="480" w:lineRule="exact"/>
    </w:pPr>
    <w:rPr>
      <w:rFonts w:ascii="標楷體" w:eastAsia="標楷體" w:hAnsi="標楷體" w:cs="標楷體"/>
      <w:sz w:val="28"/>
      <w:szCs w:val="28"/>
    </w:rPr>
  </w:style>
  <w:style w:type="paragraph" w:customStyle="1" w:styleId="05cm752">
    <w:name w:val="樣式 (一) + 左右對齊 左:  0.5 cm 凸出:  7.52 字元"/>
    <w:basedOn w:val="a1"/>
    <w:qFormat/>
    <w:pPr>
      <w:numPr>
        <w:numId w:val="5"/>
      </w:numPr>
      <w:tabs>
        <w:tab w:val="left" w:pos="-2880"/>
      </w:tabs>
      <w:suppressAutoHyphens/>
      <w:spacing w:line="500" w:lineRule="exact"/>
      <w:jc w:val="both"/>
    </w:pPr>
    <w:rPr>
      <w:rFonts w:ascii="Arial" w:eastAsia="標楷體" w:hAnsi="Arial" w:cs="新細明體"/>
      <w:sz w:val="28"/>
    </w:rPr>
  </w:style>
  <w:style w:type="paragraph" w:customStyle="1" w:styleId="afb">
    <w:name w:val="一"/>
    <w:basedOn w:val="a1"/>
    <w:qFormat/>
    <w:pPr>
      <w:suppressAutoHyphens/>
      <w:spacing w:line="480" w:lineRule="exact"/>
      <w:jc w:val="both"/>
    </w:pPr>
    <w:rPr>
      <w:rFonts w:eastAsia="標楷體"/>
      <w:sz w:val="28"/>
      <w:szCs w:val="28"/>
    </w:rPr>
  </w:style>
  <w:style w:type="paragraph" w:customStyle="1" w:styleId="xmsonormal">
    <w:name w:val="x_msonormal"/>
    <w:basedOn w:val="a1"/>
    <w:qFormat/>
    <w:pPr>
      <w:spacing w:before="100" w:after="100"/>
    </w:pPr>
    <w:rPr>
      <w:rFonts w:ascii="新細明體" w:hAnsi="新細明體" w:cs="新細明體"/>
      <w:szCs w:val="24"/>
    </w:rPr>
  </w:style>
  <w:style w:type="paragraph" w:customStyle="1" w:styleId="afc">
    <w:name w:val="表格內容"/>
    <w:basedOn w:val="a1"/>
    <w:qFormat/>
    <w:pPr>
      <w:widowControl w:val="0"/>
      <w:suppressLineNumbers/>
    </w:pPr>
  </w:style>
  <w:style w:type="numbering" w:customStyle="1" w:styleId="LFO6">
    <w:name w:val="LFO6"/>
    <w:qFormat/>
  </w:style>
  <w:style w:type="numbering" w:customStyle="1" w:styleId="LFO10">
    <w:name w:val="LFO10"/>
    <w:qFormat/>
  </w:style>
  <w:style w:type="numbering" w:customStyle="1" w:styleId="160">
    <w:name w:val="樣式 編號 標楷體 16 點"/>
    <w:qFormat/>
  </w:style>
  <w:style w:type="numbering" w:customStyle="1" w:styleId="LFO33">
    <w:name w:val="LFO33"/>
    <w:qFormat/>
  </w:style>
  <w:style w:type="numbering" w:customStyle="1" w:styleId="LFO1">
    <w:name w:val="LFO1"/>
    <w:qFormat/>
  </w:style>
  <w:style w:type="numbering" w:customStyle="1" w:styleId="LFO8">
    <w:name w:val="LFO8"/>
    <w:qFormat/>
  </w:style>
  <w:style w:type="numbering" w:customStyle="1" w:styleId="LFO7">
    <w:name w:val="LFO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張耿睿</dc:creator>
  <cp:lastModifiedBy>張耿睿</cp:lastModifiedBy>
  <cp:revision>3</cp:revision>
  <cp:lastPrinted>2024-09-24T06:59:00Z</cp:lastPrinted>
  <dcterms:created xsi:type="dcterms:W3CDTF">2024-10-25T01:57:00Z</dcterms:created>
  <dcterms:modified xsi:type="dcterms:W3CDTF">2024-10-25T02:16:00Z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2024-09-01T06:50:00Z</dcterms:created>
  <dc:creator>NHI</dc:creator>
  <dc:description/>
  <dc:language>zh-TW</dc:language>
  <cp:lastModifiedBy>李芝蘭</cp:lastModifiedBy>
  <cp:lastPrinted>2024-09-01T06:48:00Z</cp:lastPrinted>
  <dcterms:modified xsi:type="dcterms:W3CDTF">2024-09-01T06:50:00Z</dcterms:modified>
  <cp:revision>2</cp:revision>
  <dc:subject/>
  <dc:title/>
</cp:coreProperties>
</file>