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FFF" w:rsidRDefault="005D1FFF" w:rsidP="005D1FFF">
      <w:pPr>
        <w:widowControl/>
        <w:jc w:val="center"/>
      </w:pPr>
      <w:bookmarkStart w:id="0" w:name="_GoBack"/>
      <w:r>
        <w:rPr>
          <w:rFonts w:eastAsia="標楷體"/>
          <w:b/>
          <w:bCs/>
          <w:kern w:val="0"/>
        </w:rPr>
        <w:t>附表三十六：全民健康保險狼瘡腎炎使用</w:t>
      </w:r>
      <w:r>
        <w:rPr>
          <w:rFonts w:eastAsia="標楷體"/>
          <w:b/>
          <w:bCs/>
          <w:kern w:val="0"/>
        </w:rPr>
        <w:t>belimumab</w:t>
      </w:r>
      <w:r>
        <w:rPr>
          <w:rFonts w:eastAsia="標楷體"/>
          <w:b/>
          <w:bCs/>
          <w:kern w:val="0"/>
        </w:rPr>
        <w:t>生物製劑申請表</w:t>
      </w:r>
      <w:bookmarkEnd w:id="0"/>
    </w:p>
    <w:tbl>
      <w:tblPr>
        <w:tblW w:w="103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7"/>
        <w:gridCol w:w="1733"/>
        <w:gridCol w:w="1287"/>
        <w:gridCol w:w="1287"/>
        <w:gridCol w:w="1589"/>
        <w:gridCol w:w="1143"/>
        <w:gridCol w:w="1959"/>
      </w:tblGrid>
      <w:tr w:rsidR="005D1FFF" w:rsidTr="008E376A">
        <w:trPr>
          <w:trHeight w:val="270"/>
          <w:jc w:val="center"/>
        </w:trPr>
        <w:tc>
          <w:tcPr>
            <w:tcW w:w="132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醫院代號</w:t>
            </w:r>
          </w:p>
        </w:tc>
        <w:tc>
          <w:tcPr>
            <w:tcW w:w="173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</w:p>
        </w:tc>
        <w:tc>
          <w:tcPr>
            <w:tcW w:w="128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</w:p>
        </w:tc>
        <w:tc>
          <w:tcPr>
            <w:tcW w:w="128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醫院名稱</w:t>
            </w:r>
          </w:p>
        </w:tc>
        <w:tc>
          <w:tcPr>
            <w:tcW w:w="158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</w:p>
        </w:tc>
        <w:tc>
          <w:tcPr>
            <w:tcW w:w="11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申請日期</w:t>
            </w:r>
          </w:p>
        </w:tc>
        <w:tc>
          <w:tcPr>
            <w:tcW w:w="19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</w:p>
        </w:tc>
      </w:tr>
      <w:tr w:rsidR="005D1FFF" w:rsidTr="008E376A">
        <w:trPr>
          <w:trHeight w:val="255"/>
          <w:jc w:val="center"/>
        </w:trPr>
        <w:tc>
          <w:tcPr>
            <w:tcW w:w="13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病人姓名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性別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出生日期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</w:p>
        </w:tc>
      </w:tr>
      <w:tr w:rsidR="005D1FFF" w:rsidTr="008E376A">
        <w:trPr>
          <w:trHeight w:val="255"/>
          <w:jc w:val="center"/>
        </w:trPr>
        <w:tc>
          <w:tcPr>
            <w:tcW w:w="132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身分證號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病歷號碼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</w:p>
        </w:tc>
        <w:tc>
          <w:tcPr>
            <w:tcW w:w="1143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spacing w:before="10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使用期間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自　　年　　月　　日</w:t>
            </w:r>
          </w:p>
        </w:tc>
      </w:tr>
      <w:tr w:rsidR="005D1FFF" w:rsidTr="008E376A">
        <w:trPr>
          <w:trHeight w:val="240"/>
          <w:jc w:val="center"/>
        </w:trPr>
        <w:tc>
          <w:tcPr>
            <w:tcW w:w="132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藥品代碼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用法用量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</w:p>
        </w:tc>
        <w:tc>
          <w:tcPr>
            <w:tcW w:w="1143" w:type="dxa"/>
            <w:vMerge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FFF" w:rsidRDefault="005D1FFF" w:rsidP="008E376A">
            <w:pPr>
              <w:widowControl/>
              <w:spacing w:before="100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至　　年　　月　　日</w:t>
            </w:r>
          </w:p>
        </w:tc>
      </w:tr>
    </w:tbl>
    <w:p w:rsidR="005D1FFF" w:rsidRDefault="005D1FFF" w:rsidP="005D1FFF">
      <w:pPr>
        <w:rPr>
          <w:vanish/>
        </w:rPr>
      </w:pPr>
    </w:p>
    <w:tbl>
      <w:tblPr>
        <w:tblW w:w="103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"/>
        <w:gridCol w:w="10280"/>
      </w:tblGrid>
      <w:tr w:rsidR="005D1FFF" w:rsidTr="008E376A">
        <w:trPr>
          <w:trHeight w:val="10524"/>
          <w:jc w:val="center"/>
        </w:trPr>
        <w:tc>
          <w:tcPr>
            <w:tcW w:w="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1FFF" w:rsidRDefault="005D1FFF" w:rsidP="008E376A">
            <w:pPr>
              <w:widowControl/>
              <w:ind w:left="374" w:hanging="374"/>
              <w:rPr>
                <w:rFonts w:eastAsia="標楷體"/>
                <w:kern w:val="0"/>
              </w:rPr>
            </w:pPr>
          </w:p>
        </w:tc>
        <w:tc>
          <w:tcPr>
            <w:tcW w:w="1028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1FFF" w:rsidRDefault="005D1FFF" w:rsidP="008E376A">
            <w:pPr>
              <w:widowControl/>
              <w:spacing w:line="320" w:lineRule="exact"/>
              <w:ind w:left="374" w:hanging="374"/>
            </w:pPr>
            <w:r>
              <w:rPr>
                <w:rFonts w:ascii="標楷體" w:eastAsia="標楷體" w:hAnsi="標楷體"/>
                <w:kern w:val="0"/>
              </w:rPr>
              <w:t xml:space="preserve">□ </w:t>
            </w:r>
            <w:r>
              <w:rPr>
                <w:rFonts w:eastAsia="標楷體"/>
                <w:kern w:val="0"/>
              </w:rPr>
              <w:t>用於接受標準治療至少</w:t>
            </w:r>
            <w:r>
              <w:rPr>
                <w:rFonts w:eastAsia="標楷體"/>
                <w:kern w:val="0"/>
              </w:rPr>
              <w:t>6</w:t>
            </w:r>
            <w:r>
              <w:rPr>
                <w:rFonts w:eastAsia="標楷體"/>
                <w:kern w:val="0"/>
              </w:rPr>
              <w:t>個月但仍然無法有效控制疾病的第</w:t>
            </w:r>
            <w:r>
              <w:rPr>
                <w:rFonts w:eastAsia="標楷體"/>
                <w:kern w:val="0"/>
              </w:rPr>
              <w:t>III, IV</w:t>
            </w:r>
            <w:r>
              <w:rPr>
                <w:rFonts w:eastAsia="標楷體"/>
                <w:kern w:val="0"/>
              </w:rPr>
              <w:t>或</w:t>
            </w:r>
            <w:r>
              <w:rPr>
                <w:rFonts w:eastAsia="標楷體"/>
                <w:kern w:val="0"/>
              </w:rPr>
              <w:t>V</w:t>
            </w:r>
            <w:r>
              <w:rPr>
                <w:rFonts w:eastAsia="標楷體"/>
                <w:kern w:val="0"/>
              </w:rPr>
              <w:t>型狼瘡腎炎成人病人，且自體抗體陽性</w:t>
            </w:r>
            <w:r>
              <w:rPr>
                <w:rFonts w:eastAsia="標楷體"/>
                <w:kern w:val="0"/>
              </w:rPr>
              <w:t>(anti-nuclear antibodies</w:t>
            </w:r>
            <w:r>
              <w:rPr>
                <w:rFonts w:eastAsia="標楷體"/>
                <w:kern w:val="0"/>
              </w:rPr>
              <w:t>或</w:t>
            </w:r>
            <w:r>
              <w:rPr>
                <w:rFonts w:eastAsia="標楷體"/>
                <w:kern w:val="0"/>
              </w:rPr>
              <w:t>anti–ds DNAantibodies</w:t>
            </w:r>
            <w:r>
              <w:rPr>
                <w:rFonts w:eastAsia="標楷體"/>
                <w:kern w:val="0"/>
              </w:rPr>
              <w:t>陽性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b/>
                <w:bCs/>
                <w:kern w:val="0"/>
              </w:rPr>
              <w:t xml:space="preserve"> </w:t>
            </w:r>
          </w:p>
          <w:p w:rsidR="005D1FFF" w:rsidRDefault="005D1FFF" w:rsidP="005D1FFF">
            <w:pPr>
              <w:widowControl/>
              <w:numPr>
                <w:ilvl w:val="1"/>
                <w:numId w:val="1"/>
              </w:numPr>
              <w:spacing w:before="240" w:line="320" w:lineRule="exact"/>
              <w:ind w:left="629" w:hanging="284"/>
            </w:pPr>
            <w:r>
              <w:rPr>
                <w:rFonts w:ascii="標楷體" w:eastAsia="標楷體" w:hAnsi="標楷體"/>
                <w:kern w:val="0"/>
              </w:rPr>
              <w:t xml:space="preserve">□ </w:t>
            </w:r>
            <w:r>
              <w:rPr>
                <w:rFonts w:eastAsia="標楷體"/>
                <w:kern w:val="0"/>
              </w:rPr>
              <w:t>標準治療係指同時使用以下藥物</w:t>
            </w:r>
            <w:r>
              <w:rPr>
                <w:rFonts w:eastAsia="標楷體"/>
                <w:kern w:val="0"/>
              </w:rPr>
              <w:t>:</w:t>
            </w:r>
          </w:p>
          <w:p w:rsidR="005D1FFF" w:rsidRDefault="005D1FFF" w:rsidP="005D1FFF">
            <w:pPr>
              <w:widowControl/>
              <w:numPr>
                <w:ilvl w:val="2"/>
                <w:numId w:val="1"/>
              </w:numPr>
              <w:spacing w:line="320" w:lineRule="exact"/>
              <w:ind w:left="1255" w:hanging="284"/>
            </w:pPr>
            <w:r>
              <w:rPr>
                <w:rFonts w:ascii="標楷體" w:eastAsia="標楷體" w:hAnsi="標楷體"/>
                <w:kern w:val="0"/>
              </w:rPr>
              <w:t xml:space="preserve">□ </w:t>
            </w:r>
            <w:r>
              <w:rPr>
                <w:rFonts w:eastAsia="標楷體"/>
                <w:kern w:val="0"/>
              </w:rPr>
              <w:t>Prednisolone≥ 0.5mg/kg/day(</w:t>
            </w:r>
            <w:r>
              <w:rPr>
                <w:rFonts w:eastAsia="標楷體"/>
                <w:kern w:val="0"/>
              </w:rPr>
              <w:t>或相等強度劑量之類固醇類藥物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kern w:val="0"/>
              </w:rPr>
              <w:t>且</w:t>
            </w:r>
          </w:p>
          <w:p w:rsidR="005D1FFF" w:rsidRDefault="005D1FFF" w:rsidP="005D1FFF">
            <w:pPr>
              <w:widowControl/>
              <w:numPr>
                <w:ilvl w:val="2"/>
                <w:numId w:val="1"/>
              </w:numPr>
              <w:spacing w:line="320" w:lineRule="exact"/>
              <w:ind w:left="1255" w:hanging="284"/>
            </w:pPr>
            <w:r>
              <w:rPr>
                <w:rFonts w:ascii="標楷體" w:eastAsia="標楷體" w:hAnsi="標楷體"/>
                <w:kern w:val="0"/>
              </w:rPr>
              <w:t xml:space="preserve">□ </w:t>
            </w:r>
            <w:r>
              <w:rPr>
                <w:rFonts w:eastAsia="標楷體"/>
                <w:kern w:val="0"/>
              </w:rPr>
              <w:t>使用足量前導治療</w:t>
            </w:r>
            <w:r>
              <w:rPr>
                <w:rFonts w:eastAsia="標楷體"/>
                <w:kern w:val="0"/>
              </w:rPr>
              <w:t>(induction phase)</w:t>
            </w:r>
            <w:r>
              <w:rPr>
                <w:rFonts w:eastAsia="標楷體"/>
                <w:kern w:val="0"/>
              </w:rPr>
              <w:t>免疫抑制劑</w:t>
            </w:r>
          </w:p>
          <w:tbl>
            <w:tblPr>
              <w:tblW w:w="9315" w:type="dxa"/>
              <w:tblInd w:w="650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89"/>
              <w:gridCol w:w="2583"/>
              <w:gridCol w:w="3543"/>
            </w:tblGrid>
            <w:tr w:rsidR="005D1FFF" w:rsidTr="008E376A">
              <w:trPr>
                <w:trHeight w:val="253"/>
              </w:trPr>
              <w:tc>
                <w:tcPr>
                  <w:tcW w:w="3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使用劑量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使用時間</w:t>
                  </w:r>
                </w:p>
              </w:tc>
            </w:tr>
            <w:tr w:rsidR="005D1FFF" w:rsidTr="008E376A">
              <w:trPr>
                <w:trHeight w:val="253"/>
              </w:trPr>
              <w:tc>
                <w:tcPr>
                  <w:tcW w:w="3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Mycophenolate mofetil</w:t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日至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日</w:t>
                  </w:r>
                </w:p>
              </w:tc>
            </w:tr>
            <w:tr w:rsidR="005D1FFF" w:rsidTr="008E376A">
              <w:trPr>
                <w:trHeight w:val="253"/>
              </w:trPr>
              <w:tc>
                <w:tcPr>
                  <w:tcW w:w="3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Mycophenolic acid(MPA)</w:t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日至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日</w:t>
                  </w:r>
                </w:p>
              </w:tc>
            </w:tr>
            <w:tr w:rsidR="005D1FFF" w:rsidTr="008E376A">
              <w:trPr>
                <w:trHeight w:val="253"/>
              </w:trPr>
              <w:tc>
                <w:tcPr>
                  <w:tcW w:w="3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</w:pPr>
                  <w:r>
                    <w:rPr>
                      <w:rFonts w:eastAsia="標楷體"/>
                      <w:color w:val="2A2720"/>
                    </w:rPr>
                    <w:t>Cyclophosphamide</w:t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日至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日</w:t>
                  </w:r>
                </w:p>
              </w:tc>
            </w:tr>
            <w:tr w:rsidR="005D1FFF" w:rsidTr="008E376A">
              <w:trPr>
                <w:trHeight w:val="253"/>
              </w:trPr>
              <w:tc>
                <w:tcPr>
                  <w:tcW w:w="3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Azathioprine (</w:t>
                  </w:r>
                  <w:r>
                    <w:rPr>
                      <w:rFonts w:eastAsia="標楷體"/>
                    </w:rPr>
                    <w:t>體重</w:t>
                  </w:r>
                  <w:r>
                    <w:rPr>
                      <w:rFonts w:eastAsia="標楷體"/>
                    </w:rPr>
                    <w:t>: ___ kg)</w:t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日至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日</w:t>
                  </w:r>
                </w:p>
              </w:tc>
            </w:tr>
            <w:tr w:rsidR="005D1FFF" w:rsidTr="008E376A">
              <w:trPr>
                <w:trHeight w:val="253"/>
              </w:trPr>
              <w:tc>
                <w:tcPr>
                  <w:tcW w:w="31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其他免疫抑制劑</w:t>
                  </w:r>
                  <w:r>
                    <w:rPr>
                      <w:rFonts w:eastAsia="標楷體"/>
                    </w:rPr>
                    <w:t>__________</w:t>
                  </w:r>
                </w:p>
              </w:tc>
              <w:tc>
                <w:tcPr>
                  <w:tcW w:w="25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D1FFF" w:rsidRDefault="005D1FFF" w:rsidP="008E376A">
                  <w:pPr>
                    <w:widowControl/>
                    <w:spacing w:line="320" w:lineRule="exact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日至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年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月</w:t>
                  </w:r>
                  <w:r>
                    <w:rPr>
                      <w:rFonts w:eastAsia="標楷體"/>
                    </w:rPr>
                    <w:t>__</w:t>
                  </w:r>
                  <w:r>
                    <w:rPr>
                      <w:rFonts w:eastAsia="標楷體"/>
                    </w:rPr>
                    <w:t>日</w:t>
                  </w:r>
                </w:p>
              </w:tc>
            </w:tr>
          </w:tbl>
          <w:p w:rsidR="005D1FFF" w:rsidRDefault="005D1FFF" w:rsidP="005D1FFF">
            <w:pPr>
              <w:widowControl/>
              <w:numPr>
                <w:ilvl w:val="0"/>
                <w:numId w:val="2"/>
              </w:numPr>
              <w:tabs>
                <w:tab w:val="left" w:pos="-1440"/>
              </w:tabs>
              <w:spacing w:before="240" w:line="320" w:lineRule="exact"/>
            </w:pPr>
            <w:r>
              <w:rPr>
                <w:rFonts w:ascii="標楷體" w:eastAsia="標楷體" w:hAnsi="標楷體" w:cs="新細明體"/>
                <w:kern w:val="0"/>
              </w:rPr>
              <w:t xml:space="preserve">□ </w:t>
            </w:r>
            <w:r>
              <w:rPr>
                <w:rFonts w:eastAsia="標楷體" w:cs="新細明體"/>
                <w:kern w:val="0"/>
              </w:rPr>
              <w:t>無法有效控制疾病的定義為經標準治療至少</w:t>
            </w:r>
            <w:r>
              <w:rPr>
                <w:rFonts w:eastAsia="標楷體" w:cs="新細明體"/>
                <w:kern w:val="0"/>
              </w:rPr>
              <w:t xml:space="preserve">6 </w:t>
            </w:r>
            <w:r>
              <w:rPr>
                <w:rFonts w:eastAsia="標楷體" w:cs="新細明體"/>
                <w:kern w:val="0"/>
              </w:rPr>
              <w:t>個月後仍有以下情形</w:t>
            </w:r>
            <w:r>
              <w:rPr>
                <w:rFonts w:eastAsia="標楷體" w:cs="新細明體"/>
                <w:kern w:val="0"/>
              </w:rPr>
              <w:t>:</w:t>
            </w:r>
          </w:p>
          <w:p w:rsidR="005D1FFF" w:rsidRDefault="005D1FFF" w:rsidP="005D1FFF">
            <w:pPr>
              <w:widowControl/>
              <w:numPr>
                <w:ilvl w:val="1"/>
                <w:numId w:val="2"/>
              </w:numPr>
              <w:tabs>
                <w:tab w:val="left" w:pos="-3065"/>
              </w:tabs>
              <w:spacing w:line="320" w:lineRule="exact"/>
              <w:ind w:hanging="469"/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eastAsia="標楷體" w:cs="新細明體"/>
                <w:kern w:val="0"/>
              </w:rPr>
              <w:t xml:space="preserve"> </w:t>
            </w:r>
            <w:r>
              <w:rPr>
                <w:rFonts w:eastAsia="標楷體" w:cs="新細明體"/>
                <w:kern w:val="0"/>
              </w:rPr>
              <w:t>蛋白尿相較基期下降比例</w:t>
            </w:r>
            <w:r>
              <w:rPr>
                <w:rFonts w:eastAsia="標楷體" w:cs="新細明體"/>
                <w:kern w:val="0"/>
              </w:rPr>
              <w:t>&lt;50%</w:t>
            </w:r>
            <w:r>
              <w:rPr>
                <w:rFonts w:eastAsia="標楷體" w:cs="新細明體"/>
                <w:kern w:val="0"/>
              </w:rPr>
              <w:t>，且</w:t>
            </w:r>
            <w:r>
              <w:rPr>
                <w:rFonts w:eastAsia="標楷體" w:cs="新細明體"/>
                <w:kern w:val="0"/>
              </w:rPr>
              <w:t>uPCR</w:t>
            </w:r>
            <w:r>
              <w:rPr>
                <w:rFonts w:eastAsia="標楷體" w:cs="新細明體"/>
                <w:kern w:val="0"/>
              </w:rPr>
              <w:t>或</w:t>
            </w:r>
            <w:r>
              <w:rPr>
                <w:rFonts w:eastAsia="標楷體" w:cs="新細明體"/>
                <w:kern w:val="0"/>
              </w:rPr>
              <w:t>24</w:t>
            </w:r>
            <w:r>
              <w:rPr>
                <w:rFonts w:eastAsia="標楷體" w:cs="新細明體"/>
                <w:kern w:val="0"/>
              </w:rPr>
              <w:t>小時蛋白尿</w:t>
            </w:r>
            <w:r>
              <w:rPr>
                <w:rFonts w:eastAsia="標楷體" w:cs="新細明體"/>
                <w:kern w:val="0"/>
              </w:rPr>
              <w:t>≥ 1.0</w:t>
            </w:r>
          </w:p>
          <w:p w:rsidR="005D1FFF" w:rsidRDefault="005D1FFF" w:rsidP="005D1FFF">
            <w:pPr>
              <w:widowControl/>
              <w:numPr>
                <w:ilvl w:val="1"/>
                <w:numId w:val="2"/>
              </w:numPr>
              <w:tabs>
                <w:tab w:val="left" w:pos="-3065"/>
              </w:tabs>
              <w:spacing w:line="320" w:lineRule="exact"/>
              <w:ind w:hanging="469"/>
            </w:pPr>
            <w:r>
              <w:rPr>
                <w:rFonts w:ascii="標楷體" w:eastAsia="標楷體" w:hAnsi="標楷體" w:cs="新細明體"/>
                <w:kern w:val="0"/>
              </w:rPr>
              <w:t xml:space="preserve">□ </w:t>
            </w:r>
            <w:r>
              <w:rPr>
                <w:rFonts w:eastAsia="標楷體" w:cs="新細明體"/>
                <w:kern w:val="0"/>
              </w:rPr>
              <w:t>腎絲球過濾率</w:t>
            </w:r>
            <w:r>
              <w:rPr>
                <w:rFonts w:eastAsia="標楷體" w:cs="新細明體"/>
                <w:kern w:val="0"/>
              </w:rPr>
              <w:t xml:space="preserve"> (glomerular filtration rate,GFR)</w:t>
            </w:r>
            <w:r>
              <w:rPr>
                <w:rFonts w:eastAsia="標楷體" w:cs="新細明體"/>
                <w:kern w:val="0"/>
              </w:rPr>
              <w:t>下降超過</w:t>
            </w:r>
            <w:r>
              <w:rPr>
                <w:rFonts w:eastAsia="標楷體" w:cs="新細明體"/>
                <w:kern w:val="0"/>
              </w:rPr>
              <w:t>20%</w:t>
            </w:r>
            <w:r>
              <w:rPr>
                <w:rFonts w:eastAsia="標楷體" w:cs="新細明體"/>
                <w:kern w:val="0"/>
              </w:rPr>
              <w:t>以上且伴隨</w:t>
            </w:r>
            <w:r>
              <w:rPr>
                <w:rFonts w:eastAsia="標楷體" w:cs="新細明體"/>
                <w:kern w:val="0"/>
              </w:rPr>
              <w:t>uPCR</w:t>
            </w:r>
            <w:r>
              <w:rPr>
                <w:rFonts w:eastAsia="標楷體" w:cs="新細明體"/>
                <w:kern w:val="0"/>
              </w:rPr>
              <w:t>或</w:t>
            </w:r>
            <w:r>
              <w:rPr>
                <w:rFonts w:eastAsia="標楷體" w:cs="新細明體"/>
                <w:kern w:val="0"/>
              </w:rPr>
              <w:t>24</w:t>
            </w:r>
            <w:r>
              <w:rPr>
                <w:rFonts w:eastAsia="標楷體" w:cs="新細明體"/>
                <w:kern w:val="0"/>
              </w:rPr>
              <w:t>小時蛋白尿</w:t>
            </w:r>
            <w:r>
              <w:rPr>
                <w:rFonts w:eastAsia="標楷體" w:cs="新細明體"/>
                <w:kern w:val="0"/>
              </w:rPr>
              <w:t>≥ 1.0</w:t>
            </w:r>
            <w:r>
              <w:rPr>
                <w:rFonts w:eastAsia="標楷體" w:cs="新細明體"/>
                <w:kern w:val="0"/>
              </w:rPr>
              <w:t>或是出現尿沉渣。</w:t>
            </w:r>
          </w:p>
          <w:p w:rsidR="005D1FFF" w:rsidRPr="00AC35DB" w:rsidRDefault="005D1FFF" w:rsidP="008E376A">
            <w:pPr>
              <w:spacing w:before="240"/>
              <w:ind w:left="406" w:hanging="406"/>
              <w:rPr>
                <w:rFonts w:eastAsia="標楷體"/>
              </w:rPr>
            </w:pPr>
            <w:r w:rsidRPr="00AC35DB">
              <w:rPr>
                <w:rFonts w:eastAsia="標楷體" w:hint="eastAsia"/>
              </w:rPr>
              <w:t>□</w:t>
            </w:r>
            <w:r w:rsidRPr="00AC35DB">
              <w:rPr>
                <w:rFonts w:eastAsia="標楷體" w:hint="eastAsia"/>
              </w:rPr>
              <w:t xml:space="preserve"> </w:t>
            </w:r>
            <w:r w:rsidRPr="00AC35DB">
              <w:rPr>
                <w:rFonts w:eastAsia="標楷體" w:hint="eastAsia"/>
              </w:rPr>
              <w:t>療效評估與繼續使用</w:t>
            </w:r>
            <w:r w:rsidRPr="00AC35DB">
              <w:rPr>
                <w:rFonts w:eastAsia="標楷體" w:hint="eastAsia"/>
              </w:rPr>
              <w:t>:</w:t>
            </w:r>
            <w:r w:rsidRPr="00AC35DB">
              <w:rPr>
                <w:rFonts w:eastAsia="標楷體" w:hint="eastAsia"/>
              </w:rPr>
              <w:t>每治療</w:t>
            </w:r>
            <w:r w:rsidRPr="00AC35DB">
              <w:rPr>
                <w:rFonts w:eastAsia="標楷體" w:hint="eastAsia"/>
              </w:rPr>
              <w:t xml:space="preserve">12 </w:t>
            </w:r>
            <w:r w:rsidRPr="00AC35DB">
              <w:rPr>
                <w:rFonts w:eastAsia="標楷體" w:hint="eastAsia"/>
              </w:rPr>
              <w:t>個月需評估病人在使用期間內是否達充分改善腎臟指標，必須達到以下標準才可以繼續使用：</w:t>
            </w:r>
          </w:p>
          <w:p w:rsidR="005D1FFF" w:rsidRPr="00AC35DB" w:rsidRDefault="005D1FFF" w:rsidP="005D1FFF">
            <w:pPr>
              <w:widowControl/>
              <w:numPr>
                <w:ilvl w:val="0"/>
                <w:numId w:val="3"/>
              </w:numPr>
              <w:spacing w:before="240"/>
              <w:rPr>
                <w:rFonts w:eastAsia="標楷體" w:hint="eastAsia"/>
                <w:kern w:val="0"/>
              </w:rPr>
            </w:pPr>
            <w:r w:rsidRPr="00AC35DB">
              <w:rPr>
                <w:rFonts w:eastAsia="標楷體" w:hint="eastAsia"/>
                <w:kern w:val="0"/>
              </w:rPr>
              <w:t>□</w:t>
            </w:r>
            <w:r w:rsidRPr="00AC35DB">
              <w:rPr>
                <w:rFonts w:eastAsia="標楷體" w:hint="eastAsia"/>
                <w:kern w:val="0"/>
              </w:rPr>
              <w:t xml:space="preserve"> uPCR</w:t>
            </w:r>
            <w:r w:rsidRPr="00AC35DB">
              <w:rPr>
                <w:rFonts w:eastAsia="標楷體" w:hint="eastAsia"/>
                <w:kern w:val="0"/>
              </w:rPr>
              <w:t>或</w:t>
            </w:r>
            <w:r w:rsidRPr="00AC35DB">
              <w:rPr>
                <w:rFonts w:eastAsia="標楷體" w:hint="eastAsia"/>
                <w:kern w:val="0"/>
              </w:rPr>
              <w:t>24</w:t>
            </w:r>
            <w:r w:rsidRPr="00AC35DB">
              <w:rPr>
                <w:rFonts w:eastAsia="標楷體" w:hint="eastAsia"/>
                <w:kern w:val="0"/>
              </w:rPr>
              <w:t>小時蛋白尿</w:t>
            </w:r>
            <w:r w:rsidRPr="00AC35DB">
              <w:rPr>
                <w:rFonts w:ascii="Times New Roman" w:eastAsia="標楷體" w:hAnsi="Times New Roman"/>
                <w:kern w:val="0"/>
              </w:rPr>
              <w:t>≤</w:t>
            </w:r>
            <w:r w:rsidRPr="00AC35DB">
              <w:rPr>
                <w:rFonts w:eastAsia="標楷體" w:hint="eastAsia"/>
                <w:kern w:val="0"/>
              </w:rPr>
              <w:t xml:space="preserve"> 0.7gm/</w:t>
            </w:r>
            <w:r w:rsidRPr="00AC35DB">
              <w:rPr>
                <w:rFonts w:eastAsia="標楷體" w:hint="eastAsia"/>
                <w:kern w:val="0"/>
              </w:rPr>
              <w:t>天或相較於基期下降一半以上。</w:t>
            </w:r>
          </w:p>
          <w:p w:rsidR="005D1FFF" w:rsidRPr="00AC35DB" w:rsidRDefault="005D1FFF" w:rsidP="005D1FFF">
            <w:pPr>
              <w:widowControl/>
              <w:numPr>
                <w:ilvl w:val="0"/>
                <w:numId w:val="3"/>
              </w:numPr>
              <w:spacing w:before="240"/>
              <w:rPr>
                <w:rFonts w:eastAsia="標楷體" w:hint="eastAsia"/>
                <w:kern w:val="0"/>
              </w:rPr>
            </w:pPr>
            <w:r w:rsidRPr="00AC35DB">
              <w:rPr>
                <w:rFonts w:eastAsia="標楷體" w:hint="eastAsia"/>
                <w:kern w:val="0"/>
              </w:rPr>
              <w:t>□</w:t>
            </w:r>
            <w:r w:rsidRPr="00AC35DB">
              <w:rPr>
                <w:rFonts w:eastAsia="標楷體" w:hint="eastAsia"/>
                <w:kern w:val="0"/>
              </w:rPr>
              <w:t xml:space="preserve"> </w:t>
            </w:r>
            <w:r w:rsidRPr="00AC35DB">
              <w:rPr>
                <w:rFonts w:eastAsia="標楷體" w:hint="eastAsia"/>
                <w:kern w:val="0"/>
              </w:rPr>
              <w:t>腎絲球過濾率</w:t>
            </w:r>
            <w:r w:rsidRPr="00AC35DB">
              <w:rPr>
                <w:rFonts w:eastAsia="標楷體" w:hint="eastAsia"/>
                <w:kern w:val="0"/>
              </w:rPr>
              <w:t>(glomerular filtration rate, GFR)</w:t>
            </w:r>
            <w:r w:rsidRPr="00AC35DB">
              <w:rPr>
                <w:rFonts w:eastAsia="標楷體" w:hint="eastAsia"/>
                <w:kern w:val="0"/>
              </w:rPr>
              <w:t>沒有下降超過</w:t>
            </w:r>
            <w:r w:rsidRPr="00AC35DB">
              <w:rPr>
                <w:rFonts w:eastAsia="標楷體" w:hint="eastAsia"/>
                <w:kern w:val="0"/>
              </w:rPr>
              <w:t xml:space="preserve"> 20%</w:t>
            </w:r>
            <w:r w:rsidRPr="00AC35DB">
              <w:rPr>
                <w:rFonts w:eastAsia="標楷體" w:hint="eastAsia"/>
                <w:kern w:val="0"/>
              </w:rPr>
              <w:t>以上。</w:t>
            </w:r>
          </w:p>
          <w:p w:rsidR="005D1FFF" w:rsidRPr="00AC35DB" w:rsidRDefault="005D1FFF" w:rsidP="005D1FFF">
            <w:pPr>
              <w:widowControl/>
              <w:numPr>
                <w:ilvl w:val="0"/>
                <w:numId w:val="3"/>
              </w:numPr>
              <w:spacing w:before="240"/>
              <w:rPr>
                <w:rFonts w:eastAsia="標楷體" w:hint="eastAsia"/>
                <w:kern w:val="0"/>
              </w:rPr>
            </w:pPr>
            <w:r w:rsidRPr="00AC35DB">
              <w:rPr>
                <w:rFonts w:eastAsia="標楷體" w:hint="eastAsia"/>
                <w:kern w:val="0"/>
              </w:rPr>
              <w:t>□</w:t>
            </w:r>
            <w:r w:rsidRPr="00AC35DB">
              <w:rPr>
                <w:rFonts w:eastAsia="標楷體" w:hint="eastAsia"/>
                <w:kern w:val="0"/>
              </w:rPr>
              <w:t xml:space="preserve"> </w:t>
            </w:r>
            <w:r w:rsidRPr="00AC35DB">
              <w:rPr>
                <w:rFonts w:eastAsia="標楷體" w:hint="eastAsia"/>
                <w:kern w:val="0"/>
              </w:rPr>
              <w:t>沒有末期腎臟病。</w:t>
            </w:r>
          </w:p>
          <w:p w:rsidR="005D1FFF" w:rsidRPr="00AC35DB" w:rsidRDefault="005D1FFF" w:rsidP="005D1FFF">
            <w:pPr>
              <w:widowControl/>
              <w:numPr>
                <w:ilvl w:val="0"/>
                <w:numId w:val="3"/>
              </w:numPr>
              <w:spacing w:before="240"/>
              <w:rPr>
                <w:rFonts w:eastAsia="標楷體" w:hint="eastAsia"/>
                <w:kern w:val="0"/>
              </w:rPr>
            </w:pPr>
            <w:r w:rsidRPr="00AC35DB">
              <w:rPr>
                <w:rFonts w:eastAsia="標楷體" w:hint="eastAsia"/>
                <w:kern w:val="0"/>
              </w:rPr>
              <w:t>□</w:t>
            </w:r>
            <w:r w:rsidRPr="00AC35DB">
              <w:rPr>
                <w:rFonts w:eastAsia="標楷體" w:hint="eastAsia"/>
                <w:kern w:val="0"/>
              </w:rPr>
              <w:t xml:space="preserve"> </w:t>
            </w:r>
            <w:r w:rsidRPr="00AC35DB">
              <w:rPr>
                <w:rFonts w:eastAsia="標楷體" w:hint="eastAsia"/>
                <w:kern w:val="0"/>
              </w:rPr>
              <w:t>相較基期，血清肌酸酐沒有增加超過</w:t>
            </w:r>
            <w:r w:rsidRPr="00AC35DB">
              <w:rPr>
                <w:rFonts w:eastAsia="標楷體" w:hint="eastAsia"/>
                <w:kern w:val="0"/>
              </w:rPr>
              <w:t>1</w:t>
            </w:r>
            <w:r w:rsidRPr="00AC35DB">
              <w:rPr>
                <w:rFonts w:eastAsia="標楷體" w:hint="eastAsia"/>
                <w:kern w:val="0"/>
              </w:rPr>
              <w:t>倍。</w:t>
            </w:r>
          </w:p>
          <w:p w:rsidR="005D1FFF" w:rsidRPr="005F25EC" w:rsidRDefault="005D1FFF" w:rsidP="005D1FFF">
            <w:pPr>
              <w:widowControl/>
              <w:numPr>
                <w:ilvl w:val="0"/>
                <w:numId w:val="3"/>
              </w:numPr>
              <w:spacing w:before="240"/>
              <w:rPr>
                <w:rFonts w:eastAsia="標楷體" w:hint="eastAsia"/>
                <w:kern w:val="0"/>
              </w:rPr>
            </w:pPr>
            <w:r w:rsidRPr="00AC35DB">
              <w:rPr>
                <w:rFonts w:eastAsia="標楷體" w:hint="eastAsia"/>
                <w:kern w:val="0"/>
              </w:rPr>
              <w:t>□</w:t>
            </w:r>
            <w:r w:rsidRPr="00AC35DB">
              <w:rPr>
                <w:rFonts w:eastAsia="標楷體" w:hint="eastAsia"/>
                <w:kern w:val="0"/>
              </w:rPr>
              <w:t xml:space="preserve"> </w:t>
            </w:r>
            <w:r w:rsidRPr="00AC35DB">
              <w:rPr>
                <w:rFonts w:eastAsia="標楷體" w:hint="eastAsia"/>
                <w:kern w:val="0"/>
              </w:rPr>
              <w:t>治療</w:t>
            </w:r>
            <w:r w:rsidRPr="00AC35DB">
              <w:rPr>
                <w:rFonts w:eastAsia="標楷體" w:hint="eastAsia"/>
                <w:kern w:val="0"/>
              </w:rPr>
              <w:t>2</w:t>
            </w:r>
            <w:r w:rsidRPr="00AC35DB">
              <w:rPr>
                <w:rFonts w:eastAsia="標楷體" w:hint="eastAsia"/>
                <w:kern w:val="0"/>
              </w:rPr>
              <w:t>年後，若腎炎已達完全緩解者</w:t>
            </w:r>
            <w:r w:rsidRPr="00AC35DB">
              <w:rPr>
                <w:rFonts w:eastAsia="標楷體" w:hint="eastAsia"/>
                <w:kern w:val="0"/>
              </w:rPr>
              <w:t>(complete renal response, CRR)</w:t>
            </w:r>
            <w:r w:rsidRPr="00AC35DB">
              <w:rPr>
                <w:rFonts w:eastAsia="標楷體" w:hint="eastAsia"/>
                <w:kern w:val="0"/>
              </w:rPr>
              <w:t>，應停止使用</w:t>
            </w:r>
            <w:r w:rsidRPr="00AC35DB">
              <w:rPr>
                <w:rFonts w:eastAsia="標楷體" w:hint="eastAsia"/>
                <w:kern w:val="0"/>
              </w:rPr>
              <w:t>belimumab</w:t>
            </w:r>
            <w:r w:rsidRPr="00AC35DB">
              <w:rPr>
                <w:rFonts w:eastAsia="標楷體" w:hint="eastAsia"/>
                <w:kern w:val="0"/>
              </w:rPr>
              <w:t>。</w:t>
            </w:r>
            <w:r w:rsidRPr="00AC35DB">
              <w:rPr>
                <w:rFonts w:eastAsia="標楷體" w:hint="eastAsia"/>
                <w:kern w:val="0"/>
              </w:rPr>
              <w:t>CRR</w:t>
            </w:r>
            <w:r w:rsidRPr="00AC35DB">
              <w:rPr>
                <w:rFonts w:eastAsia="標楷體" w:hint="eastAsia"/>
                <w:kern w:val="0"/>
              </w:rPr>
              <w:t>指病人</w:t>
            </w:r>
            <w:r w:rsidRPr="00AC35DB">
              <w:rPr>
                <w:rFonts w:eastAsia="標楷體" w:hint="eastAsia"/>
                <w:kern w:val="0"/>
              </w:rPr>
              <w:t>uPCR&lt;0.5</w:t>
            </w:r>
            <w:r w:rsidRPr="00AC35DB">
              <w:rPr>
                <w:rFonts w:eastAsia="標楷體" w:hint="eastAsia"/>
                <w:kern w:val="0"/>
              </w:rPr>
              <w:t>且</w:t>
            </w:r>
            <w:r w:rsidRPr="00AC35DB">
              <w:rPr>
                <w:rFonts w:eastAsia="標楷體" w:hint="eastAsia"/>
                <w:kern w:val="0"/>
              </w:rPr>
              <w:t>eGFR</w:t>
            </w:r>
            <w:r w:rsidRPr="00AC35DB">
              <w:rPr>
                <w:rFonts w:eastAsia="標楷體" w:hint="eastAsia"/>
                <w:kern w:val="0"/>
              </w:rPr>
              <w:t>下降與基期相比</w:t>
            </w:r>
            <w:r w:rsidRPr="00AC35DB">
              <w:rPr>
                <w:rFonts w:eastAsia="標楷體" w:hint="eastAsia"/>
                <w:kern w:val="0"/>
              </w:rPr>
              <w:t>&lt;10%</w:t>
            </w:r>
            <w:r w:rsidRPr="00AC35DB">
              <w:rPr>
                <w:rFonts w:eastAsia="標楷體" w:hint="eastAsia"/>
                <w:kern w:val="0"/>
              </w:rPr>
              <w:t>或持續</w:t>
            </w:r>
            <w:r w:rsidRPr="00AC35DB">
              <w:rPr>
                <w:rFonts w:ascii="Times New Roman" w:eastAsia="標楷體" w:hAnsi="Times New Roman"/>
                <w:kern w:val="0"/>
              </w:rPr>
              <w:t>≥</w:t>
            </w:r>
            <w:r w:rsidRPr="00AC35DB">
              <w:rPr>
                <w:rFonts w:eastAsia="標楷體" w:hint="eastAsia"/>
                <w:kern w:val="0"/>
              </w:rPr>
              <w:t>90 ml/min/1.73 m</w:t>
            </w:r>
            <w:r w:rsidRPr="00AC35DB">
              <w:rPr>
                <w:rFonts w:eastAsia="標楷體" w:hint="eastAsia"/>
                <w:kern w:val="0"/>
                <w:vertAlign w:val="superscript"/>
              </w:rPr>
              <w:t>2</w:t>
            </w:r>
            <w:r w:rsidRPr="00AC35DB">
              <w:rPr>
                <w:rFonts w:eastAsia="標楷體" w:hint="eastAsia"/>
                <w:kern w:val="0"/>
              </w:rPr>
              <w:t>。</w:t>
            </w:r>
          </w:p>
        </w:tc>
      </w:tr>
    </w:tbl>
    <w:p w:rsidR="005D1FFF" w:rsidRDefault="005D1FFF" w:rsidP="005D1FFF">
      <w:pPr>
        <w:widowControl/>
        <w:spacing w:before="240" w:after="240" w:line="276" w:lineRule="auto"/>
      </w:pPr>
      <w:r>
        <w:rPr>
          <w:rFonts w:ascii="標楷體" w:eastAsia="標楷體" w:hAnsi="標楷體" w:cs="新細明體"/>
          <w:kern w:val="0"/>
        </w:rPr>
        <w:lastRenderedPageBreak/>
        <w:t>申請醫師（簽名蓋章）：</w:t>
      </w:r>
      <w:r>
        <w:rPr>
          <w:rFonts w:ascii="標楷體" w:eastAsia="標楷體" w:hAnsi="標楷體" w:cs="新細明體"/>
          <w:kern w:val="0"/>
          <w:u w:val="single"/>
        </w:rPr>
        <w:t xml:space="preserve">　　　　　　　 </w:t>
      </w:r>
      <w:r>
        <w:rPr>
          <w:rFonts w:ascii="標楷體" w:eastAsia="標楷體" w:hAnsi="標楷體" w:cs="新細明體"/>
          <w:kern w:val="0"/>
        </w:rPr>
        <w:t xml:space="preserve">     申請醫師（簽名蓋章）：</w:t>
      </w:r>
    </w:p>
    <w:p w:rsidR="00193F0E" w:rsidRPr="005D1FFF" w:rsidRDefault="005D1FFF">
      <w:pPr>
        <w:rPr>
          <w:rFonts w:ascii="標楷體" w:eastAsia="標楷體" w:hAnsi="標楷體" w:cs="新細明體" w:hint="eastAsia"/>
          <w:kern w:val="0"/>
        </w:rPr>
      </w:pPr>
      <w:r>
        <w:rPr>
          <w:rFonts w:ascii="標楷體" w:eastAsia="標楷體" w:hAnsi="標楷體" w:cs="新細明體"/>
          <w:kern w:val="0"/>
        </w:rPr>
        <w:t>專科醫師證書：</w:t>
      </w:r>
      <w:r>
        <w:rPr>
          <w:rFonts w:ascii="標楷體" w:eastAsia="標楷體" w:hAnsi="標楷體" w:cs="新細明體"/>
          <w:kern w:val="0"/>
          <w:u w:val="single"/>
        </w:rPr>
        <w:t xml:space="preserve"> </w:t>
      </w:r>
      <w:r>
        <w:rPr>
          <w:rFonts w:ascii="標楷體" w:eastAsia="標楷體" w:hAnsi="標楷體" w:cs="新細明體"/>
          <w:kern w:val="0"/>
        </w:rPr>
        <w:t>專字第</w:t>
      </w:r>
      <w:r>
        <w:rPr>
          <w:rFonts w:ascii="標楷體" w:eastAsia="標楷體" w:hAnsi="標楷體" w:cs="新細明體"/>
          <w:kern w:val="0"/>
          <w:u w:val="single"/>
        </w:rPr>
        <w:t xml:space="preserve">　　　　 　 </w:t>
      </w:r>
      <w:r>
        <w:rPr>
          <w:rFonts w:ascii="標楷體" w:eastAsia="標楷體" w:hAnsi="標楷體" w:cs="新細明體"/>
          <w:kern w:val="0"/>
        </w:rPr>
        <w:t>號       醫事機構章戳：</w:t>
      </w:r>
    </w:p>
    <w:sectPr w:rsidR="00193F0E" w:rsidRPr="005D1F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83667"/>
    <w:multiLevelType w:val="multilevel"/>
    <w:tmpl w:val="71F0A1C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96F7EDD"/>
    <w:multiLevelType w:val="multilevel"/>
    <w:tmpl w:val="8548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D6742"/>
    <w:multiLevelType w:val="multilevel"/>
    <w:tmpl w:val="2A6CE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FF"/>
    <w:rsid w:val="00193F0E"/>
    <w:rsid w:val="005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3B427"/>
  <w15:chartTrackingRefBased/>
  <w15:docId w15:val="{96B4A2FB-2ACE-4F14-8237-B80FA6A60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FF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張耿睿</dc:creator>
  <cp:keywords/>
  <dc:description/>
  <cp:lastModifiedBy>張耿睿</cp:lastModifiedBy>
  <cp:revision>1</cp:revision>
  <dcterms:created xsi:type="dcterms:W3CDTF">2025-01-22T03:59:00Z</dcterms:created>
  <dcterms:modified xsi:type="dcterms:W3CDTF">2025-01-22T04:00:00Z</dcterms:modified>
</cp:coreProperties>
</file>