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52E" w:rsidRPr="0001545A" w:rsidRDefault="00B817F2" w:rsidP="004E03F3">
      <w:pPr>
        <w:jc w:val="center"/>
        <w:rPr>
          <w:b/>
          <w:sz w:val="36"/>
          <w:szCs w:val="36"/>
        </w:rPr>
      </w:pPr>
      <w:bookmarkStart w:id="0" w:name="_Hlk82765985"/>
      <w:bookmarkStart w:id="1" w:name="_GoBack"/>
      <w:bookmarkEnd w:id="1"/>
      <w:r w:rsidRPr="0001545A">
        <w:rPr>
          <w:rFonts w:hint="eastAsia"/>
          <w:b/>
          <w:sz w:val="36"/>
          <w:szCs w:val="36"/>
        </w:rPr>
        <w:t>事前審查「品項變更」</w:t>
      </w:r>
      <w:r w:rsidR="004E03F3" w:rsidRPr="0001545A">
        <w:rPr>
          <w:rFonts w:hint="eastAsia"/>
          <w:b/>
          <w:sz w:val="36"/>
          <w:szCs w:val="36"/>
        </w:rPr>
        <w:t>VPN</w:t>
      </w:r>
      <w:proofErr w:type="gramStart"/>
      <w:r w:rsidR="004E03F3" w:rsidRPr="0001545A">
        <w:rPr>
          <w:rFonts w:hint="eastAsia"/>
          <w:b/>
          <w:sz w:val="36"/>
          <w:szCs w:val="36"/>
        </w:rPr>
        <w:t>線上</w:t>
      </w:r>
      <w:r w:rsidRPr="0001545A">
        <w:rPr>
          <w:rFonts w:hint="eastAsia"/>
          <w:b/>
          <w:sz w:val="36"/>
          <w:szCs w:val="36"/>
        </w:rPr>
        <w:t>申請</w:t>
      </w:r>
      <w:proofErr w:type="gramEnd"/>
      <w:r w:rsidRPr="0001545A">
        <w:rPr>
          <w:rFonts w:hint="eastAsia"/>
          <w:b/>
          <w:sz w:val="36"/>
          <w:szCs w:val="36"/>
        </w:rPr>
        <w:t>作業調整說明</w:t>
      </w:r>
      <w:bookmarkEnd w:id="0"/>
      <w:r w:rsidR="00A728EE">
        <w:rPr>
          <w:rFonts w:hint="eastAsia"/>
          <w:b/>
          <w:sz w:val="36"/>
          <w:szCs w:val="36"/>
        </w:rPr>
        <w:t>(</w:t>
      </w:r>
      <w:proofErr w:type="gramStart"/>
      <w:r w:rsidR="00A728EE">
        <w:rPr>
          <w:rFonts w:hint="eastAsia"/>
          <w:b/>
          <w:sz w:val="36"/>
          <w:szCs w:val="36"/>
        </w:rPr>
        <w:t>院所版</w:t>
      </w:r>
      <w:proofErr w:type="gramEnd"/>
      <w:r w:rsidR="00A728EE">
        <w:rPr>
          <w:rFonts w:hint="eastAsia"/>
          <w:b/>
          <w:sz w:val="36"/>
          <w:szCs w:val="36"/>
        </w:rPr>
        <w:t>)</w:t>
      </w:r>
    </w:p>
    <w:p w:rsidR="00B817F2" w:rsidRDefault="0001545A" w:rsidP="0001545A">
      <w:pPr>
        <w:jc w:val="right"/>
      </w:pPr>
      <w:r>
        <w:rPr>
          <w:rFonts w:hint="eastAsia"/>
        </w:rPr>
        <w:t>1</w:t>
      </w:r>
      <w:r>
        <w:t>10.9.</w:t>
      </w:r>
      <w:r w:rsidR="000F1C8A">
        <w:rPr>
          <w:rFonts w:hint="eastAsia"/>
        </w:rPr>
        <w:t>15</w:t>
      </w:r>
    </w:p>
    <w:p w:rsidR="00B817F2" w:rsidRPr="00F72FCD" w:rsidRDefault="002C276C" w:rsidP="002C276C">
      <w:pPr>
        <w:spacing w:line="440" w:lineRule="exact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</w:rPr>
        <w:t>一、</w:t>
      </w:r>
      <w:r w:rsidR="0001545A" w:rsidRPr="00F72FCD">
        <w:rPr>
          <w:rFonts w:eastAsia="標楷體" w:hint="eastAsia"/>
          <w:b/>
          <w:sz w:val="32"/>
          <w:szCs w:val="28"/>
        </w:rPr>
        <w:t>為何要</w:t>
      </w:r>
      <w:r w:rsidR="00FE6E65" w:rsidRPr="00F72FCD">
        <w:rPr>
          <w:rFonts w:eastAsia="標楷體" w:hint="eastAsia"/>
          <w:b/>
          <w:sz w:val="32"/>
          <w:szCs w:val="28"/>
        </w:rPr>
        <w:t>調整品項</w:t>
      </w:r>
      <w:proofErr w:type="gramStart"/>
      <w:r w:rsidR="00FE6E65" w:rsidRPr="00F72FCD">
        <w:rPr>
          <w:rFonts w:eastAsia="標楷體" w:hint="eastAsia"/>
          <w:b/>
          <w:sz w:val="32"/>
          <w:szCs w:val="28"/>
        </w:rPr>
        <w:t>變更線上申請</w:t>
      </w:r>
      <w:proofErr w:type="gramEnd"/>
      <w:r w:rsidR="00FE6E65" w:rsidRPr="00F72FCD">
        <w:rPr>
          <w:rFonts w:eastAsia="標楷體" w:hint="eastAsia"/>
          <w:b/>
          <w:sz w:val="32"/>
          <w:szCs w:val="28"/>
        </w:rPr>
        <w:t>作業</w:t>
      </w:r>
    </w:p>
    <w:tbl>
      <w:tblPr>
        <w:tblStyle w:val="a8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394"/>
      </w:tblGrid>
      <w:tr w:rsidR="001A4E7E" w:rsidTr="002C276C">
        <w:tc>
          <w:tcPr>
            <w:tcW w:w="5813" w:type="dxa"/>
          </w:tcPr>
          <w:p w:rsidR="00F72FCD" w:rsidRDefault="00F72FCD" w:rsidP="00F72FCD">
            <w:pPr>
              <w:pStyle w:val="a3"/>
              <w:numPr>
                <w:ilvl w:val="1"/>
                <w:numId w:val="4"/>
              </w:numPr>
              <w:spacing w:line="440" w:lineRule="exact"/>
              <w:ind w:leftChars="0" w:left="709"/>
              <w:rPr>
                <w:sz w:val="28"/>
                <w:szCs w:val="28"/>
              </w:rPr>
            </w:pPr>
            <w:proofErr w:type="gramStart"/>
            <w:r w:rsidRPr="00B55CC4">
              <w:rPr>
                <w:rFonts w:hint="eastAsia"/>
                <w:sz w:val="28"/>
                <w:szCs w:val="28"/>
              </w:rPr>
              <w:t>本署業</w:t>
            </w:r>
            <w:proofErr w:type="gramEnd"/>
            <w:r w:rsidRPr="00B55CC4">
              <w:rPr>
                <w:rFonts w:hint="eastAsia"/>
                <w:sz w:val="28"/>
                <w:szCs w:val="28"/>
              </w:rPr>
              <w:t>於</w:t>
            </w:r>
            <w:r w:rsidRPr="00B55CC4">
              <w:rPr>
                <w:rFonts w:hint="eastAsia"/>
                <w:sz w:val="28"/>
                <w:szCs w:val="28"/>
              </w:rPr>
              <w:t>106</w:t>
            </w:r>
            <w:r w:rsidRPr="00B55CC4">
              <w:rPr>
                <w:rFonts w:hint="eastAsia"/>
                <w:sz w:val="28"/>
                <w:szCs w:val="28"/>
              </w:rPr>
              <w:t>年</w:t>
            </w:r>
            <w:r w:rsidRPr="00B55CC4">
              <w:rPr>
                <w:rFonts w:hint="eastAsia"/>
                <w:sz w:val="28"/>
                <w:szCs w:val="28"/>
              </w:rPr>
              <w:t>2</w:t>
            </w:r>
            <w:r w:rsidRPr="00B55CC4">
              <w:rPr>
                <w:rFonts w:hint="eastAsia"/>
                <w:sz w:val="28"/>
                <w:szCs w:val="28"/>
              </w:rPr>
              <w:t>月、</w:t>
            </w:r>
            <w:r w:rsidRPr="00B55CC4">
              <w:rPr>
                <w:rFonts w:hint="eastAsia"/>
                <w:sz w:val="28"/>
                <w:szCs w:val="28"/>
              </w:rPr>
              <w:t>107</w:t>
            </w:r>
            <w:r w:rsidRPr="00B55CC4">
              <w:rPr>
                <w:rFonts w:hint="eastAsia"/>
                <w:sz w:val="28"/>
                <w:szCs w:val="28"/>
              </w:rPr>
              <w:t>年</w:t>
            </w:r>
            <w:r w:rsidRPr="00B55CC4">
              <w:rPr>
                <w:rFonts w:hint="eastAsia"/>
                <w:sz w:val="28"/>
                <w:szCs w:val="28"/>
              </w:rPr>
              <w:t>11</w:t>
            </w:r>
            <w:r w:rsidRPr="00B55CC4">
              <w:rPr>
                <w:rFonts w:hint="eastAsia"/>
                <w:sz w:val="28"/>
                <w:szCs w:val="28"/>
              </w:rPr>
              <w:t>月分別函釋藥品、特材可免除品項變更申請之情形，以簡化事前審查行政作業。醫療費用申報行政審查亦已配合調整</w:t>
            </w:r>
            <w:r w:rsidRPr="00B55CC4">
              <w:rPr>
                <w:rFonts w:hint="eastAsia"/>
                <w:sz w:val="28"/>
                <w:szCs w:val="28"/>
              </w:rPr>
              <w:t>R</w:t>
            </w:r>
            <w:r w:rsidRPr="00B55CC4">
              <w:rPr>
                <w:sz w:val="28"/>
                <w:szCs w:val="28"/>
              </w:rPr>
              <w:t>EA</w:t>
            </w:r>
            <w:r w:rsidRPr="00B55CC4">
              <w:rPr>
                <w:rFonts w:hint="eastAsia"/>
                <w:sz w:val="28"/>
                <w:szCs w:val="28"/>
              </w:rPr>
              <w:t>檢核邏輯。</w:t>
            </w:r>
          </w:p>
          <w:p w:rsidR="00F72FCD" w:rsidRPr="00F72FCD" w:rsidRDefault="00F72FCD" w:rsidP="00F72FCD">
            <w:pPr>
              <w:pStyle w:val="a3"/>
              <w:numPr>
                <w:ilvl w:val="1"/>
                <w:numId w:val="4"/>
              </w:numPr>
              <w:spacing w:line="440" w:lineRule="exact"/>
              <w:ind w:leftChars="0" w:left="709"/>
              <w:rPr>
                <w:sz w:val="28"/>
                <w:szCs w:val="28"/>
              </w:rPr>
            </w:pPr>
            <w:r w:rsidRPr="00F72FCD">
              <w:rPr>
                <w:rFonts w:hint="eastAsia"/>
                <w:sz w:val="28"/>
                <w:szCs w:val="28"/>
              </w:rPr>
              <w:t>經統計</w:t>
            </w:r>
            <w:r w:rsidRPr="00F72FCD">
              <w:rPr>
                <w:rFonts w:hint="eastAsia"/>
                <w:sz w:val="28"/>
                <w:szCs w:val="28"/>
              </w:rPr>
              <w:t>109</w:t>
            </w:r>
            <w:r w:rsidRPr="00F72FCD">
              <w:rPr>
                <w:rFonts w:hint="eastAsia"/>
                <w:sz w:val="28"/>
                <w:szCs w:val="28"/>
              </w:rPr>
              <w:t>年品項變更申請案件中，約</w:t>
            </w:r>
            <w:r w:rsidRPr="00F72FCD">
              <w:rPr>
                <w:rFonts w:hint="eastAsia"/>
                <w:sz w:val="28"/>
                <w:szCs w:val="28"/>
              </w:rPr>
              <w:t>60%</w:t>
            </w:r>
            <w:r w:rsidRPr="00F72FCD">
              <w:rPr>
                <w:rFonts w:hint="eastAsia"/>
                <w:sz w:val="28"/>
                <w:szCs w:val="28"/>
              </w:rPr>
              <w:t>案件得免提出品項變更申請。</w:t>
            </w:r>
          </w:p>
        </w:tc>
        <w:tc>
          <w:tcPr>
            <w:tcW w:w="4394" w:type="dxa"/>
          </w:tcPr>
          <w:p w:rsidR="00F72FCD" w:rsidRDefault="00F72FCD"/>
          <w:p w:rsidR="00F72FCD" w:rsidRDefault="001A4E7E" w:rsidP="001A4E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2A2776" wp14:editId="39B9667E">
                  <wp:extent cx="2285360" cy="1552416"/>
                  <wp:effectExtent l="0" t="0" r="127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407" cy="166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0586" w:rsidRDefault="00A30586" w:rsidP="00F72FCD">
      <w:pPr>
        <w:spacing w:line="440" w:lineRule="exact"/>
        <w:rPr>
          <w:rFonts w:eastAsia="標楷體"/>
          <w:b/>
          <w:sz w:val="32"/>
          <w:szCs w:val="28"/>
        </w:rPr>
      </w:pPr>
    </w:p>
    <w:p w:rsidR="004E03F3" w:rsidRPr="00F72FCD" w:rsidRDefault="00A728EE" w:rsidP="00F72FCD">
      <w:pPr>
        <w:spacing w:line="440" w:lineRule="exact"/>
        <w:rPr>
          <w:rFonts w:eastAsia="標楷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</w:rPr>
        <w:t>二、</w:t>
      </w:r>
      <w:r w:rsidR="00FE6E65" w:rsidRPr="00FE6E65">
        <w:rPr>
          <w:rFonts w:eastAsia="標楷體" w:hint="eastAsia"/>
          <w:b/>
          <w:sz w:val="32"/>
          <w:szCs w:val="28"/>
        </w:rPr>
        <w:t>調整後之</w:t>
      </w:r>
      <w:r w:rsidR="004E03F3" w:rsidRPr="00FE6E65">
        <w:rPr>
          <w:rFonts w:eastAsia="標楷體" w:hint="eastAsia"/>
          <w:b/>
          <w:sz w:val="32"/>
          <w:szCs w:val="28"/>
        </w:rPr>
        <w:t>品項變更</w:t>
      </w:r>
      <w:r w:rsidR="00FE6E65" w:rsidRPr="00FE6E65">
        <w:rPr>
          <w:rFonts w:eastAsia="標楷體" w:hint="eastAsia"/>
          <w:b/>
          <w:sz w:val="32"/>
          <w:szCs w:val="28"/>
        </w:rPr>
        <w:t>申請作業</w:t>
      </w:r>
      <w:r>
        <w:rPr>
          <w:rFonts w:eastAsia="標楷體" w:hint="eastAsia"/>
          <w:b/>
          <w:sz w:val="32"/>
          <w:szCs w:val="28"/>
        </w:rPr>
        <w:t>流程圖</w:t>
      </w:r>
      <w:r w:rsidR="00F72FCD" w:rsidRPr="00F72FCD">
        <w:rPr>
          <w:rFonts w:eastAsia="標楷體" w:hint="eastAsia"/>
          <w:sz w:val="32"/>
          <w:szCs w:val="28"/>
        </w:rPr>
        <w:t>(</w:t>
      </w:r>
      <w:r w:rsidR="00F72FCD" w:rsidRPr="00F72FCD">
        <w:rPr>
          <w:rFonts w:hint="eastAsia"/>
          <w:sz w:val="28"/>
          <w:szCs w:val="28"/>
        </w:rPr>
        <w:t>自</w:t>
      </w:r>
      <w:r w:rsidR="00F72FCD" w:rsidRPr="00F72FCD">
        <w:rPr>
          <w:rFonts w:hint="eastAsia"/>
          <w:sz w:val="28"/>
          <w:szCs w:val="28"/>
        </w:rPr>
        <w:t>110</w:t>
      </w:r>
      <w:r w:rsidR="00F72FCD" w:rsidRPr="00F72FCD">
        <w:rPr>
          <w:rFonts w:hint="eastAsia"/>
          <w:sz w:val="28"/>
          <w:szCs w:val="28"/>
        </w:rPr>
        <w:t>年</w:t>
      </w:r>
      <w:r w:rsidR="00F72FCD" w:rsidRPr="00F72FCD">
        <w:rPr>
          <w:rFonts w:hint="eastAsia"/>
          <w:sz w:val="28"/>
          <w:szCs w:val="28"/>
        </w:rPr>
        <w:t>9</w:t>
      </w:r>
      <w:r w:rsidR="00F72FCD" w:rsidRPr="00F72FCD">
        <w:rPr>
          <w:rFonts w:hint="eastAsia"/>
          <w:sz w:val="28"/>
          <w:szCs w:val="28"/>
        </w:rPr>
        <w:t>月起適用</w:t>
      </w:r>
      <w:r w:rsidR="00F72FCD" w:rsidRPr="00F72FCD">
        <w:rPr>
          <w:rFonts w:hint="eastAsia"/>
          <w:sz w:val="28"/>
          <w:szCs w:val="28"/>
        </w:rPr>
        <w:t>)</w:t>
      </w:r>
    </w:p>
    <w:p w:rsidR="00F72FCD" w:rsidRDefault="007C738D">
      <w:r>
        <w:rPr>
          <w:noProof/>
        </w:rPr>
        <w:drawing>
          <wp:inline distT="0" distB="0" distL="0" distR="0" wp14:anchorId="22658193">
            <wp:extent cx="6249035" cy="558419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035" cy="558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28EE" w:rsidRDefault="00A728EE" w:rsidP="002C276C">
      <w:pPr>
        <w:spacing w:line="480" w:lineRule="exact"/>
        <w:ind w:left="567" w:hangingChars="177" w:hanging="567"/>
        <w:rPr>
          <w:rFonts w:ascii="新細明體" w:eastAsia="新細明體" w:hAnsi="新細明體"/>
          <w:b/>
          <w:sz w:val="32"/>
          <w:szCs w:val="28"/>
        </w:rPr>
      </w:pPr>
      <w:r>
        <w:rPr>
          <w:rFonts w:eastAsia="標楷體" w:hint="eastAsia"/>
          <w:b/>
          <w:sz w:val="32"/>
          <w:szCs w:val="28"/>
        </w:rPr>
        <w:t>三、操作手冊詳見</w:t>
      </w:r>
      <w:r>
        <w:rPr>
          <w:rFonts w:ascii="新細明體" w:eastAsia="新細明體" w:hAnsi="新細明體" w:hint="eastAsia"/>
          <w:b/>
          <w:sz w:val="32"/>
          <w:szCs w:val="28"/>
        </w:rPr>
        <w:t>「</w:t>
      </w:r>
      <w:r>
        <w:rPr>
          <w:rFonts w:eastAsia="標楷體" w:hint="eastAsia"/>
          <w:b/>
          <w:sz w:val="32"/>
          <w:szCs w:val="28"/>
        </w:rPr>
        <w:t>健保資訊網服務系統</w:t>
      </w:r>
      <w:r>
        <w:rPr>
          <w:rFonts w:eastAsia="標楷體" w:hint="eastAsia"/>
          <w:b/>
          <w:sz w:val="32"/>
          <w:szCs w:val="28"/>
        </w:rPr>
        <w:t>(</w:t>
      </w:r>
      <w:r>
        <w:rPr>
          <w:rFonts w:eastAsia="標楷體"/>
          <w:b/>
          <w:sz w:val="32"/>
          <w:szCs w:val="28"/>
        </w:rPr>
        <w:t>VPN)</w:t>
      </w:r>
      <w:r>
        <w:rPr>
          <w:rFonts w:eastAsia="標楷體" w:hint="eastAsia"/>
          <w:b/>
          <w:sz w:val="32"/>
          <w:szCs w:val="28"/>
        </w:rPr>
        <w:t>/</w:t>
      </w:r>
      <w:r>
        <w:rPr>
          <w:rFonts w:eastAsia="標楷體" w:hint="eastAsia"/>
          <w:b/>
          <w:sz w:val="32"/>
          <w:szCs w:val="28"/>
        </w:rPr>
        <w:t>下載專區</w:t>
      </w:r>
      <w:r>
        <w:rPr>
          <w:rFonts w:eastAsia="標楷體" w:hint="eastAsia"/>
          <w:b/>
          <w:sz w:val="32"/>
          <w:szCs w:val="28"/>
        </w:rPr>
        <w:t>/</w:t>
      </w:r>
      <w:r>
        <w:rPr>
          <w:rFonts w:eastAsia="標楷體" w:hint="eastAsia"/>
          <w:b/>
          <w:sz w:val="32"/>
          <w:szCs w:val="28"/>
        </w:rPr>
        <w:t>事前審查</w:t>
      </w:r>
      <w:r>
        <w:rPr>
          <w:rFonts w:eastAsia="標楷體" w:hint="eastAsia"/>
          <w:b/>
          <w:sz w:val="32"/>
          <w:szCs w:val="28"/>
        </w:rPr>
        <w:t>/</w:t>
      </w:r>
      <w:r w:rsidRPr="00A728EE">
        <w:rPr>
          <w:rFonts w:eastAsia="標楷體" w:hint="eastAsia"/>
          <w:b/>
          <w:sz w:val="32"/>
          <w:szCs w:val="28"/>
        </w:rPr>
        <w:t>電子化專業審查系統操作手冊</w:t>
      </w:r>
      <w:r w:rsidRPr="00A728EE">
        <w:rPr>
          <w:rFonts w:eastAsia="標楷體" w:hint="eastAsia"/>
          <w:b/>
          <w:sz w:val="32"/>
          <w:szCs w:val="28"/>
        </w:rPr>
        <w:t>_</w:t>
      </w:r>
      <w:r w:rsidRPr="00A728EE">
        <w:rPr>
          <w:rFonts w:eastAsia="標楷體" w:hint="eastAsia"/>
          <w:b/>
          <w:sz w:val="32"/>
          <w:szCs w:val="28"/>
        </w:rPr>
        <w:t>事前審查</w:t>
      </w:r>
      <w:r>
        <w:rPr>
          <w:rFonts w:ascii="新細明體" w:eastAsia="新細明體" w:hAnsi="新細明體" w:hint="eastAsia"/>
          <w:b/>
          <w:sz w:val="32"/>
          <w:szCs w:val="28"/>
        </w:rPr>
        <w:t>」</w:t>
      </w:r>
      <w:r w:rsidR="007E4591">
        <w:rPr>
          <w:rFonts w:ascii="新細明體" w:eastAsia="新細明體" w:hAnsi="新細明體" w:hint="eastAsia"/>
          <w:b/>
          <w:sz w:val="32"/>
          <w:szCs w:val="28"/>
        </w:rPr>
        <w:t>。</w:t>
      </w:r>
    </w:p>
    <w:p w:rsidR="002D4781" w:rsidRPr="00872B24" w:rsidRDefault="00872B24" w:rsidP="002D4781">
      <w:pPr>
        <w:rPr>
          <w:sz w:val="32"/>
          <w:szCs w:val="32"/>
        </w:rPr>
      </w:pPr>
      <w:r w:rsidRPr="00872B24">
        <w:rPr>
          <w:rFonts w:asciiTheme="minorEastAsia" w:hAnsiTheme="minorEastAsia" w:hint="eastAsia"/>
          <w:sz w:val="32"/>
          <w:szCs w:val="32"/>
        </w:rPr>
        <w:lastRenderedPageBreak/>
        <w:t>【</w:t>
      </w:r>
      <w:r w:rsidR="007D3B8A" w:rsidRPr="00872B24">
        <w:rPr>
          <w:rFonts w:hint="eastAsia"/>
          <w:sz w:val="32"/>
          <w:szCs w:val="32"/>
        </w:rPr>
        <w:t>參考</w:t>
      </w:r>
      <w:r w:rsidRPr="00872B24">
        <w:rPr>
          <w:rFonts w:hint="eastAsia"/>
          <w:sz w:val="32"/>
          <w:szCs w:val="32"/>
        </w:rPr>
        <w:t>資料</w:t>
      </w:r>
      <w:r w:rsidRPr="00872B24">
        <w:rPr>
          <w:rFonts w:asciiTheme="minorEastAsia" w:hAnsiTheme="minorEastAsia" w:hint="eastAsia"/>
          <w:sz w:val="32"/>
          <w:szCs w:val="32"/>
        </w:rPr>
        <w:t>】:</w:t>
      </w:r>
      <w:r w:rsidR="002D4781" w:rsidRPr="00872B24">
        <w:rPr>
          <w:rFonts w:hint="eastAsia"/>
          <w:sz w:val="32"/>
          <w:szCs w:val="32"/>
        </w:rPr>
        <w:t>相關函釋</w:t>
      </w:r>
    </w:p>
    <w:p w:rsidR="002D4781" w:rsidRPr="00D54B02" w:rsidRDefault="002D4781" w:rsidP="002D4781">
      <w:pPr>
        <w:pStyle w:val="a3"/>
        <w:numPr>
          <w:ilvl w:val="0"/>
          <w:numId w:val="5"/>
        </w:numPr>
        <w:ind w:leftChars="0" w:left="567" w:hanging="567"/>
        <w:rPr>
          <w:sz w:val="26"/>
          <w:szCs w:val="26"/>
        </w:rPr>
      </w:pPr>
      <w:proofErr w:type="gramStart"/>
      <w:r w:rsidRPr="00D54B02">
        <w:rPr>
          <w:rFonts w:hint="eastAsia"/>
          <w:b/>
          <w:sz w:val="26"/>
          <w:szCs w:val="26"/>
        </w:rPr>
        <w:t>本署</w:t>
      </w:r>
      <w:r w:rsidRPr="00D54B02">
        <w:rPr>
          <w:rFonts w:hint="eastAsia"/>
          <w:b/>
          <w:sz w:val="26"/>
          <w:szCs w:val="26"/>
        </w:rPr>
        <w:t>106</w:t>
      </w:r>
      <w:r w:rsidRPr="00D54B02">
        <w:rPr>
          <w:rFonts w:hint="eastAsia"/>
          <w:b/>
          <w:sz w:val="26"/>
          <w:szCs w:val="26"/>
        </w:rPr>
        <w:t>年</w:t>
      </w:r>
      <w:r w:rsidRPr="00D54B02">
        <w:rPr>
          <w:rFonts w:hint="eastAsia"/>
          <w:b/>
          <w:sz w:val="26"/>
          <w:szCs w:val="26"/>
        </w:rPr>
        <w:t>2</w:t>
      </w:r>
      <w:r w:rsidRPr="00D54B02">
        <w:rPr>
          <w:rFonts w:hint="eastAsia"/>
          <w:b/>
          <w:sz w:val="26"/>
          <w:szCs w:val="26"/>
        </w:rPr>
        <w:t>月</w:t>
      </w:r>
      <w:r w:rsidRPr="00D54B02">
        <w:rPr>
          <w:rFonts w:hint="eastAsia"/>
          <w:b/>
          <w:sz w:val="26"/>
          <w:szCs w:val="26"/>
        </w:rPr>
        <w:t>7</w:t>
      </w:r>
      <w:r w:rsidRPr="00D54B02">
        <w:rPr>
          <w:rFonts w:hint="eastAsia"/>
          <w:b/>
          <w:sz w:val="26"/>
          <w:szCs w:val="26"/>
        </w:rPr>
        <w:t>日健保審字第</w:t>
      </w:r>
      <w:r w:rsidRPr="00D54B02">
        <w:rPr>
          <w:rFonts w:hint="eastAsia"/>
          <w:b/>
          <w:sz w:val="26"/>
          <w:szCs w:val="26"/>
        </w:rPr>
        <w:t>1060034816</w:t>
      </w:r>
      <w:proofErr w:type="gramEnd"/>
      <w:r w:rsidRPr="00D54B02">
        <w:rPr>
          <w:rFonts w:hint="eastAsia"/>
          <w:b/>
          <w:sz w:val="26"/>
          <w:szCs w:val="26"/>
        </w:rPr>
        <w:t>號函</w:t>
      </w:r>
    </w:p>
    <w:p w:rsidR="002D4781" w:rsidRDefault="002D4781" w:rsidP="00872B24">
      <w:pPr>
        <w:spacing w:line="480" w:lineRule="exact"/>
        <w:ind w:leftChars="191" w:left="458" w:firstLineChars="41" w:firstLine="107"/>
        <w:rPr>
          <w:sz w:val="26"/>
          <w:szCs w:val="26"/>
        </w:rPr>
      </w:pPr>
      <w:r w:rsidRPr="00D54B02">
        <w:rPr>
          <w:rFonts w:hint="eastAsia"/>
          <w:sz w:val="26"/>
          <w:szCs w:val="26"/>
        </w:rPr>
        <w:t>[</w:t>
      </w:r>
      <w:r w:rsidRPr="00D54B02">
        <w:rPr>
          <w:rFonts w:hint="eastAsia"/>
          <w:sz w:val="26"/>
          <w:szCs w:val="26"/>
        </w:rPr>
        <w:t>同成分、劑型、規格藥品毋須申請品項變更</w:t>
      </w:r>
      <w:r w:rsidRPr="00D54B02">
        <w:rPr>
          <w:rFonts w:hint="eastAsia"/>
          <w:sz w:val="26"/>
          <w:szCs w:val="26"/>
        </w:rPr>
        <w:t>]</w:t>
      </w:r>
    </w:p>
    <w:p w:rsidR="002D4781" w:rsidRDefault="00872B24" w:rsidP="00872B24">
      <w:pPr>
        <w:spacing w:line="240" w:lineRule="atLeast"/>
        <w:ind w:left="425" w:hangingChars="177" w:hanging="425"/>
        <w:rPr>
          <w:rFonts w:eastAsia="標楷體"/>
          <w:b/>
          <w:sz w:val="32"/>
          <w:szCs w:val="28"/>
        </w:rPr>
      </w:pPr>
      <w:r>
        <w:rPr>
          <w:noProof/>
        </w:rPr>
        <w:drawing>
          <wp:inline distT="0" distB="0" distL="0" distR="0" wp14:anchorId="220A4616" wp14:editId="7F2F7ACD">
            <wp:extent cx="5759450" cy="7044250"/>
            <wp:effectExtent l="19050" t="19050" r="12700" b="2349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0442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D4781" w:rsidRDefault="002D4781" w:rsidP="002C276C">
      <w:pPr>
        <w:spacing w:line="480" w:lineRule="exact"/>
        <w:ind w:left="567" w:hangingChars="177" w:hanging="567"/>
        <w:rPr>
          <w:rFonts w:eastAsia="標楷體"/>
          <w:b/>
          <w:sz w:val="32"/>
          <w:szCs w:val="28"/>
        </w:rPr>
      </w:pPr>
    </w:p>
    <w:p w:rsidR="002D4781" w:rsidRDefault="002D4781" w:rsidP="002C276C">
      <w:pPr>
        <w:spacing w:line="480" w:lineRule="exact"/>
        <w:ind w:left="567" w:hangingChars="177" w:hanging="567"/>
        <w:rPr>
          <w:rFonts w:eastAsia="標楷體"/>
          <w:b/>
          <w:sz w:val="32"/>
          <w:szCs w:val="28"/>
        </w:rPr>
      </w:pPr>
    </w:p>
    <w:p w:rsidR="00872B24" w:rsidRDefault="00872B24">
      <w:pPr>
        <w:widowControl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br w:type="page"/>
      </w:r>
    </w:p>
    <w:p w:rsidR="00872B24" w:rsidRPr="00D54B02" w:rsidRDefault="00872B24" w:rsidP="00872B24">
      <w:pPr>
        <w:pStyle w:val="a3"/>
        <w:numPr>
          <w:ilvl w:val="0"/>
          <w:numId w:val="5"/>
        </w:numPr>
        <w:ind w:leftChars="0" w:left="567" w:hanging="567"/>
        <w:rPr>
          <w:sz w:val="26"/>
          <w:szCs w:val="26"/>
        </w:rPr>
      </w:pPr>
      <w:r w:rsidRPr="00D54B02">
        <w:rPr>
          <w:rFonts w:hint="eastAsia"/>
          <w:b/>
          <w:sz w:val="26"/>
          <w:szCs w:val="26"/>
        </w:rPr>
        <w:lastRenderedPageBreak/>
        <w:t>107</w:t>
      </w:r>
      <w:r w:rsidRPr="00D54B02">
        <w:rPr>
          <w:rFonts w:hint="eastAsia"/>
          <w:b/>
          <w:sz w:val="26"/>
          <w:szCs w:val="26"/>
        </w:rPr>
        <w:t>年</w:t>
      </w:r>
      <w:r w:rsidRPr="00D54B02">
        <w:rPr>
          <w:rFonts w:hint="eastAsia"/>
          <w:b/>
          <w:sz w:val="26"/>
          <w:szCs w:val="26"/>
        </w:rPr>
        <w:t>11</w:t>
      </w:r>
      <w:r w:rsidRPr="00D54B02">
        <w:rPr>
          <w:rFonts w:hint="eastAsia"/>
          <w:b/>
          <w:sz w:val="26"/>
          <w:szCs w:val="26"/>
        </w:rPr>
        <w:t>月</w:t>
      </w:r>
      <w:r w:rsidRPr="00D54B02">
        <w:rPr>
          <w:rFonts w:hint="eastAsia"/>
          <w:b/>
          <w:sz w:val="26"/>
          <w:szCs w:val="26"/>
        </w:rPr>
        <w:t>2</w:t>
      </w:r>
      <w:r w:rsidRPr="00D54B02">
        <w:rPr>
          <w:rFonts w:hint="eastAsia"/>
          <w:b/>
          <w:sz w:val="26"/>
          <w:szCs w:val="26"/>
        </w:rPr>
        <w:t>日</w:t>
      </w:r>
      <w:proofErr w:type="gramStart"/>
      <w:r w:rsidRPr="00D54B02">
        <w:rPr>
          <w:rFonts w:hint="eastAsia"/>
          <w:b/>
          <w:sz w:val="26"/>
          <w:szCs w:val="26"/>
        </w:rPr>
        <w:t>健保審字第</w:t>
      </w:r>
      <w:r w:rsidRPr="00D54B02">
        <w:rPr>
          <w:rFonts w:hint="eastAsia"/>
          <w:b/>
          <w:sz w:val="26"/>
          <w:szCs w:val="26"/>
        </w:rPr>
        <w:t>1070036287</w:t>
      </w:r>
      <w:r w:rsidRPr="00D54B02">
        <w:rPr>
          <w:rFonts w:hint="eastAsia"/>
          <w:b/>
          <w:sz w:val="26"/>
          <w:szCs w:val="26"/>
        </w:rPr>
        <w:t>號</w:t>
      </w:r>
      <w:proofErr w:type="gramEnd"/>
      <w:r w:rsidRPr="00D54B02">
        <w:rPr>
          <w:rFonts w:hint="eastAsia"/>
          <w:b/>
          <w:sz w:val="26"/>
          <w:szCs w:val="26"/>
        </w:rPr>
        <w:t>函</w:t>
      </w:r>
    </w:p>
    <w:p w:rsidR="00872B24" w:rsidRPr="00D54B02" w:rsidRDefault="00872B24" w:rsidP="00872B24">
      <w:pPr>
        <w:ind w:leftChars="236" w:left="849" w:hanging="283"/>
        <w:rPr>
          <w:sz w:val="26"/>
          <w:szCs w:val="26"/>
        </w:rPr>
      </w:pPr>
      <w:r w:rsidRPr="00D54B02">
        <w:rPr>
          <w:rFonts w:hint="eastAsia"/>
          <w:sz w:val="26"/>
          <w:szCs w:val="26"/>
        </w:rPr>
        <w:t>[</w:t>
      </w:r>
      <w:proofErr w:type="gramStart"/>
      <w:r w:rsidRPr="00D54B02">
        <w:rPr>
          <w:rFonts w:hint="eastAsia"/>
          <w:sz w:val="26"/>
          <w:szCs w:val="26"/>
        </w:rPr>
        <w:t>特材同</w:t>
      </w:r>
      <w:proofErr w:type="gramEnd"/>
      <w:r w:rsidRPr="00D54B02">
        <w:rPr>
          <w:rFonts w:hint="eastAsia"/>
          <w:sz w:val="26"/>
          <w:szCs w:val="26"/>
        </w:rPr>
        <w:t>給付規定同功能類別相同支付點數免重</w:t>
      </w:r>
      <w:proofErr w:type="gramStart"/>
      <w:r w:rsidRPr="00D54B02">
        <w:rPr>
          <w:rFonts w:hint="eastAsia"/>
          <w:sz w:val="26"/>
          <w:szCs w:val="26"/>
        </w:rPr>
        <w:t>送事</w:t>
      </w:r>
      <w:proofErr w:type="gramEnd"/>
      <w:r w:rsidRPr="00D54B02">
        <w:rPr>
          <w:rFonts w:hint="eastAsia"/>
          <w:sz w:val="26"/>
          <w:szCs w:val="26"/>
        </w:rPr>
        <w:t>審</w:t>
      </w:r>
      <w:r w:rsidRPr="00D54B02">
        <w:rPr>
          <w:rFonts w:hint="eastAsia"/>
          <w:sz w:val="26"/>
          <w:szCs w:val="26"/>
        </w:rPr>
        <w:t>]</w:t>
      </w:r>
    </w:p>
    <w:p w:rsidR="002D4781" w:rsidRPr="00872B24" w:rsidRDefault="00872B24" w:rsidP="00872B24">
      <w:pPr>
        <w:spacing w:line="240" w:lineRule="atLeast"/>
        <w:ind w:left="425" w:hangingChars="177" w:hanging="425"/>
        <w:rPr>
          <w:rFonts w:eastAsia="標楷體"/>
          <w:b/>
          <w:sz w:val="32"/>
          <w:szCs w:val="28"/>
        </w:rPr>
      </w:pPr>
      <w:r>
        <w:rPr>
          <w:noProof/>
        </w:rPr>
        <w:drawing>
          <wp:inline distT="0" distB="0" distL="0" distR="0" wp14:anchorId="6F28D3BB" wp14:editId="0C4FAB1E">
            <wp:extent cx="5759450" cy="6691822"/>
            <wp:effectExtent l="19050" t="19050" r="12700" b="1397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69182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D4781" w:rsidRPr="002D4781" w:rsidRDefault="002D4781" w:rsidP="002C276C">
      <w:pPr>
        <w:spacing w:line="480" w:lineRule="exact"/>
        <w:ind w:left="567" w:hangingChars="177" w:hanging="567"/>
        <w:rPr>
          <w:rFonts w:eastAsia="標楷體"/>
          <w:b/>
          <w:sz w:val="32"/>
          <w:szCs w:val="28"/>
        </w:rPr>
      </w:pPr>
    </w:p>
    <w:sectPr w:rsidR="002D4781" w:rsidRPr="002D4781" w:rsidSect="00F07D98">
      <w:type w:val="continuous"/>
      <w:pgSz w:w="11906" w:h="16838" w:code="9"/>
      <w:pgMar w:top="567" w:right="1133" w:bottom="284" w:left="1134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8EE" w:rsidRDefault="00A728EE" w:rsidP="00A728EE">
      <w:r>
        <w:separator/>
      </w:r>
    </w:p>
  </w:endnote>
  <w:endnote w:type="continuationSeparator" w:id="0">
    <w:p w:rsidR="00A728EE" w:rsidRDefault="00A728EE" w:rsidP="00A7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8EE" w:rsidRDefault="00A728EE" w:rsidP="00A728EE">
      <w:r>
        <w:separator/>
      </w:r>
    </w:p>
  </w:footnote>
  <w:footnote w:type="continuationSeparator" w:id="0">
    <w:p w:rsidR="00A728EE" w:rsidRDefault="00A728EE" w:rsidP="00A72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630E"/>
    <w:multiLevelType w:val="hybridMultilevel"/>
    <w:tmpl w:val="2772C122"/>
    <w:lvl w:ilvl="0" w:tplc="D02CE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467C8F"/>
    <w:multiLevelType w:val="hybridMultilevel"/>
    <w:tmpl w:val="776CE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883AE9"/>
    <w:multiLevelType w:val="hybridMultilevel"/>
    <w:tmpl w:val="6C52E96A"/>
    <w:lvl w:ilvl="0" w:tplc="17D83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DC71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C2FB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ECD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2679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63B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CFD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D44C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43E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711B8"/>
    <w:multiLevelType w:val="hybridMultilevel"/>
    <w:tmpl w:val="2B14E950"/>
    <w:lvl w:ilvl="0" w:tplc="177A26FE">
      <w:start w:val="1"/>
      <w:numFmt w:val="taiwaneseCountingThousand"/>
      <w:lvlText w:val="%1、"/>
      <w:lvlJc w:val="left"/>
      <w:pPr>
        <w:ind w:left="1046" w:hanging="480"/>
      </w:pPr>
      <w:rPr>
        <w:rFonts w:asciiTheme="minorHAnsi" w:eastAsia="標楷體" w:hAnsiTheme="minorHAnsi" w:cstheme="minorBidi"/>
      </w:rPr>
    </w:lvl>
    <w:lvl w:ilvl="1" w:tplc="698A2C66">
      <w:start w:val="1"/>
      <w:numFmt w:val="taiwaneseCountingThousand"/>
      <w:lvlText w:val="(%2)"/>
      <w:lvlJc w:val="left"/>
      <w:pPr>
        <w:ind w:left="152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6D094F18"/>
    <w:multiLevelType w:val="hybridMultilevel"/>
    <w:tmpl w:val="E1B45518"/>
    <w:lvl w:ilvl="0" w:tplc="447CCDEE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817F2"/>
    <w:rsid w:val="0001545A"/>
    <w:rsid w:val="000F1C8A"/>
    <w:rsid w:val="00142058"/>
    <w:rsid w:val="00152BE7"/>
    <w:rsid w:val="001A4E7E"/>
    <w:rsid w:val="0025352E"/>
    <w:rsid w:val="002C276C"/>
    <w:rsid w:val="002D4781"/>
    <w:rsid w:val="00305F65"/>
    <w:rsid w:val="00484735"/>
    <w:rsid w:val="004E03F3"/>
    <w:rsid w:val="00556BD5"/>
    <w:rsid w:val="00753735"/>
    <w:rsid w:val="007C738D"/>
    <w:rsid w:val="007D3B8A"/>
    <w:rsid w:val="007E4591"/>
    <w:rsid w:val="00872B24"/>
    <w:rsid w:val="009C337A"/>
    <w:rsid w:val="009F0C0F"/>
    <w:rsid w:val="00A30586"/>
    <w:rsid w:val="00A728EE"/>
    <w:rsid w:val="00B13DEA"/>
    <w:rsid w:val="00B36A6A"/>
    <w:rsid w:val="00B55CC4"/>
    <w:rsid w:val="00B817F2"/>
    <w:rsid w:val="00D00D08"/>
    <w:rsid w:val="00D941A6"/>
    <w:rsid w:val="00E87078"/>
    <w:rsid w:val="00F07D98"/>
    <w:rsid w:val="00F72FCD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0160BA2-E546-4988-A2E7-A161A2F9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B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07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2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28E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2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28EE"/>
    <w:rPr>
      <w:sz w:val="20"/>
      <w:szCs w:val="20"/>
    </w:rPr>
  </w:style>
  <w:style w:type="table" w:styleId="a8">
    <w:name w:val="Table Grid"/>
    <w:basedOn w:val="a1"/>
    <w:uiPriority w:val="59"/>
    <w:rsid w:val="00F72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6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87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4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Calibri"/>
        <a:ea typeface="標楷體"/>
        <a:cs typeface=""/>
      </a:majorFont>
      <a:minorFont>
        <a:latin typeface="Calibri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蔡佳倫</dc:creator>
  <cp:keywords/>
  <dc:description/>
  <cp:lastModifiedBy>蔡佳倫</cp:lastModifiedBy>
  <cp:revision>5</cp:revision>
  <cp:lastPrinted>2021-09-17T06:13:00Z</cp:lastPrinted>
  <dcterms:created xsi:type="dcterms:W3CDTF">2021-09-23T03:58:00Z</dcterms:created>
  <dcterms:modified xsi:type="dcterms:W3CDTF">2021-10-20T07:23:00Z</dcterms:modified>
</cp:coreProperties>
</file>