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EA0" w:rsidRDefault="007D66B8" w:rsidP="005142EB">
      <w:pPr>
        <w:spacing w:line="400" w:lineRule="exact"/>
        <w:jc w:val="center"/>
        <w:rPr>
          <w:rFonts w:ascii="標楷體" w:eastAsia="標楷體" w:hAnsi="標楷體"/>
          <w:b/>
          <w:bCs/>
          <w:color w:val="000000"/>
          <w:sz w:val="32"/>
          <w:szCs w:val="32"/>
        </w:rPr>
      </w:pPr>
      <w:r>
        <w:rPr>
          <w:rFonts w:ascii="標楷體" w:eastAsia="標楷體" w:hAnsi="標楷體"/>
          <w:b/>
          <w:bCs/>
          <w:color w:val="000000"/>
          <w:sz w:val="32"/>
          <w:szCs w:val="32"/>
        </w:rPr>
        <w:t>第9節抗癌瘤藥物Antineoplastics drugs</w:t>
      </w:r>
    </w:p>
    <w:p w:rsidR="00B96EA0" w:rsidRDefault="00B96EA0" w:rsidP="005142EB">
      <w:pPr>
        <w:spacing w:line="400" w:lineRule="exact"/>
        <w:jc w:val="center"/>
        <w:rPr>
          <w:rFonts w:ascii="標楷體" w:eastAsia="標楷體" w:hAnsi="標楷體"/>
          <w:b/>
          <w:bCs/>
          <w:color w:val="000000"/>
          <w:sz w:val="32"/>
          <w:szCs w:val="32"/>
        </w:rPr>
      </w:pP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9.1.Aromatase Inhibitors</w:t>
      </w:r>
    </w:p>
    <w:p w:rsidR="00B96EA0" w:rsidRDefault="007D66B8" w:rsidP="005142EB">
      <w:pPr>
        <w:spacing w:line="400" w:lineRule="exact"/>
        <w:ind w:left="992" w:hanging="706"/>
        <w:rPr>
          <w:rFonts w:ascii="標楷體" w:eastAsia="標楷體" w:hAnsi="標楷體"/>
          <w:color w:val="000000"/>
        </w:rPr>
      </w:pPr>
      <w:r>
        <w:rPr>
          <w:rFonts w:ascii="標楷體" w:eastAsia="標楷體" w:hAnsi="標楷體"/>
          <w:color w:val="000000"/>
        </w:rPr>
        <w:t>9.1.1.Exemestane(如Aromasin Sugar Coated Tablets)：（88/11/1、90/10/1、99/6/1、105/8/1)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1.限停經後或卵巢切除後，且女性荷爾蒙受體(estrogen receptor)陽性之晚期乳癌病患，經使用tamoxifen無效後，方可使用。</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2.具有雌激素受體陽性之停經婦女，使用tamoxifen至少兩年之高危險早期侵犯性乳癌的輔助治療，且不得與tamoxifen或其他aromatase inhibitor併用。使用時需同時符合下列規定：(105/8/1)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(1)病歷上應詳細記載手術資料、病理報告(應包含ER、PR之檢測結果且無復發現象)。</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(2)本案藥品使用不得超過三年。</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9.1.2.Anastrozole(如Arimidex)：（88/6/1、92/3/1、93/6/1）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1.停經後雌激素接受器為陽性或不清楚之局部晚期或轉移性乳癌第一線治療。(92/3/1)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2.停經後婦女晚期乳癌，雌激素接受器為陰性，但曾對tamoxifen有陽性反應者。(92/3/1)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3.停經後婦女罹患早期侵犯性乳癌，經外科手術切除後且雌激素接受器為陽性，且有血栓栓塞症或子宮內膜異常增生的高危險群，而無法使用tamoxifen治療者。(93/6/1)</w:t>
      </w:r>
    </w:p>
    <w:p w:rsidR="00B96EA0" w:rsidRDefault="007D66B8" w:rsidP="005142EB">
      <w:pPr>
        <w:spacing w:line="400" w:lineRule="exact"/>
        <w:ind w:left="1231" w:hanging="698"/>
        <w:rPr>
          <w:rFonts w:ascii="標楷體" w:eastAsia="標楷體" w:hAnsi="標楷體"/>
          <w:color w:val="000000"/>
        </w:rPr>
      </w:pPr>
      <w:r>
        <w:rPr>
          <w:rFonts w:ascii="標楷體" w:eastAsia="標楷體" w:hAnsi="標楷體"/>
          <w:color w:val="000000"/>
        </w:rPr>
        <w:t>備註：療程期間以不超過五年為原則。血栓栓塞症或子宮內膜異常增生的高危險群需符合下列情形之一：</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(1)有腦血管梗塞病史者。</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(2)有靜脈血栓栓塞症病史者。</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(3)有子宮異常出血病史，且「經陰道超音波檢查」判定為子宮內膜異常增生的高危險群。</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9.1.3.Letrozole：（88/11/1、90/10/1、92/3/1、97/11/1、98/11/1、99/9/1、102/8/1)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1.接受抗動情激素治療失敗的自然或人工停經後之末期乳癌病人之治療、停經後之局部晚期或轉移性乳癌婦女患者之第一線治療用藥。</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2.停經後且荷爾蒙接受體呈陽性，有淋巴結轉移之乳癌病人，作為tamoxifen治療五年後的延伸治療，且不得與其他aromatase inhibitor併用。使用時需同時符合下列規定：（97/11/1）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(1)手術後大於等於11年且無復發者不得使用。</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(2)每日最大劑量2.5mg，使用不得超過四年。</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lastRenderedPageBreak/>
        <w:t>3.停經後且荷爾蒙接受體呈陽性之早期乳癌病人，經外科手術切除後之輔助治療，且不得與tamoxifen或其他aromatase inhibitor併用。使用時需同時符合下列規定：(98/11/1、99/9/1、102/8/1)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(1)每日最大劑量2.5mg，使用不得超過五年；</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(2)若由tamoxifen轉換使用本品，則使用期限合計不得超過5年。</w:t>
      </w:r>
    </w:p>
    <w:p w:rsidR="00B96EA0" w:rsidRDefault="007D66B8" w:rsidP="005142EB">
      <w:pPr>
        <w:spacing w:line="400" w:lineRule="exact"/>
        <w:ind w:left="847" w:hanging="281"/>
        <w:rPr>
          <w:rFonts w:ascii="標楷體" w:eastAsia="標楷體" w:hAnsi="標楷體"/>
          <w:color w:val="000000"/>
        </w:rPr>
      </w:pPr>
      <w:r>
        <w:rPr>
          <w:rFonts w:ascii="標楷體" w:eastAsia="標楷體" w:hAnsi="標楷體"/>
          <w:color w:val="000000"/>
        </w:rPr>
        <w:t>4.病歷上應詳細記載手術資料、病理報告(應包含ER、PR之檢測結果且無復發現象)及用藥紀錄(如tamoxifen使用五年證明)。</w:t>
      </w:r>
    </w:p>
    <w:p w:rsidR="009C41ED" w:rsidRPr="00367DBE" w:rsidRDefault="009C41ED" w:rsidP="009C41ED">
      <w:pPr>
        <w:spacing w:line="400" w:lineRule="exact"/>
        <w:ind w:left="142"/>
        <w:jc w:val="both"/>
        <w:rPr>
          <w:rFonts w:ascii="標楷體" w:eastAsia="標楷體" w:hAnsi="標楷體"/>
          <w:szCs w:val="24"/>
        </w:rPr>
      </w:pPr>
      <w:r w:rsidRPr="00367DBE">
        <w:rPr>
          <w:rFonts w:ascii="標楷體" w:eastAsia="標楷體" w:hAnsi="標楷體"/>
          <w:szCs w:val="24"/>
        </w:rPr>
        <w:t>9.2.Carboplatin(如Paraplatin；Carboplatin inj)：(112/12/1</w:t>
      </w:r>
      <w:r w:rsidRPr="00367DBE">
        <w:rPr>
          <w:rFonts w:ascii="標楷體" w:eastAsia="標楷體" w:hAnsi="標楷體" w:hint="eastAsia"/>
          <w:szCs w:val="24"/>
        </w:rPr>
        <w:t>、114/2/1、1</w:t>
      </w:r>
      <w:r w:rsidRPr="00367DBE">
        <w:rPr>
          <w:rFonts w:ascii="標楷體" w:eastAsia="標楷體" w:hAnsi="標楷體"/>
          <w:szCs w:val="24"/>
        </w:rPr>
        <w:t>14/6/1</w:t>
      </w:r>
      <w:r w:rsidRPr="00367DBE">
        <w:rPr>
          <w:rFonts w:ascii="標楷體" w:eastAsia="標楷體" w:hAnsi="標楷體" w:hint="eastAsia"/>
          <w:szCs w:val="24"/>
        </w:rPr>
        <w:t>、1</w:t>
      </w:r>
      <w:r w:rsidRPr="00367DBE">
        <w:rPr>
          <w:rFonts w:ascii="標楷體" w:eastAsia="標楷體" w:hAnsi="標楷體"/>
          <w:szCs w:val="24"/>
        </w:rPr>
        <w:t>14/8/1</w:t>
      </w:r>
      <w:r w:rsidRPr="00367DBE">
        <w:rPr>
          <w:rFonts w:ascii="標楷體" w:eastAsia="標楷體" w:hAnsi="標楷體" w:hint="eastAsia"/>
          <w:szCs w:val="24"/>
        </w:rPr>
        <w:t>、</w:t>
      </w:r>
      <w:r w:rsidRPr="00367DBE">
        <w:rPr>
          <w:rFonts w:ascii="標楷體" w:eastAsia="標楷體" w:hAnsi="標楷體"/>
          <w:szCs w:val="24"/>
        </w:rPr>
        <w:t>114/</w:t>
      </w:r>
      <w:r w:rsidRPr="00367DBE">
        <w:rPr>
          <w:rFonts w:ascii="標楷體" w:eastAsia="標楷體" w:hAnsi="標楷體" w:hint="eastAsia"/>
          <w:szCs w:val="24"/>
        </w:rPr>
        <w:t>10</w:t>
      </w:r>
      <w:r w:rsidRPr="00367DBE">
        <w:rPr>
          <w:rFonts w:ascii="標楷體" w:eastAsia="標楷體" w:hAnsi="標楷體"/>
          <w:szCs w:val="24"/>
        </w:rPr>
        <w:t>/1)</w:t>
      </w:r>
    </w:p>
    <w:p w:rsidR="009C41ED" w:rsidRPr="00367DBE" w:rsidRDefault="009C41ED" w:rsidP="009C41ED">
      <w:pPr>
        <w:spacing w:line="400" w:lineRule="exact"/>
        <w:ind w:left="33" w:hanging="1"/>
        <w:jc w:val="both"/>
        <w:rPr>
          <w:rFonts w:ascii="標楷體" w:eastAsia="標楷體" w:hAnsi="標楷體"/>
          <w:szCs w:val="24"/>
        </w:rPr>
      </w:pPr>
      <w:r>
        <w:rPr>
          <w:rFonts w:ascii="標楷體" w:eastAsia="標楷體" w:hAnsi="標楷體" w:hint="eastAsia"/>
        </w:rPr>
        <w:t xml:space="preserve">   </w:t>
      </w:r>
      <w:r w:rsidRPr="00367DBE">
        <w:rPr>
          <w:rFonts w:ascii="標楷體" w:eastAsia="標楷體" w:hAnsi="標楷體"/>
          <w:szCs w:val="24"/>
        </w:rPr>
        <w:t>限</w:t>
      </w:r>
    </w:p>
    <w:p w:rsidR="009C41ED" w:rsidRPr="00367DBE" w:rsidRDefault="009C41ED" w:rsidP="009C41ED">
      <w:pPr>
        <w:pStyle w:val="a9"/>
        <w:spacing w:line="400" w:lineRule="exact"/>
        <w:ind w:leftChars="118" w:left="283" w:firstLineChars="59" w:firstLine="142"/>
        <w:jc w:val="both"/>
        <w:rPr>
          <w:rFonts w:ascii="標楷體" w:eastAsia="標楷體" w:hAnsi="標楷體"/>
        </w:rPr>
      </w:pPr>
      <w:r w:rsidRPr="00367DBE">
        <w:rPr>
          <w:rFonts w:ascii="標楷體" w:eastAsia="標楷體" w:hAnsi="標楷體" w:hint="eastAsia"/>
        </w:rPr>
        <w:t>1</w:t>
      </w:r>
      <w:r w:rsidRPr="00367DBE">
        <w:rPr>
          <w:rFonts w:ascii="標楷體" w:eastAsia="標楷體" w:hAnsi="標楷體"/>
        </w:rPr>
        <w:t>.卵巢癌患者。</w:t>
      </w:r>
    </w:p>
    <w:p w:rsidR="009C41ED" w:rsidRPr="00367DBE" w:rsidRDefault="009C41ED" w:rsidP="009C41ED">
      <w:pPr>
        <w:pStyle w:val="a9"/>
        <w:spacing w:line="400" w:lineRule="exact"/>
        <w:ind w:leftChars="118" w:left="283" w:firstLineChars="59" w:firstLine="142"/>
        <w:jc w:val="both"/>
        <w:rPr>
          <w:rFonts w:ascii="標楷體" w:eastAsia="標楷體" w:hAnsi="標楷體"/>
        </w:rPr>
      </w:pPr>
      <w:r w:rsidRPr="00367DBE">
        <w:rPr>
          <w:rFonts w:ascii="標楷體" w:eastAsia="標楷體" w:hAnsi="標楷體" w:hint="eastAsia"/>
        </w:rPr>
        <w:t>2</w:t>
      </w:r>
      <w:r w:rsidRPr="00367DBE">
        <w:rPr>
          <w:rFonts w:ascii="標楷體" w:eastAsia="標楷體" w:hAnsi="標楷體"/>
        </w:rPr>
        <w:t>.腎功能不佳(CCr&lt;60)或曾作單側或以上腎切除之惡性腫瘤患者使用。</w:t>
      </w:r>
    </w:p>
    <w:p w:rsidR="009C41ED" w:rsidRPr="00367DBE" w:rsidRDefault="009C41ED" w:rsidP="009C41ED">
      <w:pPr>
        <w:pStyle w:val="a9"/>
        <w:spacing w:line="400" w:lineRule="exact"/>
        <w:ind w:leftChars="178" w:left="708" w:hangingChars="117" w:hanging="281"/>
        <w:jc w:val="both"/>
        <w:rPr>
          <w:rFonts w:ascii="標楷體" w:eastAsia="標楷體" w:hAnsi="標楷體"/>
        </w:rPr>
      </w:pPr>
      <w:r w:rsidRPr="00367DBE">
        <w:rPr>
          <w:rFonts w:ascii="標楷體" w:eastAsia="標楷體" w:hAnsi="標楷體" w:hint="eastAsia"/>
        </w:rPr>
        <w:t>3</w:t>
      </w:r>
      <w:r w:rsidRPr="00367DBE">
        <w:rPr>
          <w:rFonts w:ascii="標楷體" w:eastAsia="標楷體" w:hAnsi="標楷體"/>
        </w:rPr>
        <w:t>.與pembrolizumab及paclitaxel併用於轉移性鱗狀非小細胞肺癌的第一線治療，患者需符合免疫檢查點抑制劑之藥品給付規定。(112/12/1)</w:t>
      </w:r>
    </w:p>
    <w:p w:rsidR="009C41ED" w:rsidRPr="00367DBE" w:rsidRDefault="009C41ED" w:rsidP="009C41ED">
      <w:pPr>
        <w:pStyle w:val="a9"/>
        <w:spacing w:line="400" w:lineRule="exact"/>
        <w:ind w:leftChars="178" w:left="708" w:hangingChars="117" w:hanging="281"/>
        <w:jc w:val="both"/>
        <w:rPr>
          <w:rFonts w:ascii="標楷體" w:eastAsia="標楷體" w:hAnsi="標楷體"/>
        </w:rPr>
      </w:pPr>
      <w:r w:rsidRPr="00367DBE">
        <w:rPr>
          <w:rFonts w:ascii="標楷體" w:eastAsia="標楷體" w:hAnsi="標楷體" w:hint="eastAsia"/>
        </w:rPr>
        <w:t>4</w:t>
      </w:r>
      <w:r w:rsidRPr="00367DBE">
        <w:rPr>
          <w:rFonts w:ascii="標楷體" w:eastAsia="標楷體" w:hAnsi="標楷體"/>
        </w:rPr>
        <w:t>.與atezolizumab及etoposide併用</w:t>
      </w:r>
      <w:r w:rsidRPr="00367DBE">
        <w:rPr>
          <w:rFonts w:ascii="標楷體" w:eastAsia="標楷體" w:hAnsi="標楷體" w:hint="eastAsia"/>
        </w:rPr>
        <w:t>，或與d</w:t>
      </w:r>
      <w:r w:rsidRPr="00367DBE">
        <w:rPr>
          <w:rFonts w:ascii="標楷體" w:eastAsia="標楷體" w:hAnsi="標楷體"/>
        </w:rPr>
        <w:t>urvalumab</w:t>
      </w:r>
      <w:r w:rsidRPr="00367DBE">
        <w:rPr>
          <w:rFonts w:ascii="標楷體" w:eastAsia="標楷體" w:hAnsi="標楷體" w:hint="eastAsia"/>
        </w:rPr>
        <w:t>及</w:t>
      </w:r>
      <w:r w:rsidRPr="00367DBE">
        <w:rPr>
          <w:rFonts w:ascii="標楷體" w:eastAsia="標楷體" w:hAnsi="標楷體"/>
        </w:rPr>
        <w:t>etoposide</w:t>
      </w:r>
      <w:r w:rsidRPr="00367DBE">
        <w:rPr>
          <w:rFonts w:ascii="標楷體" w:eastAsia="標楷體" w:hAnsi="標楷體" w:hint="eastAsia"/>
        </w:rPr>
        <w:t>併用</w:t>
      </w:r>
      <w:r w:rsidRPr="00367DBE">
        <w:rPr>
          <w:rFonts w:ascii="標楷體" w:eastAsia="標楷體" w:hAnsi="標楷體"/>
        </w:rPr>
        <w:t>於擴散期(extensive stage)小細胞肺癌成人患者時，患者需符合免疫檢查點抑制劑之藥品給付規定。(112/12/1</w:t>
      </w:r>
      <w:r w:rsidRPr="00367DBE">
        <w:rPr>
          <w:rFonts w:ascii="標楷體" w:eastAsia="標楷體" w:hAnsi="標楷體" w:hint="eastAsia"/>
        </w:rPr>
        <w:t>、114/2/1</w:t>
      </w:r>
      <w:r w:rsidRPr="00367DBE">
        <w:rPr>
          <w:rFonts w:ascii="標楷體" w:eastAsia="標楷體" w:hAnsi="標楷體"/>
        </w:rPr>
        <w:t>)</w:t>
      </w:r>
    </w:p>
    <w:p w:rsidR="009C41ED" w:rsidRPr="00367DBE" w:rsidRDefault="009C41ED" w:rsidP="009C41ED">
      <w:pPr>
        <w:pStyle w:val="a9"/>
        <w:spacing w:line="400" w:lineRule="exact"/>
        <w:ind w:leftChars="178" w:left="566" w:hangingChars="58" w:hanging="139"/>
        <w:jc w:val="both"/>
        <w:rPr>
          <w:rFonts w:ascii="標楷體" w:eastAsia="標楷體" w:hAnsi="標楷體"/>
        </w:rPr>
      </w:pPr>
      <w:r w:rsidRPr="00367DBE">
        <w:rPr>
          <w:rFonts w:ascii="標楷體" w:eastAsia="標楷體" w:hAnsi="標楷體" w:hint="eastAsia"/>
        </w:rPr>
        <w:t>5.與pembrolizumab及pemetrexed(限使用Pexeda、Apeta或Pemetrexed Sandoz)併用，或與atezolizumab及bevacizumab(限使用Alymsys、Avastin、Abevmy、Vegzelma或Mvasi)、paclitaxel併用，做為轉移性且不具有EGFR/ALK/ROS-1腫瘤基因異常的非鱗狀非小細胞肺癌的第一線治療，患者需符合免疫檢查點抑制劑之藥品給付規定。(114/6/1、114/8/1)</w:t>
      </w:r>
    </w:p>
    <w:p w:rsidR="009C41ED" w:rsidRPr="00367DBE" w:rsidRDefault="009C41ED" w:rsidP="009C41ED">
      <w:pPr>
        <w:pStyle w:val="a9"/>
        <w:spacing w:line="400" w:lineRule="exact"/>
        <w:ind w:leftChars="178" w:left="708" w:hangingChars="117" w:hanging="281"/>
        <w:jc w:val="both"/>
        <w:rPr>
          <w:rFonts w:ascii="標楷體" w:eastAsia="標楷體" w:hAnsi="標楷體"/>
        </w:rPr>
      </w:pPr>
      <w:r w:rsidRPr="00367DBE">
        <w:rPr>
          <w:rFonts w:ascii="標楷體" w:eastAsia="標楷體" w:hAnsi="標楷體"/>
        </w:rPr>
        <w:t>6.</w:t>
      </w:r>
      <w:r w:rsidRPr="00367DBE">
        <w:rPr>
          <w:rFonts w:ascii="標楷體" w:eastAsia="標楷體" w:hAnsi="標楷體" w:hint="eastAsia"/>
        </w:rPr>
        <w:t>與pembrolizumab及paclitaxel併用於早期三陰性乳癌(第II期至第IIIb期，cT1c N1-2或T2-4 N0-2)病人的術前前導性治療用藥，病人需符合免疫檢查點抑制劑之藥品給付規定。(114/6/1)</w:t>
      </w:r>
    </w:p>
    <w:p w:rsidR="00B96EA0" w:rsidRDefault="009C41ED" w:rsidP="009C41ED">
      <w:pPr>
        <w:tabs>
          <w:tab w:val="left" w:pos="567"/>
        </w:tabs>
        <w:spacing w:line="400" w:lineRule="exact"/>
        <w:ind w:leftChars="178" w:left="708" w:hangingChars="117" w:hanging="281"/>
      </w:pPr>
      <w:r w:rsidRPr="00367DBE">
        <w:rPr>
          <w:rFonts w:ascii="標楷體" w:eastAsia="標楷體" w:hAnsi="標楷體"/>
          <w:szCs w:val="24"/>
        </w:rPr>
        <w:t>7.</w:t>
      </w:r>
      <w:r w:rsidRPr="00367DBE">
        <w:rPr>
          <w:rFonts w:ascii="標楷體" w:eastAsia="標楷體" w:hAnsi="標楷體" w:hint="eastAsia"/>
          <w:szCs w:val="24"/>
        </w:rPr>
        <w:t>與amivantamab 及pemetrexed 併用於罹患帶有表皮生長因子受體(EGFR) exon 20 插入突變之局部晚期或轉移性非小細胞肺癌</w:t>
      </w:r>
      <w:r w:rsidRPr="00367DBE">
        <w:rPr>
          <w:rFonts w:ascii="標楷體" w:eastAsia="標楷體" w:hAnsi="標楷體"/>
          <w:szCs w:val="24"/>
        </w:rPr>
        <w:t>(NSCLC)</w:t>
      </w:r>
      <w:r w:rsidRPr="00367DBE">
        <w:rPr>
          <w:rFonts w:ascii="標楷體" w:eastAsia="標楷體" w:hAnsi="標楷體" w:hint="eastAsia"/>
          <w:szCs w:val="24"/>
        </w:rPr>
        <w:t>的成人病人，作為第一線治療。</w:t>
      </w:r>
      <w:r w:rsidRPr="00367DBE">
        <w:rPr>
          <w:rFonts w:ascii="標楷體" w:eastAsia="標楷體" w:hAnsi="標楷體"/>
          <w:szCs w:val="24"/>
        </w:rPr>
        <w:t>(114/</w:t>
      </w:r>
      <w:r w:rsidRPr="00367DBE">
        <w:rPr>
          <w:rFonts w:ascii="標楷體" w:eastAsia="標楷體" w:hAnsi="標楷體" w:hint="eastAsia"/>
          <w:szCs w:val="24"/>
        </w:rPr>
        <w:t>10</w:t>
      </w:r>
      <w:r w:rsidRPr="00367DBE">
        <w:rPr>
          <w:rFonts w:ascii="標楷體" w:eastAsia="標楷體" w:hAnsi="標楷體"/>
          <w:szCs w:val="24"/>
        </w:rPr>
        <w:t>/1)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9.3.Docetaxel：（87/7/1、92/11/1、93/8/1、95/8/1、96/1/1、99/6/1、100/1/1、101/9/1、108/1/1、113/5/1）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1.乳癌：</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(1)局部晚期或轉移性乳癌。</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(2)與anthracycline合併使用於腋下淋巴結轉移之早期乳癌之術後輔助性化學治療。(99/6/1)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(3)早期乳癌手術後，經診斷為三陰性反應且無淋巴轉移的病人，得作為與cyclophosphamide併用doxorubicin的化學輔助療法。(101/9/1）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lastRenderedPageBreak/>
        <w:t>2.非小細胞肺癌：局部晚期或轉移性非小細胞肺癌。</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3.前列腺癌：</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(1)於荷爾蒙治療失敗之轉移性前列腺癌。</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(2)與darolutamide併用於治療高風險轉移性的去勢敏感性前列腺癌(mCSPC)，患者需符合darolutamide之藥品給付規定。(113/5/1)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4.頭頸癌：限局部晚期且無遠端轉移之頭頸部鱗狀細胞癌且無法手術切除者，與cisplatin及5-fluorouracil併用，作為放射治療前的引導治療，限使用4個療程。(100/1/1)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5.胃腺癌：晚期胃腺癌患者，包括胃食道接合處之腺癌。(108/1/1)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9.4.Gemcitabine（如Gemzar）：（92/12/1、93/8/1、94/10/1、96/5/1、99/10/1、105/2/1、114/2/1）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限用於</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1.晚期或無法手術切除之非小細胞肺癌及胰臟癌病患。</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2.晚期膀胱癌病患。（92/12/1）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3.Gemcitabine與paclitaxel併用，可使用於曾經使用過anthracycline之局部復發且無法手術切除或轉移性之乳癌病患。（94/10/1）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4.用於曾經使用含鉑類藥物(platinum-based)治療後復發且間隔至少6個月之卵巢癌，作為第二線治療。（96/5/1、99/10/1）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5.無法手術切除或晚期或復發之膽道癌(含肝內膽管)病患。（105/2/1）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6.與durvalumab及cisplatin併用於治療局部晚期或轉移性未接受治療或不可手術之膽道癌(biliary tract cancer)成人病人(壺腹癌除外)，患者需符合免疫檢查點抑制劑之藥品給付規定。（114/2/1)</w:t>
      </w:r>
    </w:p>
    <w:p w:rsidR="00B96EA0" w:rsidRDefault="00CF183E" w:rsidP="005142EB">
      <w:pPr>
        <w:spacing w:line="400" w:lineRule="exact"/>
        <w:ind w:left="672" w:hanging="386"/>
        <w:rPr>
          <w:rFonts w:ascii="標楷體" w:eastAsia="標楷體" w:hAnsi="標楷體"/>
          <w:color w:val="000000"/>
        </w:rPr>
      </w:pPr>
      <w:bookmarkStart w:id="0" w:name="_Hlk204090564"/>
      <w:bookmarkStart w:id="1" w:name="_Hlk198656705"/>
      <w:r w:rsidRPr="005A2133">
        <w:rPr>
          <w:rFonts w:ascii="標楷體" w:eastAsia="標楷體" w:hAnsi="標楷體"/>
          <w:color w:val="000000"/>
        </w:rPr>
        <w:t>9.5.Paclitaxel成分劑：（88/8/1、88/11/1、89/6/1、89/10/1、91/4/1、91/8/1、93/8/1、94/1/1、98/8/1、108/11/1、112/12/1、114/6/1</w:t>
      </w:r>
      <w:r w:rsidRPr="005A2133">
        <w:rPr>
          <w:rFonts w:ascii="標楷體" w:eastAsia="標楷體" w:hAnsi="標楷體" w:hint="eastAsia"/>
          <w:szCs w:val="24"/>
        </w:rPr>
        <w:t>、114/8/1</w:t>
      </w:r>
      <w:r w:rsidRPr="005A2133">
        <w:rPr>
          <w:rFonts w:ascii="標楷體" w:eastAsia="標楷體" w:hAnsi="標楷體"/>
          <w:color w:val="000000"/>
        </w:rPr>
        <w:t>）</w:t>
      </w:r>
      <w:bookmarkEnd w:id="0"/>
    </w:p>
    <w:p w:rsidR="00CF183E" w:rsidRPr="00CF183E" w:rsidRDefault="00CF183E" w:rsidP="00CF183E">
      <w:pPr>
        <w:spacing w:line="300" w:lineRule="exact"/>
        <w:ind w:left="805" w:hanging="521"/>
        <w:rPr>
          <w:rFonts w:ascii="標楷體" w:eastAsia="標楷體" w:hAnsi="標楷體"/>
          <w:color w:val="000000"/>
        </w:rPr>
      </w:pPr>
      <w:bookmarkStart w:id="2" w:name="_Hlk204090575"/>
      <w:bookmarkEnd w:id="1"/>
      <w:r w:rsidRPr="00CF183E">
        <w:rPr>
          <w:rFonts w:ascii="標楷體" w:eastAsia="標楷體" w:hAnsi="標楷體"/>
          <w:color w:val="000000"/>
        </w:rPr>
        <w:t>9.5.1.Paclitaxel成分注射劑：(108/11/1、112/12/1</w:t>
      </w:r>
      <w:r w:rsidRPr="00CF183E">
        <w:rPr>
          <w:rFonts w:ascii="標楷體" w:eastAsia="標楷體" w:hAnsi="標楷體" w:hint="eastAsia"/>
          <w:color w:val="000000"/>
        </w:rPr>
        <w:t>、</w:t>
      </w:r>
      <w:r w:rsidRPr="00CF183E">
        <w:rPr>
          <w:rFonts w:ascii="標楷體" w:eastAsia="標楷體" w:hAnsi="標楷體"/>
          <w:szCs w:val="24"/>
        </w:rPr>
        <w:t>114/6/1</w:t>
      </w:r>
      <w:r w:rsidRPr="00CF183E">
        <w:rPr>
          <w:rFonts w:ascii="標楷體" w:eastAsia="標楷體" w:hAnsi="標楷體" w:hint="eastAsia"/>
          <w:szCs w:val="24"/>
        </w:rPr>
        <w:t>、114/8/1</w:t>
      </w:r>
      <w:r w:rsidRPr="00CF183E">
        <w:rPr>
          <w:rFonts w:ascii="標楷體" w:eastAsia="標楷體" w:hAnsi="標楷體"/>
          <w:color w:val="000000"/>
        </w:rPr>
        <w:t>)</w:t>
      </w:r>
    </w:p>
    <w:p w:rsidR="00CF183E" w:rsidRPr="00CF183E" w:rsidRDefault="00CF183E" w:rsidP="00CF183E">
      <w:pPr>
        <w:spacing w:line="300" w:lineRule="exact"/>
        <w:ind w:left="1233" w:hanging="196"/>
        <w:rPr>
          <w:rFonts w:ascii="標楷體" w:eastAsia="標楷體" w:hAnsi="標楷體"/>
          <w:color w:val="000000"/>
        </w:rPr>
      </w:pPr>
      <w:r w:rsidRPr="00CF183E">
        <w:rPr>
          <w:rFonts w:ascii="標楷體" w:eastAsia="標楷體" w:hAnsi="標楷體"/>
          <w:color w:val="000000"/>
        </w:rPr>
        <w:t>限用於</w:t>
      </w:r>
    </w:p>
    <w:p w:rsidR="00CF183E" w:rsidRPr="00CF183E" w:rsidRDefault="00CF183E" w:rsidP="00CF183E">
      <w:pPr>
        <w:spacing w:line="300" w:lineRule="exact"/>
        <w:ind w:left="993" w:hanging="227"/>
        <w:rPr>
          <w:rFonts w:ascii="標楷體" w:eastAsia="標楷體" w:hAnsi="標楷體"/>
          <w:color w:val="000000"/>
        </w:rPr>
      </w:pPr>
      <w:r w:rsidRPr="00CF183E">
        <w:rPr>
          <w:rFonts w:ascii="標楷體" w:eastAsia="標楷體" w:hAnsi="標楷體"/>
          <w:color w:val="000000"/>
        </w:rPr>
        <w:t>1.晚期卵巢癌，作為第一線治療時需與cisplatin併用。(94/1/1)</w:t>
      </w:r>
    </w:p>
    <w:p w:rsidR="00CF183E" w:rsidRPr="00CF183E" w:rsidRDefault="00CF183E" w:rsidP="00CF183E">
      <w:pPr>
        <w:spacing w:line="300" w:lineRule="exact"/>
        <w:ind w:left="993" w:hanging="227"/>
        <w:rPr>
          <w:rFonts w:ascii="標楷體" w:eastAsia="標楷體" w:hAnsi="標楷體"/>
          <w:color w:val="000000"/>
        </w:rPr>
      </w:pPr>
      <w:r w:rsidRPr="00CF183E">
        <w:rPr>
          <w:rFonts w:ascii="標楷體" w:eastAsia="標楷體" w:hAnsi="標楷體"/>
          <w:color w:val="000000"/>
        </w:rPr>
        <w:t>2.非小細胞肺癌，作為第一線用藥時需與cisplatin併用。(94/1/1)</w:t>
      </w:r>
    </w:p>
    <w:p w:rsidR="00CF183E" w:rsidRPr="00CF183E" w:rsidRDefault="00CF183E" w:rsidP="00CF183E">
      <w:pPr>
        <w:spacing w:line="300" w:lineRule="exact"/>
        <w:ind w:left="993" w:hanging="227"/>
        <w:rPr>
          <w:rFonts w:ascii="標楷體" w:eastAsia="標楷體" w:hAnsi="標楷體"/>
        </w:rPr>
      </w:pPr>
      <w:r w:rsidRPr="00CF183E">
        <w:rPr>
          <w:rFonts w:ascii="標楷體" w:eastAsia="標楷體" w:hAnsi="標楷體"/>
          <w:color w:val="000000"/>
          <w:szCs w:val="24"/>
        </w:rPr>
        <w:t>3.</w:t>
      </w:r>
      <w:r w:rsidRPr="00CF183E">
        <w:rPr>
          <w:rFonts w:ascii="標楷體" w:eastAsia="標楷體" w:hAnsi="標楷體"/>
          <w:szCs w:val="24"/>
        </w:rPr>
        <w:t>與pembrolizumab及carboplatin併用於轉移性鱗狀非小細胞肺癌的第一線治療，患者需符合免疫檢查點抑制劑之藥品給付規定。(112/12/1)</w:t>
      </w:r>
    </w:p>
    <w:p w:rsidR="00CF183E" w:rsidRPr="00CF183E" w:rsidRDefault="00CF183E" w:rsidP="00CF183E">
      <w:pPr>
        <w:spacing w:line="300" w:lineRule="exact"/>
        <w:ind w:left="993" w:hanging="227"/>
        <w:rPr>
          <w:rFonts w:ascii="標楷體" w:eastAsia="標楷體" w:hAnsi="標楷體"/>
          <w:color w:val="000000"/>
        </w:rPr>
      </w:pPr>
      <w:r w:rsidRPr="00CF183E">
        <w:rPr>
          <w:rFonts w:ascii="標楷體" w:eastAsia="標楷體" w:hAnsi="標楷體"/>
          <w:color w:val="000000"/>
        </w:rPr>
        <w:t>4.已使用合併療法(除非有禁忌症、至少應包括使用anthracycline)失敗的轉移性乳癌患者。（91/4/1、94/1/1)</w:t>
      </w:r>
    </w:p>
    <w:p w:rsidR="00CF183E" w:rsidRDefault="00CF183E" w:rsidP="00CF183E">
      <w:pPr>
        <w:spacing w:line="300" w:lineRule="exact"/>
        <w:ind w:left="993" w:hanging="227"/>
        <w:rPr>
          <w:rFonts w:ascii="標楷體" w:eastAsia="標楷體" w:hAnsi="標楷體"/>
          <w:color w:val="000000"/>
        </w:rPr>
      </w:pPr>
      <w:r w:rsidRPr="00CF183E">
        <w:rPr>
          <w:rFonts w:ascii="標楷體" w:eastAsia="標楷體" w:hAnsi="標楷體"/>
          <w:color w:val="000000"/>
        </w:rPr>
        <w:t>5.腋下淋巴轉移之乳癌且動情素受體為陰性之患者，paclitaxel可作為接續含doxorubicin在內之輔助化學治療。（91/4/1、94/1/1、98/8/1)</w:t>
      </w:r>
    </w:p>
    <w:p w:rsidR="00CF183E" w:rsidRDefault="00CF183E" w:rsidP="00CF183E">
      <w:pPr>
        <w:spacing w:line="300" w:lineRule="exact"/>
        <w:ind w:left="993" w:hanging="227"/>
        <w:rPr>
          <w:rFonts w:ascii="標楷體" w:eastAsia="標楷體" w:hAnsi="標楷體"/>
          <w:color w:val="000000"/>
        </w:rPr>
      </w:pPr>
      <w:r>
        <w:rPr>
          <w:rFonts w:ascii="標楷體" w:eastAsia="標楷體" w:hAnsi="標楷體" w:hint="eastAsia"/>
          <w:color w:val="000000"/>
        </w:rPr>
        <w:t>6.</w:t>
      </w:r>
      <w:r w:rsidRPr="00CF183E">
        <w:rPr>
          <w:rFonts w:ascii="標楷體" w:eastAsia="標楷體" w:hAnsi="標楷體"/>
          <w:color w:val="000000"/>
        </w:rPr>
        <w:t>卡波西氏肉瘤第二線用藥。（88/11/1）</w:t>
      </w:r>
    </w:p>
    <w:p w:rsidR="00CF183E" w:rsidRDefault="00CF183E" w:rsidP="00CF183E">
      <w:pPr>
        <w:spacing w:line="300" w:lineRule="exact"/>
        <w:ind w:left="993" w:hanging="227"/>
        <w:rPr>
          <w:rFonts w:ascii="標楷體" w:eastAsia="標楷體" w:hAnsi="標楷體"/>
          <w:color w:val="000000"/>
        </w:rPr>
      </w:pPr>
      <w:r>
        <w:rPr>
          <w:rFonts w:ascii="標楷體" w:eastAsia="標楷體" w:hAnsi="標楷體" w:hint="eastAsia"/>
          <w:szCs w:val="24"/>
        </w:rPr>
        <w:t>7.</w:t>
      </w:r>
      <w:r w:rsidRPr="00CF183E">
        <w:rPr>
          <w:rFonts w:ascii="標楷體" w:eastAsia="標楷體" w:hAnsi="標楷體"/>
          <w:szCs w:val="24"/>
        </w:rPr>
        <w:t>與pembrolizumab及carboplatin併用於早期三陰性乳癌(第II期至第IIIb期，cT1c N1-2 或 T2-4 N0-2)病人的術前前導性治療用藥，病人需符合免疫檢查點抑制劑之藥品給付規定。(114/6/1)</w:t>
      </w:r>
    </w:p>
    <w:p w:rsidR="00B96EA0" w:rsidRDefault="00CF183E" w:rsidP="00CF183E">
      <w:pPr>
        <w:spacing w:line="300" w:lineRule="exact"/>
        <w:ind w:left="993" w:hanging="227"/>
        <w:rPr>
          <w:rFonts w:ascii="標楷體" w:eastAsia="標楷體" w:hAnsi="標楷體"/>
          <w:color w:val="000000"/>
        </w:rPr>
      </w:pPr>
      <w:r>
        <w:rPr>
          <w:rFonts w:ascii="標楷體" w:eastAsia="標楷體" w:hAnsi="標楷體" w:hint="eastAsia"/>
          <w:szCs w:val="24"/>
        </w:rPr>
        <w:t>8.</w:t>
      </w:r>
      <w:r w:rsidRPr="00CF183E">
        <w:rPr>
          <w:rFonts w:ascii="標楷體" w:eastAsia="標楷體" w:hAnsi="標楷體"/>
          <w:szCs w:val="24"/>
        </w:rPr>
        <w:t>與atezolizumab及bevacizumab(限使用Alymsys、Avastin、Abevmy、Vegzelma或Mvasi)、carboplatin併用於轉移性非鱗狀非小細胞肺癌第一線治療，患者需符</w:t>
      </w:r>
      <w:r w:rsidRPr="00CF183E">
        <w:rPr>
          <w:rFonts w:ascii="標楷體" w:eastAsia="標楷體" w:hAnsi="標楷體"/>
          <w:szCs w:val="24"/>
        </w:rPr>
        <w:lastRenderedPageBreak/>
        <w:t>合免疫檢查點抑制劑之藥品給付規定。(114/6/1</w:t>
      </w:r>
      <w:r w:rsidRPr="00CF183E">
        <w:rPr>
          <w:rFonts w:ascii="標楷體" w:eastAsia="標楷體" w:hAnsi="標楷體" w:hint="eastAsia"/>
          <w:szCs w:val="24"/>
        </w:rPr>
        <w:t>、114/8/1</w:t>
      </w:r>
      <w:r w:rsidRPr="00CF183E">
        <w:rPr>
          <w:rFonts w:ascii="標楷體" w:eastAsia="標楷體" w:hAnsi="標楷體"/>
          <w:szCs w:val="24"/>
        </w:rPr>
        <w:t>)</w:t>
      </w:r>
      <w:bookmarkEnd w:id="2"/>
    </w:p>
    <w:p w:rsidR="00B96EA0" w:rsidRDefault="007D66B8" w:rsidP="005142EB">
      <w:pPr>
        <w:spacing w:line="400" w:lineRule="exact"/>
        <w:ind w:left="284" w:hanging="1"/>
        <w:rPr>
          <w:rFonts w:ascii="標楷體" w:eastAsia="標楷體" w:hAnsi="標楷體"/>
          <w:color w:val="000000"/>
        </w:rPr>
      </w:pPr>
      <w:r>
        <w:rPr>
          <w:rFonts w:ascii="標楷體" w:eastAsia="標楷體" w:hAnsi="標楷體"/>
          <w:color w:val="000000"/>
        </w:rPr>
        <w:t>9.5.2.Albumin-based paclitaxel（如Abraxane）：(108/11/1)</w:t>
      </w:r>
    </w:p>
    <w:p w:rsidR="00B96EA0" w:rsidRDefault="007D66B8" w:rsidP="005142EB">
      <w:pPr>
        <w:spacing w:line="400" w:lineRule="exact"/>
        <w:ind w:left="565" w:hanging="1"/>
        <w:rPr>
          <w:rFonts w:ascii="標楷體" w:eastAsia="標楷體" w:hAnsi="標楷體"/>
          <w:color w:val="000000"/>
        </w:rPr>
      </w:pPr>
      <w:r>
        <w:rPr>
          <w:rFonts w:ascii="標楷體" w:eastAsia="標楷體" w:hAnsi="標楷體"/>
          <w:color w:val="000000"/>
        </w:rPr>
        <w:tab/>
        <w:t>限併用gemcitabine，做為轉移性胰腺癌患者之第一線治療。</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9.6.Streptococcus pyrogene(如Picibanil)：</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限惡性腫瘤患者患有惡性腹水，肋膜積水或心包膜積水時使用，需檢附病歷摘要。</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9.7.（刪除）（87/7/1、94/1/1、109/10/1）</w:t>
      </w:r>
    </w:p>
    <w:p w:rsidR="00B96EA0" w:rsidRDefault="007D66B8" w:rsidP="005142EB">
      <w:pPr>
        <w:spacing w:line="400" w:lineRule="exact"/>
        <w:ind w:left="672" w:hanging="386"/>
      </w:pPr>
      <w:r>
        <w:rPr>
          <w:rFonts w:ascii="標楷體" w:eastAsia="標楷體" w:hAnsi="標楷體"/>
          <w:color w:val="000000"/>
        </w:rPr>
        <w:t>9.8.Toremifene（如Fareston）：（88/6/1）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限用於停經後，且女性荷爾蒙接受體(estrogen receptor)為陽性之轉移性乳癌病患。</w:t>
      </w:r>
    </w:p>
    <w:p w:rsidR="00B96EA0" w:rsidRDefault="007D66B8" w:rsidP="005142EB">
      <w:pPr>
        <w:spacing w:line="400" w:lineRule="exact"/>
        <w:ind w:left="672" w:hanging="386"/>
      </w:pPr>
      <w:r>
        <w:rPr>
          <w:rFonts w:ascii="標楷體" w:eastAsia="標楷體" w:hAnsi="標楷體"/>
          <w:color w:val="000000"/>
        </w:rPr>
        <w:t>9.9.Vinorelbine：(91/1/1、95/6/1、96/9/1、101/3/1</w:t>
      </w:r>
      <w:r>
        <w:rPr>
          <w:rFonts w:ascii="新細明體" w:hAnsi="新細明體"/>
          <w:kern w:val="0"/>
          <w:szCs w:val="24"/>
        </w:rPr>
        <w:t>、</w:t>
      </w:r>
      <w:r>
        <w:rPr>
          <w:rFonts w:ascii="標楷體" w:eastAsia="標楷體" w:hAnsi="標楷體"/>
          <w:kern w:val="0"/>
          <w:szCs w:val="24"/>
        </w:rPr>
        <w:t>106/11/1</w:t>
      </w:r>
      <w:r>
        <w:rPr>
          <w:rFonts w:ascii="標楷體" w:eastAsia="標楷體" w:hAnsi="標楷體"/>
          <w:color w:val="000000"/>
        </w:rPr>
        <w:t>)</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1.限用於：</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(1)晚期或無法手術切除之非小細胞肺癌及轉移性乳癌病患。</w:t>
      </w:r>
    </w:p>
    <w:p w:rsidR="00B96EA0" w:rsidRDefault="007D66B8" w:rsidP="005142EB">
      <w:pPr>
        <w:spacing w:line="400" w:lineRule="exact"/>
        <w:ind w:left="1049" w:hanging="341"/>
      </w:pPr>
      <w:r>
        <w:rPr>
          <w:rFonts w:ascii="標楷體" w:eastAsia="標楷體" w:hAnsi="標楷體"/>
          <w:color w:val="000000"/>
        </w:rPr>
        <w:t>(2)病理分期第二期及第三期前半(stageII &amp; stageIIIA)非小細胞肺癌於接受根治性手術後與鉑金類藥品併用之輔助治療，</w:t>
      </w:r>
      <w:r>
        <w:rPr>
          <w:rFonts w:ascii="標楷體" w:eastAsia="標楷體" w:hAnsi="標楷體"/>
          <w:kern w:val="0"/>
          <w:szCs w:val="24"/>
        </w:rPr>
        <w:t>最多可使用4療程(106/11/1)。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2.本成分之口服劑型與注射劑型不得併用。</w:t>
      </w:r>
    </w:p>
    <w:p w:rsidR="00B96EA0" w:rsidRDefault="007D66B8" w:rsidP="005142EB">
      <w:pPr>
        <w:spacing w:line="400" w:lineRule="exact"/>
        <w:ind w:left="425" w:hanging="245"/>
        <w:rPr>
          <w:rFonts w:ascii="標楷體" w:eastAsia="標楷體" w:hAnsi="標楷體"/>
          <w:color w:val="000000"/>
        </w:rPr>
      </w:pPr>
      <w:bookmarkStart w:id="3" w:name="_Hlk75364262"/>
      <w:r>
        <w:rPr>
          <w:rFonts w:ascii="標楷體" w:eastAsia="標楷體" w:hAnsi="標楷體"/>
          <w:color w:val="000000"/>
        </w:rPr>
        <w:t>9.10.Oxaliplatin：（需符合藥品許可證登載之適應症）（89/7/1、91/10/1、93/8/1、98/2/1、98/3/1、98/7/1、102/9/1、102/12/1、109/12/1、110/5/1、110/6/1、110/7/1、111/11/1、113/4/1、113/6/1)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1.和5-FU和folinic acid併用</w:t>
      </w:r>
    </w:p>
    <w:p w:rsidR="00B96EA0" w:rsidRDefault="007D66B8" w:rsidP="005142EB">
      <w:pPr>
        <w:spacing w:line="400" w:lineRule="exact"/>
        <w:ind w:left="1275" w:hanging="245"/>
        <w:rPr>
          <w:rFonts w:ascii="標楷體" w:eastAsia="標楷體" w:hAnsi="標楷體"/>
          <w:color w:val="000000"/>
        </w:rPr>
      </w:pPr>
      <w:r>
        <w:rPr>
          <w:rFonts w:ascii="標楷體" w:eastAsia="標楷體" w:hAnsi="標楷體"/>
          <w:color w:val="000000"/>
        </w:rPr>
        <w:t>(1)治療轉移性結腸直腸癌，惟若再加用irinotecan (如Campto)則不予給付。(91/10/1)</w:t>
      </w:r>
    </w:p>
    <w:p w:rsidR="00B96EA0" w:rsidRDefault="007D66B8" w:rsidP="005142EB">
      <w:pPr>
        <w:spacing w:line="400" w:lineRule="exact"/>
        <w:ind w:left="1275" w:hanging="245"/>
        <w:rPr>
          <w:rFonts w:ascii="標楷體" w:eastAsia="標楷體" w:hAnsi="標楷體"/>
          <w:color w:val="000000"/>
        </w:rPr>
      </w:pPr>
      <w:r>
        <w:rPr>
          <w:rFonts w:ascii="標楷體" w:eastAsia="標楷體" w:hAnsi="標楷體"/>
          <w:color w:val="000000"/>
        </w:rPr>
        <w:t>(2)作為第三期結腸癌(Duke`s C) 原發腫瘤完全切除手術後的輔助療法。(98/2/1)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2.與fluoropyrimidine類藥物(如capecitabine、5-FU、UFUR，但不包含TS-1)併用，可用於局部晚期及復發/轉移性胃癌之治療。(須依藥品許可證登載之適應症使用)。(98/2/1、98/3/1、98/7/1、102/9/1、102/12/1、109/12/1）</w:t>
      </w:r>
    </w:p>
    <w:p w:rsidR="00B96EA0" w:rsidRDefault="007D66B8" w:rsidP="005142EB">
      <w:pPr>
        <w:spacing w:line="400" w:lineRule="exact"/>
        <w:ind w:left="851" w:hanging="244"/>
        <w:rPr>
          <w:rFonts w:ascii="標楷體" w:eastAsia="標楷體" w:hAnsi="標楷體"/>
          <w:color w:val="000000"/>
        </w:rPr>
      </w:pPr>
      <w:r>
        <w:rPr>
          <w:rFonts w:ascii="標楷體" w:eastAsia="標楷體" w:hAnsi="標楷體"/>
          <w:color w:val="000000"/>
        </w:rPr>
        <w:t>3.與5-fluorouracil、leucovorin及irinotecan併用(FOLFIRINOX)，作為轉移性胰臟癌之第一線治療。(110/5/1、110/6/1、110/7/1、111/11/1)</w:t>
      </w:r>
    </w:p>
    <w:p w:rsidR="00B96EA0" w:rsidRDefault="007D66B8" w:rsidP="005142EB">
      <w:pPr>
        <w:autoSpaceDE w:val="0"/>
        <w:spacing w:line="400" w:lineRule="exact"/>
        <w:ind w:left="850" w:hanging="284"/>
      </w:pPr>
      <w:r>
        <w:rPr>
          <w:rFonts w:ascii="標楷體" w:eastAsia="標楷體" w:hAnsi="標楷體"/>
          <w:color w:val="000000"/>
        </w:rPr>
        <w:t>4.</w:t>
      </w:r>
      <w:r>
        <w:rPr>
          <w:rFonts w:ascii="標楷體" w:eastAsia="標楷體" w:hAnsi="標楷體" w:cs="標楷體.鬁..."/>
          <w:color w:val="000000"/>
          <w:kern w:val="0"/>
          <w:szCs w:val="24"/>
        </w:rPr>
        <w:t>與nivolumab 120mg規格量品項及fluoropyrimidine（5-FU或capecitabine）併用於第一線治療晚期或轉移性且不具有HER2過度表現的胃癌病人，病人需符合免疫檢查點抑制劑之藥品給付規定。(113/4/1、113/6/1)</w:t>
      </w:r>
    </w:p>
    <w:bookmarkEnd w:id="3"/>
    <w:p w:rsidR="00B96EA0" w:rsidRDefault="007D66B8" w:rsidP="005142EB">
      <w:pPr>
        <w:spacing w:line="400" w:lineRule="exact"/>
        <w:ind w:left="567" w:hanging="244"/>
        <w:rPr>
          <w:rFonts w:ascii="標楷體" w:eastAsia="標楷體" w:hAnsi="標楷體"/>
          <w:color w:val="000000"/>
        </w:rPr>
      </w:pPr>
      <w:r>
        <w:rPr>
          <w:rFonts w:ascii="標楷體" w:eastAsia="標楷體" w:hAnsi="標楷體"/>
          <w:color w:val="000000"/>
        </w:rPr>
        <w:t>9.11.Uracil-Tegafur：(如Ufur)(100/1/1)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1.限轉移性胃癌、轉移性直腸癌、轉移性結腸癌、轉移性乳癌之病患使用（89/10/1、97/12/1）。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2.頭頸部鱗狀上皮癌(93/4/1、98/3/1、99/10/1)。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3.與cisplatin併用治療轉移及末期肺癌。</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lastRenderedPageBreak/>
        <w:t>4.直腸癌、結腸癌第Ⅱ、Ⅲ期患者之術後輔助性治療，且使用期限不得超過2年(94/10/1、97/12/1)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5.用於病理分期為T2且腫瘤≧3cm之肺腺癌病人，作為手術後輔助治療，使用期限以二年為限。(100/1/1)</w:t>
      </w:r>
    </w:p>
    <w:p w:rsidR="00B96EA0" w:rsidRDefault="007D66B8" w:rsidP="005142EB">
      <w:pPr>
        <w:spacing w:line="400" w:lineRule="exact"/>
        <w:ind w:left="567" w:hanging="245"/>
        <w:rPr>
          <w:rFonts w:ascii="標楷體" w:eastAsia="標楷體" w:hAnsi="標楷體"/>
          <w:color w:val="000000"/>
        </w:rPr>
      </w:pPr>
      <w:bookmarkStart w:id="4" w:name="_Hlk77950822"/>
      <w:bookmarkStart w:id="5" w:name="_Hlk70079694"/>
      <w:r>
        <w:rPr>
          <w:rFonts w:ascii="標楷體" w:eastAsia="標楷體" w:hAnsi="標楷體"/>
          <w:color w:val="000000"/>
        </w:rPr>
        <w:t>9.12.Irinotecan(90/10/1、107/8/1、110/5/1、110/7/1、110/8/1、112/2/1)</w:t>
      </w:r>
    </w:p>
    <w:p w:rsidR="00B96EA0" w:rsidRDefault="007D66B8" w:rsidP="005142EB">
      <w:pPr>
        <w:spacing w:line="400" w:lineRule="exact"/>
        <w:ind w:left="567" w:hanging="245"/>
      </w:pPr>
      <w:r>
        <w:rPr>
          <w:rFonts w:ascii="標楷體" w:eastAsia="標楷體" w:hAnsi="標楷體"/>
          <w:color w:val="000000"/>
        </w:rPr>
        <w:t>9.12.1.Irinotecan(如Campto injection)：（需符合藥品許可證登載之適應症）(90/10/1、93/8/1、110/5/1、110/7/1、110/8/1、112/2/1)</w:t>
      </w:r>
    </w:p>
    <w:p w:rsidR="00B96EA0" w:rsidRDefault="007D66B8" w:rsidP="005142EB">
      <w:pPr>
        <w:spacing w:line="400" w:lineRule="exact"/>
        <w:ind w:left="238" w:hanging="245"/>
        <w:rPr>
          <w:rFonts w:ascii="標楷體" w:eastAsia="標楷體" w:hAnsi="標楷體"/>
          <w:color w:val="000000"/>
        </w:rPr>
      </w:pPr>
      <w:r>
        <w:rPr>
          <w:rFonts w:ascii="標楷體" w:eastAsia="標楷體" w:hAnsi="標楷體"/>
          <w:color w:val="000000"/>
        </w:rPr>
        <w:t>     1.限轉移性大腸直腸癌之第一線治療藥物:</w:t>
      </w:r>
    </w:p>
    <w:p w:rsidR="00B96EA0" w:rsidRDefault="007D66B8" w:rsidP="005142EB">
      <w:pPr>
        <w:spacing w:line="400" w:lineRule="exact"/>
        <w:ind w:left="851" w:hanging="245"/>
      </w:pPr>
      <w:r>
        <w:rPr>
          <w:rFonts w:ascii="標楷體" w:eastAsia="標楷體" w:hAnsi="標楷體"/>
          <w:color w:val="000000"/>
        </w:rPr>
        <w:t>(1)與5-FU及</w:t>
      </w:r>
      <w:r>
        <w:rPr>
          <w:rFonts w:ascii="標楷體" w:eastAsia="標楷體" w:hAnsi="標楷體"/>
        </w:rPr>
        <w:t>folinic acid合併，使</w:t>
      </w:r>
      <w:r>
        <w:rPr>
          <w:rFonts w:ascii="標楷體" w:eastAsia="標楷體" w:hAnsi="標楷體"/>
          <w:color w:val="000000"/>
        </w:rPr>
        <w:t>用於未曾接受過化學治療之患者。</w:t>
      </w:r>
    </w:p>
    <w:p w:rsidR="00B96EA0" w:rsidRDefault="007D66B8" w:rsidP="005142EB">
      <w:pPr>
        <w:spacing w:line="400" w:lineRule="exact"/>
        <w:ind w:left="851" w:hanging="245"/>
        <w:rPr>
          <w:rFonts w:ascii="標楷體" w:eastAsia="標楷體" w:hAnsi="標楷體"/>
          <w:color w:val="000000"/>
        </w:rPr>
      </w:pPr>
      <w:r>
        <w:rPr>
          <w:rFonts w:ascii="標楷體" w:eastAsia="標楷體" w:hAnsi="標楷體"/>
          <w:color w:val="000000"/>
        </w:rPr>
        <w:t>(2)單獨使用於曾接受5-FU療程治療無效之患者。</w:t>
      </w:r>
    </w:p>
    <w:p w:rsidR="00B96EA0" w:rsidRDefault="007D66B8" w:rsidP="005142EB">
      <w:pPr>
        <w:spacing w:line="400" w:lineRule="exact"/>
        <w:ind w:left="812" w:hanging="245"/>
        <w:rPr>
          <w:rFonts w:ascii="標楷體" w:eastAsia="標楷體" w:hAnsi="標楷體"/>
          <w:color w:val="000000"/>
        </w:rPr>
      </w:pPr>
      <w:r>
        <w:rPr>
          <w:rFonts w:ascii="標楷體" w:eastAsia="標楷體" w:hAnsi="標楷體"/>
          <w:color w:val="000000"/>
        </w:rPr>
        <w:t>2.與5-fluorouracil、leucovorin及oxaliplatin併用(FOLFIRINOX)，做為轉移性胰臟癌之第一線治療(限用Irino、Irinotel、Campto、Irinotecan Injection Concentrate、Irican、Innocan、Irinotecan Injection)。(110/5/1、110/7/1、110/8/1、112/2/1)</w:t>
      </w:r>
    </w:p>
    <w:p w:rsidR="00B96EA0" w:rsidRDefault="007D66B8" w:rsidP="005142EB">
      <w:pPr>
        <w:spacing w:line="400" w:lineRule="exact"/>
        <w:ind w:left="567" w:hanging="245"/>
        <w:rPr>
          <w:rFonts w:ascii="標楷體" w:eastAsia="標楷體" w:hAnsi="標楷體"/>
          <w:color w:val="000000"/>
        </w:rPr>
      </w:pPr>
      <w:r>
        <w:rPr>
          <w:rFonts w:ascii="標楷體" w:eastAsia="標楷體" w:hAnsi="標楷體"/>
          <w:color w:val="000000"/>
        </w:rPr>
        <w:t>9.12.2.Irinotecan微脂體注射劑(如Onivyde)：(107/8/1)</w:t>
      </w:r>
    </w:p>
    <w:p w:rsidR="00B96EA0" w:rsidRDefault="007D66B8" w:rsidP="005142EB">
      <w:pPr>
        <w:spacing w:line="400" w:lineRule="exact"/>
        <w:ind w:left="851" w:hanging="245"/>
        <w:rPr>
          <w:rFonts w:ascii="標楷體" w:eastAsia="標楷體" w:hAnsi="標楷體"/>
          <w:color w:val="000000"/>
        </w:rPr>
      </w:pPr>
      <w:r>
        <w:rPr>
          <w:rFonts w:ascii="標楷體" w:eastAsia="標楷體" w:hAnsi="標楷體"/>
          <w:color w:val="000000"/>
        </w:rPr>
        <w:t>1.與5-FU及leucovorin合併使用於曾接受過gemcitabine治療後復發或惡化之轉移性胰腺癌。</w:t>
      </w:r>
    </w:p>
    <w:p w:rsidR="00B96EA0" w:rsidRDefault="007D66B8" w:rsidP="005142EB">
      <w:pPr>
        <w:spacing w:line="400" w:lineRule="exact"/>
        <w:ind w:left="851" w:hanging="245"/>
        <w:rPr>
          <w:rFonts w:ascii="標楷體" w:eastAsia="標楷體" w:hAnsi="標楷體"/>
          <w:color w:val="000000"/>
        </w:rPr>
      </w:pPr>
      <w:r>
        <w:rPr>
          <w:rFonts w:ascii="標楷體" w:eastAsia="標楷體" w:hAnsi="標楷體"/>
          <w:color w:val="000000"/>
        </w:rPr>
        <w:t>2.需經事前審查核准後使用。</w:t>
      </w:r>
      <w:bookmarkEnd w:id="4"/>
    </w:p>
    <w:bookmarkEnd w:id="5"/>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9.13.Aldesleukin(如Proleukin for Injection)：(90/10/1、93/8/1)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限轉移性腎細胞癌及惡性黑色素癌病患使用。</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9.14.Doxorubicin hydrochloride liposome injection(如Lipo-Dox、Caelyx)：(91/3/1、93/8/1、93/11/1、99/10/1)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限用於下列適應症:(99/10/1)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1.用於治療曾接受第一線含platinum及paclitaxel化學治療而失敗者或再復發之進行性或轉移性卵巢癌病人。(91/3/1)</w:t>
      </w:r>
    </w:p>
    <w:p w:rsidR="00B96EA0" w:rsidRDefault="007D66B8" w:rsidP="005142EB">
      <w:pPr>
        <w:spacing w:line="400" w:lineRule="exact"/>
        <w:ind w:left="811" w:hanging="245"/>
      </w:pPr>
      <w:r>
        <w:rPr>
          <w:rFonts w:ascii="標楷體" w:eastAsia="標楷體" w:hAnsi="標楷體"/>
          <w:color w:val="000000"/>
        </w:rPr>
        <w:t>2.用於治療CD4數量低下（&lt;200 CD4 lymphocyte/mm</w:t>
      </w:r>
      <w:r>
        <w:rPr>
          <w:rFonts w:ascii="標楷體" w:eastAsia="標楷體" w:hAnsi="標楷體"/>
          <w:color w:val="000000"/>
          <w:vertAlign w:val="superscript"/>
        </w:rPr>
        <w:t>3</w:t>
      </w:r>
      <w:r>
        <w:rPr>
          <w:rFonts w:ascii="標楷體" w:eastAsia="標楷體" w:hAnsi="標楷體"/>
          <w:color w:val="000000"/>
        </w:rPr>
        <w:t>）和粘膜、皮膚或內臟有病變的AIDS related Kaposi’s Sarcoma的病人。(91/3/1)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3.用於單一治療有心臟疾病風險考量之轉移性乳癌患者。(93/11/1)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9.15.Tretinoin（如Vesanoid Soft Gelatin）：（88/10/1）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限急性前髓性白血病使用。</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9.16.Topotecan（如Hycamtin）：（88/10/1、93/8/1、98/11/1、100/6/1）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9.16.1.Topotecan注射劑（88/10/1、93/8/1、98/11/1）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1.限卵巢癌及小細胞肺癌之第二線化學治療（第一線治療應包括白金化合物）。</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2.與cisplatin併用適用於治療經組織學檢查確定患有第IV-B期復發性或持續性子宮頸癌，且不適合以外科手術及（或）放射療法進行治療的患者。（98/11/1）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9.16.2.Topotecan口服劑型（100/6/1）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lastRenderedPageBreak/>
        <w:t>限用於小細胞肺癌之第二線化學治療（第一線治療應包括白金化合物）。</w:t>
      </w:r>
    </w:p>
    <w:p w:rsidR="00B96EA0" w:rsidRDefault="007D66B8" w:rsidP="005142EB">
      <w:pPr>
        <w:spacing w:line="400" w:lineRule="exact"/>
        <w:ind w:left="567" w:hanging="283"/>
        <w:rPr>
          <w:rFonts w:ascii="標楷體" w:eastAsia="標楷體" w:hAnsi="標楷體"/>
          <w:color w:val="000000"/>
        </w:rPr>
      </w:pPr>
      <w:r>
        <w:rPr>
          <w:rFonts w:ascii="標楷體" w:eastAsia="標楷體" w:hAnsi="標楷體"/>
          <w:color w:val="000000"/>
        </w:rPr>
        <w:t>9.17.Capecitabine（如Xeloda）：（88/10/1、91/4/1、92/6/1、93/8/1、96/9/1、97/12/1、110/2/1、113/4/1、113/6/1）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1.Capecitabine與docetaxel併用於治療對anthracycline化學治療無效之局部晚期或轉移性乳癌病患。</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2.用於局部晚期或轉移性乳癌，需符合下列條件之一：(110/2/1)</w:t>
      </w:r>
    </w:p>
    <w:p w:rsidR="00B96EA0" w:rsidRDefault="007D66B8" w:rsidP="005142EB">
      <w:pPr>
        <w:spacing w:line="400" w:lineRule="exact"/>
        <w:ind w:left="993" w:hanging="343"/>
        <w:rPr>
          <w:rFonts w:ascii="標楷體" w:eastAsia="標楷體" w:hAnsi="標楷體"/>
          <w:color w:val="000000"/>
        </w:rPr>
      </w:pPr>
      <w:r>
        <w:rPr>
          <w:rFonts w:ascii="標楷體" w:eastAsia="標楷體" w:hAnsi="標楷體"/>
          <w:color w:val="000000"/>
        </w:rPr>
        <w:t>(1)Capecitabine單獨用於無法接受anthracycline治療者。</w:t>
      </w:r>
    </w:p>
    <w:p w:rsidR="00B96EA0" w:rsidRDefault="007D66B8" w:rsidP="005142EB">
      <w:pPr>
        <w:spacing w:line="400" w:lineRule="exact"/>
        <w:ind w:left="993" w:hanging="343"/>
        <w:rPr>
          <w:rFonts w:ascii="標楷體" w:eastAsia="標楷體" w:hAnsi="標楷體"/>
          <w:color w:val="000000"/>
        </w:rPr>
      </w:pPr>
      <w:r>
        <w:rPr>
          <w:rFonts w:ascii="標楷體" w:eastAsia="標楷體" w:hAnsi="標楷體"/>
          <w:color w:val="000000"/>
        </w:rPr>
        <w:t>(2)Capecitabine合併ixabepilone用於對taxane有抗藥性且無法接受anthracycline治療者。</w:t>
      </w:r>
    </w:p>
    <w:p w:rsidR="00B96EA0" w:rsidRDefault="007D66B8" w:rsidP="005142EB">
      <w:pPr>
        <w:spacing w:line="400" w:lineRule="exact"/>
        <w:ind w:left="993" w:hanging="343"/>
        <w:rPr>
          <w:rFonts w:ascii="標楷體" w:eastAsia="標楷體" w:hAnsi="標楷體"/>
          <w:color w:val="000000"/>
        </w:rPr>
      </w:pPr>
      <w:r>
        <w:rPr>
          <w:rFonts w:ascii="標楷體" w:eastAsia="標楷體" w:hAnsi="標楷體"/>
          <w:color w:val="000000"/>
        </w:rPr>
        <w:t>(3)Capecitabine單獨或合併ixabepilone用於對taxane及anthracycline治療無效者。</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3.治療轉移性結腸直腸癌的第一線用藥。(92/6/1)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4.第三期結腸癌患者手術後的輔助性療法，以八個療程為限。（96/9/1）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5.Capecitabine合併platinum可使用於晚期胃癌之第一線治療。(97/12/1)</w:t>
      </w:r>
    </w:p>
    <w:p w:rsidR="00B96EA0" w:rsidRDefault="007D66B8" w:rsidP="005142EB">
      <w:pPr>
        <w:spacing w:line="400" w:lineRule="exact"/>
        <w:ind w:left="811" w:hanging="245"/>
      </w:pPr>
      <w:r>
        <w:rPr>
          <w:rFonts w:ascii="標楷體" w:eastAsia="標楷體" w:hAnsi="標楷體" w:cs="標楷體.鬁..."/>
          <w:color w:val="000000"/>
          <w:kern w:val="0"/>
          <w:szCs w:val="24"/>
        </w:rPr>
        <w:t>6.與</w:t>
      </w:r>
      <w:r>
        <w:rPr>
          <w:rFonts w:ascii="標楷體" w:eastAsia="標楷體" w:hAnsi="標楷體" w:cs="標楷體.鬁..."/>
          <w:kern w:val="0"/>
          <w:szCs w:val="24"/>
        </w:rPr>
        <w:t>nivolumab 120mg規格量品項</w:t>
      </w:r>
      <w:r>
        <w:rPr>
          <w:rFonts w:ascii="標楷體" w:eastAsia="標楷體" w:hAnsi="標楷體" w:cs="標楷體.鬁..."/>
          <w:color w:val="000000"/>
          <w:kern w:val="0"/>
          <w:szCs w:val="24"/>
        </w:rPr>
        <w:t>及oxaliplatin</w:t>
      </w:r>
      <w:r>
        <w:rPr>
          <w:rFonts w:ascii="標楷體" w:eastAsia="標楷體" w:hAnsi="標楷體" w:cs="標楷體.鬁..."/>
          <w:kern w:val="0"/>
          <w:szCs w:val="24"/>
        </w:rPr>
        <w:t>併用於第一線治療晚期或轉移性且不具有HER2過度表現的胃癌病人</w:t>
      </w:r>
      <w:r>
        <w:rPr>
          <w:rFonts w:ascii="標楷體" w:eastAsia="標楷體" w:hAnsi="標楷體" w:cs="標楷體.鬁..."/>
          <w:color w:val="000000"/>
          <w:kern w:val="0"/>
          <w:szCs w:val="24"/>
        </w:rPr>
        <w:t>，病人需符合免疫檢查點抑制劑之藥品給付規定。(113/4/1、113/6/1)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9.18.Trastuzumab (如Herceptin)：(91/4/1、93/8/1、95/2/1、99/1/1、99/8/1、99/10/1、101/1/1、105/11/1、108/5/1、109/2/1、111/12/1、112/10/1、113/8/1、113/12/1、114/1/1、114/5/1)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1.早期乳癌(99/1/1、99/8/1、99/10/1、101/1/1、111/12/1、112/10/1、113/8/1、113/12/1、114/1/1)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外科手術前後、化學療法(術前輔助治療或輔助治療)治療後，具HER2過度表現(IHC3+或FISH+)，且具腋下淋巴結轉移但無遠處臟器轉移之早期乳癌患者，作為輔助性治療用藥：(99/8/1、99/10/1、101/1/1、111/12/1、112/10/1、113/8/1、113/12/1、114/1/1)。</w:t>
      </w:r>
    </w:p>
    <w:p w:rsidR="00B96EA0" w:rsidRDefault="007D66B8" w:rsidP="005142EB">
      <w:pPr>
        <w:spacing w:line="400" w:lineRule="exact"/>
        <w:ind w:left="1191" w:hanging="340"/>
        <w:rPr>
          <w:rFonts w:ascii="標楷體" w:eastAsia="標楷體" w:hAnsi="標楷體"/>
          <w:color w:val="000000"/>
        </w:rPr>
      </w:pPr>
      <w:r>
        <w:rPr>
          <w:rFonts w:ascii="標楷體" w:eastAsia="標楷體" w:hAnsi="標楷體"/>
          <w:color w:val="000000"/>
        </w:rPr>
        <w:t>I.外科手術後達病理上緩解(pCR)，下列i.~iii.使用於外科手術前後之總療程合併計算，依藥品仿單記載以18個療程為上限：(113/8/1、113/12/1、114/1/1)</w:t>
      </w:r>
    </w:p>
    <w:p w:rsidR="00B96EA0" w:rsidRDefault="007D66B8" w:rsidP="005142EB">
      <w:pPr>
        <w:spacing w:line="400" w:lineRule="exact"/>
        <w:ind w:left="1441" w:hanging="420"/>
        <w:rPr>
          <w:rFonts w:ascii="標楷體" w:eastAsia="標楷體" w:hAnsi="標楷體"/>
          <w:color w:val="000000"/>
        </w:rPr>
      </w:pPr>
      <w:r>
        <w:rPr>
          <w:rFonts w:ascii="標楷體" w:eastAsia="標楷體" w:hAnsi="標楷體"/>
          <w:color w:val="000000"/>
        </w:rPr>
        <w:t>i.本藥品</w:t>
      </w:r>
    </w:p>
    <w:p w:rsidR="00B96EA0" w:rsidRDefault="007D66B8" w:rsidP="005142EB">
      <w:pPr>
        <w:spacing w:line="400" w:lineRule="exact"/>
        <w:ind w:left="1441" w:hanging="420"/>
        <w:rPr>
          <w:rFonts w:ascii="標楷體" w:eastAsia="標楷體" w:hAnsi="標楷體"/>
          <w:color w:val="000000"/>
        </w:rPr>
      </w:pPr>
      <w:r>
        <w:rPr>
          <w:rFonts w:ascii="標楷體" w:eastAsia="標楷體" w:hAnsi="標楷體"/>
          <w:color w:val="000000"/>
        </w:rPr>
        <w:t>ii.pertuzumab與trastuzumab（限使用Ogivri、Herzuma、Eirgasun、Herceptin、Kanjinti）併用</w:t>
      </w:r>
    </w:p>
    <w:p w:rsidR="00B96EA0" w:rsidRDefault="007D66B8" w:rsidP="005142EB">
      <w:pPr>
        <w:spacing w:line="400" w:lineRule="exact"/>
        <w:ind w:left="1441" w:hanging="420"/>
        <w:rPr>
          <w:rFonts w:ascii="標楷體" w:eastAsia="標楷體" w:hAnsi="標楷體"/>
          <w:color w:val="000000"/>
        </w:rPr>
      </w:pPr>
      <w:r>
        <w:rPr>
          <w:rFonts w:ascii="標楷體" w:eastAsia="標楷體" w:hAnsi="標楷體"/>
          <w:color w:val="000000"/>
        </w:rPr>
        <w:t>iii.pertuzumab與trastuzumab皮下注射複方製劑(如Phesgo)</w:t>
      </w:r>
    </w:p>
    <w:p w:rsidR="00B96EA0" w:rsidRDefault="007D66B8" w:rsidP="005142EB">
      <w:pPr>
        <w:spacing w:line="400" w:lineRule="exact"/>
        <w:ind w:left="1191" w:hanging="340"/>
        <w:rPr>
          <w:rFonts w:ascii="標楷體" w:eastAsia="標楷體" w:hAnsi="標楷體"/>
          <w:color w:val="000000"/>
        </w:rPr>
      </w:pPr>
      <w:r>
        <w:rPr>
          <w:rFonts w:ascii="標楷體" w:eastAsia="標楷體" w:hAnsi="標楷體"/>
          <w:color w:val="000000"/>
        </w:rPr>
        <w:t>Ⅱ.若外科手術後無法達病理上緩解(non-pCR)，本藥品與trastuzumab emtansine使用於外科手術前後的總療程合併計算，依藥品仿單記載以全部18個療程為上限，其中trastuzumab emtansine以14個療程為上限。(113/8/1、113/12/1)</w:t>
      </w:r>
    </w:p>
    <w:p w:rsidR="00B96EA0" w:rsidRDefault="007D66B8" w:rsidP="005142EB">
      <w:pPr>
        <w:spacing w:line="400" w:lineRule="exact"/>
        <w:ind w:left="1049" w:hanging="341"/>
      </w:pPr>
      <w:r>
        <w:rPr>
          <w:rFonts w:ascii="標楷體" w:eastAsia="標楷體" w:hAnsi="標楷體"/>
          <w:color w:val="000000"/>
        </w:rPr>
        <w:t>(2)外科手術前後、化學療法(術前輔助治療或輔助治療)治療後，符合下列所有條件</w:t>
      </w:r>
      <w:r>
        <w:rPr>
          <w:rFonts w:ascii="標楷體" w:eastAsia="標楷體" w:hAnsi="標楷體"/>
          <w:color w:val="000000"/>
        </w:rPr>
        <w:lastRenderedPageBreak/>
        <w:t>之早期乳癌患者(限使用Ogivri、Herzuma、Eirgasun、Herceptin、Kanjinti)：(111/12/1、112/10/1、113/8/1、113/12/1、114/1/1)</w:t>
      </w:r>
    </w:p>
    <w:p w:rsidR="00B96EA0" w:rsidRDefault="007D66B8" w:rsidP="005142EB">
      <w:pPr>
        <w:spacing w:line="400" w:lineRule="exact"/>
        <w:ind w:left="1191" w:hanging="340"/>
        <w:rPr>
          <w:rFonts w:ascii="標楷體" w:eastAsia="標楷體" w:hAnsi="標楷體"/>
          <w:color w:val="000000"/>
        </w:rPr>
      </w:pPr>
      <w:r>
        <w:rPr>
          <w:rFonts w:ascii="標楷體" w:eastAsia="標楷體" w:hAnsi="標楷體"/>
          <w:color w:val="000000"/>
        </w:rPr>
        <w:t>Ⅰ.HER2過度表現(IHC 3+或FISH+)。</w:t>
      </w:r>
    </w:p>
    <w:p w:rsidR="00B96EA0" w:rsidRDefault="007D66B8" w:rsidP="005142EB">
      <w:pPr>
        <w:spacing w:line="400" w:lineRule="exact"/>
        <w:ind w:left="1191" w:hanging="340"/>
        <w:rPr>
          <w:rFonts w:ascii="標楷體" w:eastAsia="標楷體" w:hAnsi="標楷體"/>
          <w:color w:val="000000"/>
        </w:rPr>
      </w:pPr>
      <w:r>
        <w:rPr>
          <w:rFonts w:ascii="標楷體" w:eastAsia="標楷體" w:hAnsi="標楷體"/>
          <w:color w:val="000000"/>
        </w:rPr>
        <w:t>Ⅱ.雌激素受體（ER)為陰性。</w:t>
      </w:r>
    </w:p>
    <w:p w:rsidR="00B96EA0" w:rsidRDefault="007D66B8" w:rsidP="005142EB">
      <w:pPr>
        <w:spacing w:line="400" w:lineRule="exact"/>
        <w:ind w:left="1191" w:hanging="340"/>
        <w:rPr>
          <w:rFonts w:ascii="標楷體" w:eastAsia="標楷體" w:hAnsi="標楷體"/>
          <w:color w:val="000000"/>
        </w:rPr>
      </w:pPr>
      <w:r>
        <w:rPr>
          <w:rFonts w:ascii="標楷體" w:eastAsia="標楷體" w:hAnsi="標楷體"/>
          <w:color w:val="000000"/>
        </w:rPr>
        <w:t>Ⅲ.腫瘤大於2公分。須經乳房超音波或乳房X光攝影或核磁共振診斷。</w:t>
      </w:r>
    </w:p>
    <w:p w:rsidR="00B96EA0" w:rsidRDefault="007D66B8" w:rsidP="005142EB">
      <w:pPr>
        <w:spacing w:line="400" w:lineRule="exact"/>
        <w:ind w:left="1191" w:hanging="340"/>
        <w:rPr>
          <w:rFonts w:ascii="標楷體" w:eastAsia="標楷體" w:hAnsi="標楷體"/>
          <w:color w:val="000000"/>
        </w:rPr>
      </w:pPr>
      <w:r>
        <w:rPr>
          <w:rFonts w:ascii="標楷體" w:eastAsia="標楷體" w:hAnsi="標楷體"/>
          <w:color w:val="000000"/>
        </w:rPr>
        <w:t>Ⅳ.且未發生腋下淋巴結轉移之早期乳癌患者，作為輔助性治療用藥。</w:t>
      </w:r>
    </w:p>
    <w:p w:rsidR="00B96EA0" w:rsidRDefault="007D66B8" w:rsidP="005142EB">
      <w:pPr>
        <w:spacing w:line="400" w:lineRule="exact"/>
        <w:ind w:left="1191" w:hanging="340"/>
        <w:rPr>
          <w:rFonts w:ascii="標楷體" w:eastAsia="標楷體" w:hAnsi="標楷體"/>
          <w:color w:val="000000"/>
        </w:rPr>
      </w:pPr>
      <w:r>
        <w:rPr>
          <w:rFonts w:ascii="標楷體" w:eastAsia="標楷體" w:hAnsi="標楷體"/>
          <w:color w:val="000000"/>
        </w:rPr>
        <w:t>Ⅴ.依下列條件之一使用(113/8/1)：</w:t>
      </w:r>
    </w:p>
    <w:p w:rsidR="00B96EA0" w:rsidRDefault="007D66B8" w:rsidP="005142EB">
      <w:pPr>
        <w:spacing w:line="400" w:lineRule="exact"/>
        <w:ind w:left="1441" w:hanging="420"/>
        <w:rPr>
          <w:rFonts w:ascii="標楷體" w:eastAsia="標楷體" w:hAnsi="標楷體"/>
          <w:color w:val="000000"/>
        </w:rPr>
      </w:pPr>
      <w:r>
        <w:rPr>
          <w:rFonts w:ascii="標楷體" w:eastAsia="標楷體" w:hAnsi="標楷體"/>
          <w:color w:val="000000"/>
        </w:rPr>
        <w:t>i.外科手術後達病理上緩解(pCR)，本藥品使用於外科手術前後以9個療程為上限。</w:t>
      </w:r>
    </w:p>
    <w:p w:rsidR="00B96EA0" w:rsidRDefault="007D66B8" w:rsidP="005142EB">
      <w:pPr>
        <w:spacing w:line="400" w:lineRule="exact"/>
        <w:ind w:left="1441" w:hanging="420"/>
        <w:rPr>
          <w:rFonts w:ascii="標楷體" w:eastAsia="標楷體" w:hAnsi="標楷體"/>
          <w:color w:val="000000"/>
        </w:rPr>
      </w:pPr>
      <w:r>
        <w:rPr>
          <w:rFonts w:ascii="標楷體" w:eastAsia="標楷體" w:hAnsi="標楷體"/>
          <w:color w:val="000000"/>
        </w:rPr>
        <w:t>ii.若外科手術後無法達病理上緩解(non-pCR)，本藥品與trastuzumab emtansine使用於外科手術前後的總療程合併計算，以全部18個療程為上限，其中trastuzumab emtansine以14個療程為上限。</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2.轉移性乳癌</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(1)單獨使用於治療腫瘤細胞上有HER2過度表現(IHC3+或FISH+)，曾接受過一次以上化學治療之轉移性乳癌病人。(91/4/1、99/1/1)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(2)與paclitaxel或docetaxel併用，使用於未曾接受過化學治療之轉移性乳癌病患，且為HER2過度表現(IHC3+或FISH+)者。(93/8/1、95/2/1、99/1/1)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(3)轉移性乳癌且HER2過度表現之病人，僅限先前未使用過本藥品者方可使用。(99/1/1、108/5/1、113/12/1)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(4)若先前使用過docetaxel及pertuzumab與trastuzumab併用或docetaxel及pertuzumab與trastuzumab皮下注射複方製劑(如Phesgo)併用達18個月上限仍未惡化者，得再次申請本藥品。(108/5/1、113/12/1)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3.轉移性胃癌(限IV 劑型)</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  Trastuzumab合併capecitabine (或5-fluorouracil)及cisplatin適用於未曾接受過化學治療之HER2過度表現(IHC3+或FISH+)轉移性胃腺癌(或胃食道接合處腺癌)的治療。(109/2/1)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4.經事前審查核准後使用，核准後早期乳癌每24週、晚期乳癌每18週須檢附療效評估資料再次申請，若疾病有惡化情形即不應再行申請。（105/11/1、114/5/1）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9.19.Estramustine sod. phosphate monohydrate(如Estracyt)：(91/4/1)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限晚期前列腺癌病患且符合下列條件之一者使用：</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1.經荷爾蒙治療無效。</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2.經診斷對單獨使用荷爾蒙治療，具有預後療效不佳因素的初次治療病患。</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9.20.Rituximab注射劑(如Mabthera，不同劑型之適用範圍需符合藥品許可證登載之適應症)：用於抗癌瘤部分(91/4/1、93/1/1、95/3/1、97/2/1、102/1/1、103/2/1、103/9/1、104/6/1、106/9/1、111/6/1、113/2/1、113/12/1)</w:t>
      </w:r>
    </w:p>
    <w:p w:rsidR="00B96EA0" w:rsidRDefault="007D66B8" w:rsidP="005142EB">
      <w:pPr>
        <w:spacing w:line="400" w:lineRule="exact"/>
        <w:ind w:left="991" w:hanging="386"/>
        <w:rPr>
          <w:rFonts w:ascii="標楷體" w:eastAsia="標楷體" w:hAnsi="標楷體"/>
          <w:color w:val="000000"/>
        </w:rPr>
      </w:pPr>
      <w:r>
        <w:rPr>
          <w:rFonts w:ascii="標楷體" w:eastAsia="標楷體" w:hAnsi="標楷體"/>
          <w:color w:val="000000"/>
        </w:rPr>
        <w:t>1.復發或對化學療效有抗性之低惡度B細胞非何杰金氏淋巴瘤。（91/4/1）</w:t>
      </w:r>
    </w:p>
    <w:p w:rsidR="00B96EA0" w:rsidRDefault="007D66B8" w:rsidP="005142EB">
      <w:pPr>
        <w:spacing w:line="400" w:lineRule="exact"/>
        <w:ind w:left="991" w:hanging="386"/>
      </w:pPr>
      <w:r>
        <w:rPr>
          <w:rFonts w:ascii="標楷體" w:eastAsia="標楷體" w:hAnsi="標楷體"/>
          <w:color w:val="000000"/>
        </w:rPr>
        <w:lastRenderedPageBreak/>
        <w:t>2.併用</w:t>
      </w:r>
      <w:r>
        <w:rPr>
          <w:rFonts w:ascii="標楷體" w:eastAsia="標楷體" w:hAnsi="標楷體"/>
          <w:szCs w:val="24"/>
        </w:rPr>
        <w:t>polatuzumab vedotin或</w:t>
      </w:r>
      <w:r>
        <w:rPr>
          <w:rFonts w:ascii="標楷體" w:eastAsia="標楷體" w:hAnsi="標楷體"/>
          <w:color w:val="000000"/>
        </w:rPr>
        <w:t>CHOP或其他化學療法，用於CD20抗原陽性之B瀰漫性大細胞非何杰金氏淋巴瘤之病患。(93/1/1、95/3/1、113/2/1)</w:t>
      </w:r>
    </w:p>
    <w:p w:rsidR="00B96EA0" w:rsidRDefault="007D66B8" w:rsidP="005142EB">
      <w:pPr>
        <w:spacing w:line="400" w:lineRule="exact"/>
        <w:ind w:left="991" w:hanging="386"/>
        <w:rPr>
          <w:rFonts w:ascii="標楷體" w:eastAsia="標楷體" w:hAnsi="標楷體"/>
          <w:color w:val="000000"/>
        </w:rPr>
      </w:pPr>
      <w:r>
        <w:rPr>
          <w:rFonts w:ascii="標楷體" w:eastAsia="標楷體" w:hAnsi="標楷體"/>
          <w:color w:val="000000"/>
        </w:rPr>
        <w:t>3.併用CVP化學療法，用於未經治療之和緩性（組織型態為濾泡型）B細胞非何杰金氏淋巴瘤的病人。(95/3/1)</w:t>
      </w:r>
    </w:p>
    <w:p w:rsidR="00B96EA0" w:rsidRDefault="007D66B8" w:rsidP="005142EB">
      <w:pPr>
        <w:spacing w:line="400" w:lineRule="exact"/>
        <w:ind w:left="991" w:hanging="386"/>
        <w:rPr>
          <w:rFonts w:ascii="標楷體" w:eastAsia="標楷體" w:hAnsi="標楷體"/>
          <w:color w:val="000000"/>
        </w:rPr>
      </w:pPr>
      <w:r>
        <w:rPr>
          <w:rFonts w:ascii="標楷體" w:eastAsia="標楷體" w:hAnsi="標楷體"/>
          <w:color w:val="000000"/>
        </w:rPr>
        <w:t>4.作為濾泡性淋巴瘤患者於接受含rituximab誘導化學治療後產生反應(達partial remission或complete remission)之病患，若在接受含rituximab誘導化學治療前有下列情形之一者，得接受rituximab維持治療，限用八劑，每三個月使用一劑，最多不超過二年。(97/2/1、104/6/1)</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(1)有單一腫瘤直徑超過7公分者；</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(2)有超過三顆腫瘤直徑超過3公分者；</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(3)脾臟腫大，其長度超過16公分者；</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(4)對vitalorgans造成擠壓者；</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(5)周邊血中出現淋巴球增生超過5000/mm3者；</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(6)出現任一系列血球低下者(platelet&lt;100,000/mm3，或Hb&lt;10gm/dL，或absolute neutrophil count&lt;1500/mm3)。</w:t>
      </w:r>
    </w:p>
    <w:p w:rsidR="00B96EA0" w:rsidRDefault="007D66B8" w:rsidP="005142EB">
      <w:pPr>
        <w:spacing w:line="400" w:lineRule="exact"/>
        <w:ind w:left="991" w:hanging="386"/>
        <w:rPr>
          <w:rFonts w:ascii="標楷體" w:eastAsia="標楷體" w:hAnsi="標楷體"/>
          <w:color w:val="000000"/>
        </w:rPr>
      </w:pPr>
      <w:r>
        <w:rPr>
          <w:rFonts w:ascii="標楷體" w:eastAsia="標楷體" w:hAnsi="標楷體"/>
          <w:color w:val="000000"/>
        </w:rPr>
        <w:t>5.慢性淋巴球性白血病：(103/2/1、111/6/1)</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(1)Rai Stage Ⅲ/Ⅳ(或Binet C級)之CLL病人。若用於Rai StageⅠ/Ⅱ(或Binet A/B級)併有疾病相關免疫性症候(如自體免疫性溶血、免疫性血小板低下紫瘢症等)的病人時，需經過至少一種標準的烷化基劑治療無效或病情惡化者，且CD20陽性細胞須大於50%。（Rixathon不受「需經過一種標準的烷化基劑治療無效或病情惡化，且CD20陽性細胞須大於50%」限制，僅須符合具CD20陽性細胞即可使用，做為第一線用藥需與fludarabine及cyclophosphamide併用）(111/6/1)</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(2)與化學療法併用，做為復發或頑固性的CD20陽性慢性淋巴球性白血病病患的治療用藥，且CD20陽性細胞須大於50%。（Rixathon不受「CD20陽性細胞須大於50%」限制，僅須符合具CD20陽性細胞即可使用）(111/6/1)</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(3)初次申請最多六個（月）療程，再次申請以三個療程為限。</w:t>
      </w:r>
    </w:p>
    <w:p w:rsidR="00B96EA0" w:rsidRDefault="007D66B8" w:rsidP="005142EB">
      <w:pPr>
        <w:spacing w:line="400" w:lineRule="exact"/>
        <w:ind w:left="991" w:hanging="386"/>
        <w:rPr>
          <w:rFonts w:ascii="標楷體" w:eastAsia="標楷體" w:hAnsi="標楷體"/>
          <w:color w:val="000000"/>
        </w:rPr>
      </w:pPr>
      <w:r>
        <w:rPr>
          <w:rFonts w:ascii="標楷體" w:eastAsia="標楷體" w:hAnsi="標楷體"/>
          <w:color w:val="000000"/>
        </w:rPr>
        <w:t>6.與類固醇併用，治療嗜中性白血球細胞質抗體(ANCA)陽性之肉芽腫性血管炎及顯微多發性血管炎病人：(103/9/1)</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(1)需經事前審查核准後使用，診斷需有病理報告確定及血清學檢驗結果。</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(2)初次發作之肉芽腫性血管炎及顯微多發性血管炎，經cyclophosphamide治療4週以上但療效不佳者。</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(3)復發之肉芽腫性血管炎(GPA，或稱為韋格納肉芽腫症Wegener’s granulomatosis)及顯微多發性血管炎(MPA)，先前曾接受過cyclophosphamide治療者。</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(4)對cyclophosphamide治療無法耐受且有具體事證，或具使用禁忌之肉芽腫性血管炎及顯微多發性血管炎。</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lastRenderedPageBreak/>
        <w:t>(5)每次申請，以治療4週之療程為限。復發時可再次申請。</w:t>
      </w:r>
    </w:p>
    <w:p w:rsidR="00B96EA0" w:rsidRDefault="007D66B8" w:rsidP="005142EB">
      <w:pPr>
        <w:spacing w:line="400" w:lineRule="exact"/>
        <w:ind w:left="1132" w:hanging="386"/>
        <w:rPr>
          <w:rFonts w:ascii="標楷體" w:eastAsia="標楷體" w:hAnsi="標楷體"/>
          <w:color w:val="000000"/>
        </w:rPr>
      </w:pPr>
      <w:r>
        <w:rPr>
          <w:rFonts w:ascii="標楷體" w:eastAsia="標楷體" w:hAnsi="標楷體"/>
          <w:color w:val="000000"/>
        </w:rPr>
        <w:t>註：原發(初次發作)之肉芽腫性血管炎及顯微多發性血管炎，經cyclophosphamide治療4週以上但療效不佳者之定義為：</w:t>
      </w:r>
    </w:p>
    <w:p w:rsidR="00B96EA0" w:rsidRDefault="007D66B8" w:rsidP="005142EB">
      <w:pPr>
        <w:spacing w:line="400" w:lineRule="exact"/>
        <w:ind w:left="1130" w:hanging="7"/>
        <w:rPr>
          <w:rFonts w:ascii="標楷體" w:eastAsia="標楷體" w:hAnsi="標楷體"/>
          <w:color w:val="000000"/>
        </w:rPr>
      </w:pPr>
      <w:r>
        <w:rPr>
          <w:rFonts w:ascii="標楷體" w:eastAsia="標楷體" w:hAnsi="標楷體"/>
          <w:color w:val="000000"/>
        </w:rPr>
        <w:t>經cyclophosphamide治療4週以上，但至少有一項受侵犯的主要器官症狀未能改善，包括:</w:t>
      </w:r>
    </w:p>
    <w:p w:rsidR="00B96EA0" w:rsidRDefault="007D66B8" w:rsidP="005142EB">
      <w:pPr>
        <w:spacing w:line="400" w:lineRule="exact"/>
        <w:ind w:left="1188" w:hanging="14"/>
        <w:rPr>
          <w:rFonts w:ascii="標楷體" w:eastAsia="標楷體" w:hAnsi="標楷體"/>
          <w:color w:val="000000"/>
        </w:rPr>
      </w:pPr>
      <w:r>
        <w:rPr>
          <w:rFonts w:ascii="標楷體" w:eastAsia="標楷體" w:hAnsi="標楷體"/>
          <w:color w:val="000000"/>
        </w:rPr>
        <w:t>A肺部</w:t>
      </w:r>
    </w:p>
    <w:p w:rsidR="00B96EA0" w:rsidRDefault="007D66B8" w:rsidP="005142EB">
      <w:pPr>
        <w:spacing w:line="400" w:lineRule="exact"/>
        <w:ind w:left="1188" w:hanging="14"/>
        <w:rPr>
          <w:rFonts w:ascii="標楷體" w:eastAsia="標楷體" w:hAnsi="標楷體"/>
          <w:color w:val="000000"/>
        </w:rPr>
      </w:pPr>
      <w:r>
        <w:rPr>
          <w:rFonts w:ascii="標楷體" w:eastAsia="標楷體" w:hAnsi="標楷體"/>
          <w:color w:val="000000"/>
        </w:rPr>
        <w:t>B腎臟</w:t>
      </w:r>
    </w:p>
    <w:p w:rsidR="00B96EA0" w:rsidRDefault="007D66B8" w:rsidP="005142EB">
      <w:pPr>
        <w:spacing w:line="400" w:lineRule="exact"/>
        <w:ind w:left="1188" w:hanging="14"/>
        <w:rPr>
          <w:rFonts w:ascii="標楷體" w:eastAsia="標楷體" w:hAnsi="標楷體"/>
          <w:color w:val="000000"/>
        </w:rPr>
      </w:pPr>
      <w:r>
        <w:rPr>
          <w:rFonts w:ascii="標楷體" w:eastAsia="標楷體" w:hAnsi="標楷體"/>
          <w:color w:val="000000"/>
        </w:rPr>
        <w:t>C神經系統</w:t>
      </w:r>
    </w:p>
    <w:p w:rsidR="00B96EA0" w:rsidRDefault="007D66B8" w:rsidP="005142EB">
      <w:pPr>
        <w:spacing w:line="400" w:lineRule="exact"/>
        <w:ind w:left="1188" w:hanging="14"/>
        <w:rPr>
          <w:rFonts w:ascii="標楷體" w:eastAsia="標楷體" w:hAnsi="標楷體"/>
          <w:color w:val="000000"/>
        </w:rPr>
      </w:pPr>
      <w:r>
        <w:rPr>
          <w:rFonts w:ascii="標楷體" w:eastAsia="標楷體" w:hAnsi="標楷體"/>
          <w:color w:val="000000"/>
        </w:rPr>
        <w:t>D腸胃道系統</w:t>
      </w:r>
    </w:p>
    <w:p w:rsidR="00B96EA0" w:rsidRDefault="007D66B8" w:rsidP="005142EB">
      <w:pPr>
        <w:spacing w:line="400" w:lineRule="exact"/>
        <w:ind w:left="1188" w:hanging="14"/>
        <w:rPr>
          <w:rFonts w:ascii="標楷體" w:eastAsia="標楷體" w:hAnsi="標楷體"/>
          <w:color w:val="000000"/>
        </w:rPr>
      </w:pPr>
      <w:r>
        <w:rPr>
          <w:rFonts w:ascii="標楷體" w:eastAsia="標楷體" w:hAnsi="標楷體"/>
          <w:color w:val="000000"/>
        </w:rPr>
        <w:t>申請時需檢附病歷及病理及影像資料等，經專科醫師事前審查同意後使用。</w:t>
      </w:r>
    </w:p>
    <w:p w:rsidR="00B96EA0" w:rsidRDefault="007D66B8" w:rsidP="005142EB">
      <w:pPr>
        <w:spacing w:line="400" w:lineRule="exact"/>
        <w:ind w:left="991" w:hanging="386"/>
        <w:rPr>
          <w:rFonts w:ascii="標楷體" w:eastAsia="標楷體" w:hAnsi="標楷體"/>
          <w:color w:val="000000"/>
        </w:rPr>
      </w:pPr>
      <w:r>
        <w:rPr>
          <w:rFonts w:ascii="標楷體" w:eastAsia="標楷體" w:hAnsi="標楷體"/>
          <w:color w:val="000000"/>
        </w:rPr>
        <w:t>7.合併bendamustine適用於先前未曾接受治療的CD20陽性、第III/IV期和緩性非何杰金氏淋巴瘤。(113/12/1)</w:t>
      </w:r>
    </w:p>
    <w:p w:rsidR="00B96EA0" w:rsidRDefault="007D66B8" w:rsidP="005142EB">
      <w:pPr>
        <w:spacing w:line="400" w:lineRule="exact"/>
        <w:ind w:left="991" w:hanging="386"/>
        <w:rPr>
          <w:rFonts w:ascii="標楷體" w:eastAsia="標楷體" w:hAnsi="標楷體"/>
          <w:color w:val="000000"/>
        </w:rPr>
      </w:pPr>
      <w:r>
        <w:rPr>
          <w:rFonts w:ascii="標楷體" w:eastAsia="標楷體" w:hAnsi="標楷體"/>
          <w:color w:val="000000"/>
        </w:rPr>
        <w:t>8.合併bendamustine用於先前未曾接受治療且不適合自體幹細胞移植的第III/IV期被套細胞淋巴瘤。(113/12/1)</w:t>
      </w:r>
    </w:p>
    <w:p w:rsidR="00B96EA0" w:rsidRDefault="007D66B8" w:rsidP="005142EB">
      <w:pPr>
        <w:spacing w:line="400" w:lineRule="exact"/>
        <w:ind w:left="991" w:hanging="386"/>
        <w:rPr>
          <w:rFonts w:ascii="標楷體" w:eastAsia="標楷體" w:hAnsi="標楷體"/>
          <w:color w:val="000000"/>
        </w:rPr>
      </w:pPr>
      <w:r>
        <w:rPr>
          <w:rFonts w:ascii="標楷體" w:eastAsia="標楷體" w:hAnsi="標楷體"/>
          <w:color w:val="000000"/>
        </w:rPr>
        <w:t>9.使用於1、4、5、6、7及8病人時，需經事前審查核准後使用。(102/1/1、103/2/1、103/9/1、113/12/1)</w:t>
      </w:r>
    </w:p>
    <w:p w:rsidR="00B96EA0" w:rsidRDefault="007D66B8" w:rsidP="005142EB">
      <w:pPr>
        <w:spacing w:line="400" w:lineRule="exact"/>
        <w:ind w:left="672" w:hanging="386"/>
      </w:pPr>
      <w:r>
        <w:rPr>
          <w:rFonts w:ascii="標楷體" w:eastAsia="標楷體" w:hAnsi="標楷體"/>
          <w:color w:val="000000"/>
        </w:rPr>
        <w:t>9.21.Fludarabine(如Fludara Oral, Film-Coated Tablet及Fludara Lyophilized IV Injection)：(92/12/1、93/3/1、94/10/1、99/10/1</w:t>
      </w:r>
      <w:r>
        <w:rPr>
          <w:rFonts w:ascii="新細明體" w:hAnsi="新細明體"/>
          <w:kern w:val="0"/>
          <w:szCs w:val="24"/>
        </w:rPr>
        <w:t>、</w:t>
      </w:r>
      <w:r>
        <w:rPr>
          <w:rFonts w:ascii="標楷體" w:eastAsia="標楷體" w:hAnsi="標楷體"/>
          <w:kern w:val="0"/>
          <w:szCs w:val="24"/>
        </w:rPr>
        <w:t>106/11/1</w:t>
      </w:r>
      <w:r>
        <w:rPr>
          <w:rFonts w:ascii="標楷體" w:eastAsia="標楷體" w:hAnsi="標楷體"/>
          <w:color w:val="000000"/>
        </w:rPr>
        <w:t>)</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1.用於B-細胞慢性淋巴性白血病（CLL）病患的起始治療及CLL與低惡性度B細胞非何杰金氏淋巴瘤(Indolent B-Cell NHL)病患，歷經至少一種標準內容的烷化基藥劑（alkylating agent）的治療方法都無效，或治療後雖有效但隨後疾病又繼續惡化的病人。</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2.以本品作為第一線治療，限用於(94/10/1)。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(1)Rai Stage Ⅲ/IV(或Binet C級)之CLL病人。若用於Rai Stage I/II(或Binet A/B級)併有疾病相關免疫性症候(如自體免疫性溶血、免疫性血小板低下紫瘢症等)的病人時，需經過至少一種標準的烷化基劑治療無效或病情惡化者。</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(2)每3個療程需進行療效評估，病歷應留存評估紀錄，無疾病惡化方可繼續使用。(106/11/1)</w:t>
      </w:r>
    </w:p>
    <w:p w:rsidR="00B96EA0" w:rsidRDefault="007D66B8" w:rsidP="005142EB">
      <w:pPr>
        <w:spacing w:line="400" w:lineRule="exact"/>
        <w:ind w:left="672" w:hanging="386"/>
      </w:pPr>
      <w:r>
        <w:rPr>
          <w:rFonts w:ascii="標楷體" w:eastAsia="標楷體" w:hAnsi="標楷體"/>
          <w:color w:val="000000"/>
        </w:rPr>
        <w:t>9.22.Imatinib(如Glivec)：</w:t>
      </w:r>
      <w:r>
        <w:rPr>
          <w:rFonts w:ascii="標楷體" w:hAnsi="標楷體"/>
          <w:color w:val="000000"/>
        </w:rPr>
        <w:t>(91/5/1</w:t>
      </w:r>
      <w:r>
        <w:rPr>
          <w:rFonts w:ascii="標楷體" w:hAnsi="標楷體"/>
          <w:color w:val="000000"/>
        </w:rPr>
        <w:t>、</w:t>
      </w:r>
      <w:r>
        <w:rPr>
          <w:rFonts w:ascii="標楷體" w:hAnsi="標楷體"/>
          <w:color w:val="000000"/>
        </w:rPr>
        <w:t>93/7/1</w:t>
      </w:r>
      <w:r>
        <w:rPr>
          <w:rFonts w:ascii="標楷體" w:hAnsi="標楷體"/>
          <w:color w:val="000000"/>
        </w:rPr>
        <w:t>、</w:t>
      </w:r>
      <w:r>
        <w:rPr>
          <w:rFonts w:ascii="標楷體" w:hAnsi="標楷體"/>
          <w:color w:val="000000"/>
        </w:rPr>
        <w:t>97/8/1</w:t>
      </w:r>
      <w:r>
        <w:rPr>
          <w:rFonts w:ascii="標楷體" w:hAnsi="標楷體"/>
          <w:color w:val="000000"/>
        </w:rPr>
        <w:t>、</w:t>
      </w:r>
      <w:r>
        <w:rPr>
          <w:rFonts w:ascii="標楷體" w:hAnsi="標楷體"/>
          <w:color w:val="000000"/>
        </w:rPr>
        <w:t>99/6/1</w:t>
      </w:r>
      <w:r>
        <w:rPr>
          <w:rFonts w:ascii="標楷體" w:hAnsi="標楷體"/>
          <w:color w:val="000000"/>
        </w:rPr>
        <w:t>、</w:t>
      </w:r>
      <w:r>
        <w:rPr>
          <w:rFonts w:ascii="標楷體" w:hAnsi="標楷體"/>
          <w:color w:val="000000"/>
        </w:rPr>
        <w:t>100/2/1</w:t>
      </w:r>
      <w:r>
        <w:rPr>
          <w:rFonts w:ascii="標楷體" w:hAnsi="標楷體"/>
          <w:color w:val="000000"/>
        </w:rPr>
        <w:t>、</w:t>
      </w:r>
      <w:r>
        <w:rPr>
          <w:rFonts w:ascii="標楷體" w:hAnsi="標楷體"/>
          <w:color w:val="000000"/>
        </w:rPr>
        <w:t>102/9/1</w:t>
      </w:r>
      <w:r>
        <w:rPr>
          <w:rFonts w:ascii="標楷體" w:hAnsi="標楷體"/>
          <w:color w:val="000000"/>
        </w:rPr>
        <w:t>、</w:t>
      </w:r>
      <w:r>
        <w:rPr>
          <w:rFonts w:ascii="標楷體" w:hAnsi="標楷體"/>
          <w:color w:val="000000"/>
        </w:rPr>
        <w:t>113/6/1)</w:t>
      </w:r>
      <w:r>
        <w:rPr>
          <w:rFonts w:ascii="標楷體" w:eastAsia="標楷體" w:hAnsi="標楷體"/>
          <w:color w:val="000000"/>
        </w:rPr>
        <w:t>附表九之八</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限用於</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1.治療正值急性轉化期(blast crisis)、加速期或經ALPHA-干擾素治療無效之慢性期的慢性骨髓性白血病(CML)患者使用。</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2.用於治療初期診斷為慢性骨髓性白血病（CML）的病人。</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3.惡性胃腸道基質瘤(GIST)：</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(1)治療成年人無法手術切除或轉移的惡性胃腸道基質瘤。</w:t>
      </w:r>
    </w:p>
    <w:p w:rsidR="00B96EA0" w:rsidRDefault="007D66B8" w:rsidP="005142EB">
      <w:pPr>
        <w:spacing w:line="400" w:lineRule="exact"/>
        <w:ind w:left="1049" w:hanging="341"/>
      </w:pPr>
      <w:r>
        <w:rPr>
          <w:rFonts w:ascii="標楷體" w:eastAsia="標楷體" w:hAnsi="標楷體"/>
          <w:color w:val="000000"/>
        </w:rPr>
        <w:lastRenderedPageBreak/>
        <w:t>(2)作為成人胃腸道基質瘤完全切除後之術後輔助治療，符合下列一項條件可使用3年，須事前審查核准後使用。(100/2/1</w:t>
      </w:r>
      <w:r>
        <w:rPr>
          <w:rFonts w:ascii="標楷體" w:hAnsi="標楷體"/>
          <w:color w:val="000000"/>
        </w:rPr>
        <w:t>、</w:t>
      </w:r>
      <w:r>
        <w:rPr>
          <w:rFonts w:ascii="標楷體" w:hAnsi="標楷體"/>
          <w:color w:val="000000"/>
        </w:rPr>
        <w:t>102/9/1</w:t>
      </w:r>
      <w:r>
        <w:rPr>
          <w:rFonts w:ascii="標楷體" w:eastAsia="標楷體" w:hAnsi="標楷體"/>
          <w:color w:val="000000"/>
        </w:rPr>
        <w:t>)</w:t>
      </w:r>
    </w:p>
    <w:p w:rsidR="00B96EA0" w:rsidRDefault="007D66B8" w:rsidP="005142EB">
      <w:pPr>
        <w:spacing w:line="400" w:lineRule="exact"/>
        <w:ind w:left="1049" w:firstLine="84"/>
        <w:rPr>
          <w:rFonts w:ascii="標楷體" w:eastAsia="標楷體" w:hAnsi="標楷體"/>
          <w:color w:val="000000"/>
        </w:rPr>
      </w:pPr>
      <w:r>
        <w:rPr>
          <w:rFonts w:ascii="標楷體" w:eastAsia="標楷體" w:hAnsi="標楷體"/>
          <w:color w:val="000000"/>
        </w:rPr>
        <w:t>A.腫瘤大於10公分。</w:t>
      </w:r>
    </w:p>
    <w:p w:rsidR="00B96EA0" w:rsidRDefault="007D66B8" w:rsidP="005142EB">
      <w:pPr>
        <w:spacing w:line="400" w:lineRule="exact"/>
        <w:ind w:left="1049" w:firstLine="84"/>
        <w:rPr>
          <w:rFonts w:ascii="標楷體" w:eastAsia="標楷體" w:hAnsi="標楷體"/>
          <w:color w:val="000000"/>
        </w:rPr>
      </w:pPr>
      <w:r>
        <w:rPr>
          <w:rFonts w:ascii="標楷體" w:eastAsia="標楷體" w:hAnsi="標楷體"/>
          <w:color w:val="000000"/>
        </w:rPr>
        <w:t>B.有絲分裂指數&gt;10/50 HPF(high power field)。</w:t>
      </w:r>
    </w:p>
    <w:p w:rsidR="00B96EA0" w:rsidRDefault="007D66B8" w:rsidP="005142EB">
      <w:pPr>
        <w:spacing w:line="400" w:lineRule="exact"/>
        <w:ind w:left="1049" w:firstLine="84"/>
        <w:rPr>
          <w:rFonts w:ascii="標楷體" w:eastAsia="標楷體" w:hAnsi="標楷體"/>
          <w:color w:val="000000"/>
        </w:rPr>
      </w:pPr>
      <w:r>
        <w:rPr>
          <w:rFonts w:ascii="標楷體" w:eastAsia="標楷體" w:hAnsi="標楷體"/>
          <w:color w:val="000000"/>
        </w:rPr>
        <w:t>C.腫瘤大於5公分且有絲分裂指數&gt;5/50 HPF(high power field)。</w:t>
      </w:r>
    </w:p>
    <w:p w:rsidR="00B96EA0" w:rsidRDefault="007D66B8" w:rsidP="005142EB">
      <w:pPr>
        <w:spacing w:line="400" w:lineRule="exact"/>
        <w:ind w:left="1049" w:firstLine="84"/>
        <w:rPr>
          <w:rFonts w:ascii="標楷體" w:eastAsia="標楷體" w:hAnsi="標楷體"/>
          <w:color w:val="000000"/>
        </w:rPr>
      </w:pPr>
      <w:r>
        <w:rPr>
          <w:rFonts w:ascii="標楷體" w:eastAsia="標楷體" w:hAnsi="標楷體"/>
          <w:color w:val="000000"/>
        </w:rPr>
        <w:t>D.腫瘤破裂。</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4.治療初診斷為費城染色體陽性急性淋巴性白血病（Ph+ALL)且併用化療之成年人。(99/6/1)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5.未曾使用imatinib治療之成人復發性或難治性費城染色體陽性急性淋巴性白血病(Ph+ALL)之單一療法。(99/6/1)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6.下列適應症患者必須在第一線的藥物如hydroxyurea; corticosteroid等無效後，經事前審查核准才可使用，且每6個月需重新申請審查。(99/6/1)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(1)治療患有與血小板衍生生長因子受體（PDGFR)基因重組相關之骨髓發育不全症候群(MDS)/骨髓增生性疾病(MPD)之成人。</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(2)治療嗜伊紅性白血球增加症候群(HES)與/或慢性嗜伊紅性白血病(CEL)且有血小板衍生生長因子受體(PDGFR)基因重組之成人患者，且存在器官侵犯証據者。</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7.治療患有無法手術切除、復發性或轉移性且有血小板衍生生長因子受體(PDGFR)基因重組之隆突性皮膚纖維肉瘤(DFSP)之成人患者。(99/6/1)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8.1~7項規定內之疾病診斷或追蹤若需依據基因檢測報告，則需符合全民健康保險藥品給付規定之通則十二。(113/6/1)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9.23.Arsenic trioxide(如Asadin Inj.)：(91/8/1、92/9/1)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限用於急性前骨髓細胞白血病患者。</w:t>
      </w:r>
    </w:p>
    <w:p w:rsidR="00B96EA0" w:rsidRDefault="007D66B8" w:rsidP="005142EB">
      <w:pPr>
        <w:spacing w:line="400" w:lineRule="exact"/>
        <w:ind w:left="824" w:hanging="567"/>
        <w:rPr>
          <w:rFonts w:ascii="標楷體" w:eastAsia="標楷體" w:hAnsi="標楷體"/>
          <w:color w:val="000000"/>
        </w:rPr>
      </w:pPr>
      <w:r>
        <w:rPr>
          <w:rFonts w:ascii="標楷體" w:eastAsia="標楷體" w:hAnsi="標楷體"/>
          <w:color w:val="000000"/>
        </w:rPr>
        <w:t>9.24.Gefitinib(如Iressa):(93/11/1、96/8/1、96/11/1、100/6/1、101/5/1、101/10/1、103/5/1、106/11/1、 108/6/1、108/11/1、109/4/1、109/6/1、109/10/1、111/2/1、111/4/1、113/3/1、113/6/1、113/10/1)</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1.限單獨使用於</w:t>
      </w:r>
    </w:p>
    <w:p w:rsidR="00B96EA0" w:rsidRDefault="007D66B8" w:rsidP="005142EB">
      <w:pPr>
        <w:spacing w:line="400" w:lineRule="exact"/>
        <w:ind w:left="1289" w:hanging="341"/>
        <w:rPr>
          <w:rFonts w:ascii="標楷體" w:eastAsia="標楷體" w:hAnsi="標楷體"/>
          <w:color w:val="000000"/>
        </w:rPr>
      </w:pPr>
      <w:r>
        <w:rPr>
          <w:rFonts w:ascii="標楷體" w:eastAsia="標楷體" w:hAnsi="標楷體"/>
          <w:color w:val="000000"/>
        </w:rPr>
        <w:t>(1)具有EGFR-TK基因突變之局部侵犯性或轉移性(即第ⅢB、ⅢC或第Ⅳ期)之肺腺癌病患之第一線治療，需檢附EGFR基因檢測結果報告，且需符合全民健康保險藥品給付規定之通則十二。(100/6/1、108/6/1、108/11/1、113/6/1)</w:t>
      </w:r>
    </w:p>
    <w:p w:rsidR="00B96EA0" w:rsidRDefault="007D66B8" w:rsidP="005142EB">
      <w:pPr>
        <w:spacing w:line="400" w:lineRule="exact"/>
        <w:ind w:left="1289" w:hanging="341"/>
        <w:rPr>
          <w:rFonts w:ascii="標楷體" w:eastAsia="標楷體" w:hAnsi="標楷體"/>
          <w:color w:val="000000"/>
        </w:rPr>
      </w:pPr>
      <w:r>
        <w:rPr>
          <w:rFonts w:ascii="標楷體" w:eastAsia="標楷體" w:hAnsi="標楷體"/>
          <w:color w:val="000000"/>
        </w:rPr>
        <w:t>(2)先前已使用過第一線含鉑化學治療，或70歲以上接受過第一線化學治療，但仍局部惡化或轉移之肺腺癌。(96/11/1、100/6/1、111/2/1)</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2.使用注意事項(106/11/1、109/4/1、109/10/1、111/4/1、113/3/1）</w:t>
      </w:r>
    </w:p>
    <w:p w:rsidR="00B96EA0" w:rsidRDefault="007D66B8" w:rsidP="005142EB">
      <w:pPr>
        <w:spacing w:line="400" w:lineRule="exact"/>
        <w:ind w:left="1289" w:hanging="341"/>
        <w:rPr>
          <w:rFonts w:ascii="標楷體" w:eastAsia="標楷體" w:hAnsi="標楷體"/>
          <w:color w:val="000000"/>
        </w:rPr>
      </w:pPr>
      <w:r>
        <w:rPr>
          <w:rFonts w:ascii="標楷體" w:eastAsia="標楷體" w:hAnsi="標楷體"/>
          <w:color w:val="000000"/>
        </w:rPr>
        <w:t>(1)用於第一線用藥：病歷應留存確實患有肺腺癌之病理或細胞檢查報告，及EGFR-TK基因突變檢測報告。(100/6/1、106/11/1)</w:t>
      </w:r>
    </w:p>
    <w:p w:rsidR="00B96EA0" w:rsidRDefault="007D66B8" w:rsidP="005142EB">
      <w:pPr>
        <w:spacing w:line="400" w:lineRule="exact"/>
        <w:ind w:left="1289" w:hanging="341"/>
      </w:pPr>
      <w:r>
        <w:rPr>
          <w:rFonts w:ascii="標楷體" w:eastAsia="標楷體" w:hAnsi="標楷體"/>
          <w:color w:val="000000"/>
        </w:rPr>
        <w:t>(2)</w:t>
      </w:r>
      <w:r>
        <w:rPr>
          <w:rFonts w:ascii="標楷體" w:eastAsia="標楷體" w:hAnsi="標楷體"/>
          <w:kern w:val="0"/>
          <w:szCs w:val="24"/>
        </w:rPr>
        <w:t>用於第二線以上用藥：病歷應留存確實患有肺腺癌之病理或細胞檢查報告，並附曾經接受第一線含鉑化學治療，或70歲(含)以上接受過第一線化學治療之證</w:t>
      </w:r>
      <w:r>
        <w:rPr>
          <w:rFonts w:ascii="標楷體" w:eastAsia="標楷體" w:hAnsi="標楷體"/>
          <w:kern w:val="0"/>
          <w:szCs w:val="24"/>
        </w:rPr>
        <w:lastRenderedPageBreak/>
        <w:t>明，及目前又有疾病惡化之影像診斷證明（如胸部X光、電腦斷層或其他可作為評估的影像），此影像證明以可測量（measurable）的病灶為優先，如沒有可以測量的病灶，則可評估（evaluable）的病灶亦可採用。(96/11/1、100/6/1、101/10/1、106/11/1)</w:t>
      </w:r>
    </w:p>
    <w:p w:rsidR="00B96EA0" w:rsidRDefault="007D66B8" w:rsidP="005142EB">
      <w:pPr>
        <w:spacing w:line="400" w:lineRule="exact"/>
        <w:ind w:left="1289" w:hanging="341"/>
      </w:pPr>
      <w:r>
        <w:rPr>
          <w:rFonts w:ascii="標楷體" w:eastAsia="標楷體" w:hAnsi="標楷體"/>
          <w:color w:val="000000"/>
        </w:rPr>
        <w:t>(3)</w:t>
      </w:r>
      <w:r>
        <w:rPr>
          <w:rFonts w:ascii="標楷體" w:eastAsia="標楷體" w:hAnsi="標楷體"/>
          <w:kern w:val="0"/>
          <w:szCs w:val="24"/>
        </w:rPr>
        <w:t>每次處方以4週為限，再次處方時需於病歷記錄治療後相關臨床資料，如每4週需追蹤胸部X光或電腦斷層等影像檢查</w:t>
      </w:r>
      <w:r>
        <w:rPr>
          <w:rFonts w:ascii="新細明體" w:hAnsi="新細明體"/>
          <w:kern w:val="0"/>
          <w:szCs w:val="24"/>
        </w:rPr>
        <w:t>，</w:t>
      </w:r>
      <w:r>
        <w:rPr>
          <w:rFonts w:ascii="標楷體" w:eastAsia="標楷體" w:hAnsi="標楷體"/>
          <w:kern w:val="0"/>
          <w:szCs w:val="24"/>
        </w:rPr>
        <w:t>每8至12週需進行完整療效評估（如胸部X光或電腦斷層）。(101/5/1、106/11/1)</w:t>
      </w:r>
    </w:p>
    <w:p w:rsidR="00B96EA0" w:rsidRDefault="007D66B8" w:rsidP="005142EB">
      <w:pPr>
        <w:spacing w:line="400" w:lineRule="exact"/>
        <w:ind w:left="1289" w:hanging="341"/>
      </w:pPr>
      <w:r>
        <w:rPr>
          <w:rFonts w:ascii="標楷體" w:eastAsia="標楷體" w:hAnsi="標楷體"/>
          <w:kern w:val="0"/>
        </w:rPr>
        <w:t>(4)本藥品與erlotinib及afatinib不得併用。(96/8/1、103/5/1</w:t>
      </w:r>
      <w:r>
        <w:rPr>
          <w:rFonts w:ascii="標楷體" w:eastAsia="標楷體" w:hAnsi="標楷體"/>
        </w:rPr>
        <w:t>、109/4/1</w:t>
      </w:r>
      <w:r>
        <w:rPr>
          <w:rFonts w:ascii="標楷體" w:eastAsia="標楷體" w:hAnsi="標楷體"/>
          <w:kern w:val="0"/>
        </w:rPr>
        <w:t>)</w:t>
      </w:r>
    </w:p>
    <w:p w:rsidR="00B96EA0" w:rsidRDefault="007D66B8" w:rsidP="005142EB">
      <w:pPr>
        <w:spacing w:line="400" w:lineRule="exact"/>
        <w:ind w:left="1289" w:hanging="341"/>
        <w:rPr>
          <w:rFonts w:ascii="標楷體" w:eastAsia="標楷體" w:hAnsi="標楷體"/>
          <w:kern w:val="0"/>
        </w:rPr>
      </w:pPr>
      <w:r>
        <w:rPr>
          <w:rFonts w:ascii="標楷體" w:eastAsia="標楷體" w:hAnsi="標楷體"/>
          <w:kern w:val="0"/>
        </w:rPr>
        <w:t>(5)本藥品於第一線使用時，與osimertinib、dacomitinib及bevacizumab併用erlotinib之治療組合僅得擇一使用，除因耐受性不良，不得互換。(109/6/1、109/10/1、111/4/1、113/3/1、113/10/1)</w:t>
      </w:r>
    </w:p>
    <w:p w:rsidR="00B96EA0" w:rsidRDefault="007D66B8" w:rsidP="005142EB">
      <w:pPr>
        <w:spacing w:line="400" w:lineRule="exact"/>
        <w:ind w:left="1654" w:hanging="336"/>
      </w:pPr>
      <w:r>
        <w:rPr>
          <w:rFonts w:ascii="標楷體" w:eastAsia="標楷體" w:hAnsi="標楷體"/>
        </w:rPr>
        <w:t>Ⅰ.如需更換使用osimertinib，必須符合osimertinib第一線使用於具有EGFR Exon 19 Del或Exon 21 L858R基因突變之局部侵犯性或轉移性（即為IIIB、IIIC期或第Ⅳ期）肺腺癌病患之限制。(109/6/1、111/4/1、113/10/1)</w:t>
      </w:r>
    </w:p>
    <w:p w:rsidR="00B96EA0" w:rsidRDefault="007D66B8" w:rsidP="005142EB">
      <w:pPr>
        <w:spacing w:line="400" w:lineRule="exact"/>
        <w:ind w:left="1654" w:hanging="336"/>
        <w:rPr>
          <w:rFonts w:ascii="標楷體" w:eastAsia="標楷體" w:hAnsi="標楷體"/>
        </w:rPr>
      </w:pPr>
      <w:r>
        <w:rPr>
          <w:rFonts w:ascii="標楷體" w:eastAsia="標楷體" w:hAnsi="標楷體"/>
        </w:rPr>
        <w:t>Ⅱ.如需更換使用dacomitinib，必須符合dacomitinib第一線使用於具有EGFR-TK Exon 19 Del或Exon 21 L858R點突變，且無腦轉移(non-CNS)之局部侵犯性或轉移性肺腺癌之限制。(109/10/1）</w:t>
      </w:r>
    </w:p>
    <w:p w:rsidR="00B96EA0" w:rsidRDefault="007D66B8" w:rsidP="005142EB">
      <w:pPr>
        <w:spacing w:line="400" w:lineRule="exact"/>
        <w:ind w:left="1654" w:hanging="336"/>
        <w:rPr>
          <w:rFonts w:ascii="標楷體" w:eastAsia="標楷體" w:hAnsi="標楷體"/>
        </w:rPr>
      </w:pPr>
      <w:r>
        <w:rPr>
          <w:rFonts w:ascii="標楷體" w:eastAsia="標楷體" w:hAnsi="標楷體"/>
        </w:rPr>
        <w:t>Ⅲ.如需更換使用bevacizumab併用erlotinib之治療組合，必須符合bevacizumab第一線使用於具有EGFR Exon 21 L858R突變且腦轉移之無法手術切除的轉移性（第Ⅳ期）非鱗狀非小細胞肺癌肺腺癌之限制。(113/3/1)</w:t>
      </w:r>
    </w:p>
    <w:p w:rsidR="00B96EA0" w:rsidRDefault="007D66B8" w:rsidP="005142EB">
      <w:pPr>
        <w:spacing w:line="400" w:lineRule="exact"/>
        <w:ind w:left="672" w:hanging="386"/>
        <w:rPr>
          <w:rFonts w:ascii="標楷體" w:eastAsia="標楷體" w:hAnsi="標楷體"/>
          <w:color w:val="000000"/>
        </w:rPr>
      </w:pPr>
      <w:bookmarkStart w:id="6" w:name="_Hlk113894926"/>
      <w:r>
        <w:rPr>
          <w:rFonts w:ascii="標楷體" w:eastAsia="標楷體" w:hAnsi="標楷體"/>
          <w:color w:val="000000"/>
        </w:rPr>
        <w:t>9.25.Temozolomide(如Temodal)：(94/3/1、97/1/1、98/9/1、111/9/1)附表八之二</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限用於</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1.經手術或放射線治療後復發之下列病人：</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(1)退行性星狀細胞瘤(AA-anaplastic astrocytoma)</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(2)多形神經膠母細胞瘤(GBM-Glioblastoma multiforme)</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(3)退行性寡樹突膠質細胞瘤(anaplastic oligodendroglioma)(98/9/1)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2.新診斷的多形神經膠母細胞瘤，與放射線治療同步進行，然後作為輔助性治療。（97/1/1）</w:t>
      </w:r>
    </w:p>
    <w:p w:rsidR="00B96EA0" w:rsidRDefault="007D66B8" w:rsidP="005142EB">
      <w:pPr>
        <w:spacing w:line="400" w:lineRule="exact"/>
        <w:ind w:left="811" w:hanging="245"/>
      </w:pPr>
      <w:r>
        <w:rPr>
          <w:rFonts w:ascii="標楷體" w:eastAsia="標楷體" w:hAnsi="標楷體"/>
          <w:color w:val="000000"/>
        </w:rPr>
        <w:t>3.需經事前審查核准後使用，每日最大劑量200mg/m</w:t>
      </w:r>
      <w:r>
        <w:rPr>
          <w:rFonts w:ascii="標楷體" w:eastAsia="標楷體" w:hAnsi="標楷體"/>
          <w:color w:val="000000"/>
          <w:vertAlign w:val="superscript"/>
        </w:rPr>
        <w:t>2</w:t>
      </w:r>
      <w:r>
        <w:rPr>
          <w:rFonts w:ascii="標楷體" w:eastAsia="標楷體" w:hAnsi="標楷體"/>
          <w:color w:val="000000"/>
        </w:rPr>
        <w:t>。每次申請事前審查之療程以三個月為限，再次申請必須提出客觀證據（如：影像學）證實無惡化，才可繼續使用。(98/9/1、111/9/1)</w:t>
      </w:r>
      <w:bookmarkEnd w:id="6"/>
    </w:p>
    <w:p w:rsidR="002F2B55" w:rsidRPr="00367DBE" w:rsidRDefault="002F2B55" w:rsidP="002F2B55">
      <w:pPr>
        <w:spacing w:line="400" w:lineRule="exact"/>
        <w:ind w:left="317" w:hanging="386"/>
        <w:rPr>
          <w:rFonts w:ascii="標楷體" w:eastAsia="標楷體" w:hAnsi="標楷體"/>
          <w:szCs w:val="24"/>
        </w:rPr>
      </w:pPr>
      <w:r w:rsidRPr="00367DBE">
        <w:rPr>
          <w:rFonts w:ascii="標楷體" w:eastAsia="標楷體" w:hAnsi="標楷體"/>
          <w:szCs w:val="24"/>
        </w:rPr>
        <w:t>9.26.</w:t>
      </w:r>
      <w:r w:rsidRPr="00367DBE">
        <w:rPr>
          <w:rFonts w:ascii="標楷體" w:eastAsia="標楷體" w:hAnsi="標楷體"/>
          <w:kern w:val="0"/>
          <w:szCs w:val="24"/>
        </w:rPr>
        <w:t>P</w:t>
      </w:r>
      <w:r w:rsidRPr="00367DBE">
        <w:rPr>
          <w:rFonts w:ascii="標楷體" w:eastAsia="標楷體" w:hAnsi="標楷體"/>
          <w:szCs w:val="24"/>
        </w:rPr>
        <w:t>emetrexed(如Alimta)：(</w:t>
      </w:r>
      <w:r w:rsidRPr="00367DBE">
        <w:rPr>
          <w:rFonts w:ascii="標楷體" w:eastAsia="標楷體" w:hAnsi="標楷體" w:hint="eastAsia"/>
          <w:szCs w:val="24"/>
        </w:rPr>
        <w:t>95/3/1、95/7/1、97/11/1、98/9/1、103/4/1、103/9/1、106/11/1、111/2/1、114/6/1、114/8/1、1</w:t>
      </w:r>
      <w:r w:rsidRPr="00367DBE">
        <w:rPr>
          <w:rFonts w:ascii="標楷體" w:eastAsia="標楷體" w:hAnsi="標楷體"/>
          <w:szCs w:val="24"/>
        </w:rPr>
        <w:t>14/</w:t>
      </w:r>
      <w:r w:rsidRPr="00367DBE">
        <w:rPr>
          <w:rFonts w:ascii="標楷體" w:eastAsia="標楷體" w:hAnsi="標楷體" w:hint="eastAsia"/>
          <w:szCs w:val="24"/>
        </w:rPr>
        <w:t>10</w:t>
      </w:r>
      <w:r w:rsidRPr="00367DBE">
        <w:rPr>
          <w:rFonts w:ascii="標楷體" w:eastAsia="標楷體" w:hAnsi="標楷體"/>
          <w:szCs w:val="24"/>
        </w:rPr>
        <w:t>/1)</w:t>
      </w:r>
    </w:p>
    <w:p w:rsidR="002F2B55" w:rsidRPr="00367DBE" w:rsidRDefault="002F2B55" w:rsidP="002F2B55">
      <w:pPr>
        <w:pStyle w:val="a9"/>
        <w:spacing w:line="400" w:lineRule="exact"/>
        <w:ind w:leftChars="118" w:left="283"/>
        <w:jc w:val="both"/>
        <w:rPr>
          <w:rFonts w:ascii="標楷體" w:eastAsia="標楷體" w:hAnsi="標楷體"/>
        </w:rPr>
      </w:pPr>
      <w:r w:rsidRPr="00367DBE">
        <w:rPr>
          <w:rFonts w:ascii="標楷體" w:eastAsia="標楷體" w:hAnsi="標楷體" w:hint="eastAsia"/>
        </w:rPr>
        <w:t>1</w:t>
      </w:r>
      <w:r w:rsidRPr="00367DBE">
        <w:rPr>
          <w:rFonts w:ascii="標楷體" w:eastAsia="標楷體" w:hAnsi="標楷體"/>
        </w:rPr>
        <w:t>.限用於</w:t>
      </w:r>
    </w:p>
    <w:p w:rsidR="002F2B55" w:rsidRPr="00367DBE" w:rsidRDefault="002F2B55" w:rsidP="002F2B55">
      <w:pPr>
        <w:pStyle w:val="a9"/>
        <w:spacing w:line="400" w:lineRule="exact"/>
        <w:ind w:leftChars="195" w:left="708" w:hangingChars="100" w:hanging="240"/>
        <w:jc w:val="both"/>
        <w:rPr>
          <w:rFonts w:ascii="標楷體" w:eastAsia="標楷體" w:hAnsi="標楷體"/>
        </w:rPr>
      </w:pPr>
      <w:r w:rsidRPr="00367DBE">
        <w:rPr>
          <w:rFonts w:ascii="標楷體" w:eastAsia="標楷體" w:hAnsi="標楷體" w:hint="eastAsia"/>
        </w:rPr>
        <w:t>(</w:t>
      </w:r>
      <w:r w:rsidRPr="00367DBE">
        <w:rPr>
          <w:rFonts w:ascii="標楷體" w:eastAsia="標楷體" w:hAnsi="標楷體"/>
        </w:rPr>
        <w:t>1)與cisplatin併用於惡性肋膜間質細胞瘤。</w:t>
      </w:r>
    </w:p>
    <w:p w:rsidR="002F2B55" w:rsidRPr="00367DBE" w:rsidRDefault="002F2B55" w:rsidP="002F2B55">
      <w:pPr>
        <w:pStyle w:val="a9"/>
        <w:spacing w:line="400" w:lineRule="exact"/>
        <w:ind w:leftChars="195" w:left="828" w:hangingChars="150" w:hanging="360"/>
        <w:jc w:val="both"/>
        <w:rPr>
          <w:rFonts w:ascii="標楷體" w:eastAsia="標楷體" w:hAnsi="標楷體"/>
        </w:rPr>
      </w:pPr>
      <w:r w:rsidRPr="00367DBE">
        <w:rPr>
          <w:rFonts w:ascii="標楷體" w:eastAsia="標楷體" w:hAnsi="標楷體" w:hint="eastAsia"/>
        </w:rPr>
        <w:lastRenderedPageBreak/>
        <w:t>(</w:t>
      </w:r>
      <w:r w:rsidRPr="00367DBE">
        <w:rPr>
          <w:rFonts w:ascii="標楷體" w:eastAsia="標楷體" w:hAnsi="標楷體"/>
        </w:rPr>
        <w:t>2)以含鉑之化學療法治療或70歲以上接受過第一線化學治療，但仍失敗之局部晚期或轉移性非小細胞肺癌病患(顯著鱗狀細胞組織型除外)之單一藥物治療。(95/7/1、97/11/1、98/9/1、111/2/1)</w:t>
      </w:r>
    </w:p>
    <w:p w:rsidR="002F2B55" w:rsidRPr="00367DBE" w:rsidRDefault="002F2B55" w:rsidP="002F2B55">
      <w:pPr>
        <w:pStyle w:val="a9"/>
        <w:spacing w:line="400" w:lineRule="exact"/>
        <w:ind w:leftChars="195" w:left="828" w:hangingChars="150" w:hanging="360"/>
        <w:jc w:val="both"/>
        <w:rPr>
          <w:rFonts w:ascii="標楷體" w:eastAsia="標楷體" w:hAnsi="標楷體"/>
        </w:rPr>
      </w:pPr>
      <w:r w:rsidRPr="00367DBE">
        <w:rPr>
          <w:rFonts w:ascii="標楷體" w:eastAsia="標楷體" w:hAnsi="標楷體" w:hint="eastAsia"/>
        </w:rPr>
        <w:t>(</w:t>
      </w:r>
      <w:r w:rsidRPr="00367DBE">
        <w:rPr>
          <w:rFonts w:ascii="標楷體" w:eastAsia="標楷體" w:hAnsi="標楷體"/>
        </w:rPr>
        <w:t>3)與含鉑類之化學療法併用，作為治療局部晚期或轉移性非小細胞肺癌(顯著鱗狀細胞組織型除外)之第一線化療用藥，且限用於ECOG為0~1之病患。(98/9/1)</w:t>
      </w:r>
    </w:p>
    <w:p w:rsidR="002F2B55" w:rsidRPr="00367DBE" w:rsidRDefault="002F2B55" w:rsidP="002F2B55">
      <w:pPr>
        <w:pStyle w:val="a9"/>
        <w:spacing w:line="400" w:lineRule="exact"/>
        <w:ind w:leftChars="195" w:left="828" w:hangingChars="150" w:hanging="360"/>
        <w:jc w:val="both"/>
        <w:rPr>
          <w:rFonts w:ascii="標楷體" w:eastAsia="標楷體" w:hAnsi="標楷體"/>
        </w:rPr>
      </w:pPr>
      <w:r w:rsidRPr="00367DBE">
        <w:rPr>
          <w:rFonts w:ascii="標楷體" w:eastAsia="標楷體" w:hAnsi="標楷體"/>
        </w:rPr>
        <w:t>(4)</w:t>
      </w:r>
      <w:r w:rsidRPr="00367DBE">
        <w:rPr>
          <w:rFonts w:ascii="標楷體" w:eastAsia="標楷體" w:hAnsi="標楷體" w:hint="eastAsia"/>
        </w:rPr>
        <w:t>pemetrexed(限使用Pexeda、Apeta或Pemetrexed Sandoz)與pembrolizumab與含鉑類之化學療法併用於轉移性，不具有EGFR/ALK/ROS-1腫瘤基因異常的非鱗狀非小細胞肺癌的第一線治療，患者需符合免疫檢查點抑制劑之藥品給付規定。(114/6/1、114/8/1)</w:t>
      </w:r>
    </w:p>
    <w:p w:rsidR="002F2B55" w:rsidRPr="00367DBE" w:rsidRDefault="002F2B55" w:rsidP="002F2B55">
      <w:pPr>
        <w:pStyle w:val="a9"/>
        <w:spacing w:line="400" w:lineRule="exact"/>
        <w:ind w:leftChars="195" w:left="828" w:hangingChars="150" w:hanging="360"/>
        <w:jc w:val="both"/>
        <w:rPr>
          <w:rFonts w:ascii="標楷體" w:eastAsia="標楷體" w:hAnsi="標楷體"/>
        </w:rPr>
      </w:pPr>
      <w:r w:rsidRPr="00367DBE">
        <w:rPr>
          <w:rFonts w:ascii="標楷體" w:eastAsia="標楷體" w:hAnsi="標楷體" w:hint="eastAsia"/>
        </w:rPr>
        <w:t>(</w:t>
      </w:r>
      <w:r w:rsidRPr="00367DBE">
        <w:rPr>
          <w:rFonts w:ascii="標楷體" w:eastAsia="標楷體" w:hAnsi="標楷體"/>
        </w:rPr>
        <w:t>5)</w:t>
      </w:r>
      <w:r w:rsidRPr="00367DBE">
        <w:rPr>
          <w:rFonts w:ascii="標楷體" w:eastAsia="標楷體" w:hAnsi="標楷體" w:hint="eastAsia"/>
        </w:rPr>
        <w:t>與amivantamab及carboplatin併用於罹患帶有表皮生長因子受體(EGFR) exon 20插入突變之局部晚期或轉移性非小細胞肺癌(NSCLC)的成人病人，作為第一線治療。</w:t>
      </w:r>
      <w:r w:rsidRPr="00367DBE">
        <w:rPr>
          <w:rFonts w:ascii="標楷體" w:eastAsia="標楷體" w:hAnsi="標楷體"/>
        </w:rPr>
        <w:t>(</w:t>
      </w:r>
      <w:r w:rsidRPr="00367DBE">
        <w:rPr>
          <w:rFonts w:ascii="標楷體" w:eastAsia="標楷體" w:hAnsi="標楷體" w:hint="eastAsia"/>
        </w:rPr>
        <w:t>114</w:t>
      </w:r>
      <w:r w:rsidRPr="00367DBE">
        <w:rPr>
          <w:rFonts w:ascii="標楷體" w:eastAsia="標楷體" w:hAnsi="標楷體"/>
        </w:rPr>
        <w:t>/</w:t>
      </w:r>
      <w:r w:rsidRPr="00367DBE">
        <w:rPr>
          <w:rFonts w:ascii="標楷體" w:eastAsia="標楷體" w:hAnsi="標楷體" w:hint="eastAsia"/>
        </w:rPr>
        <w:t>10</w:t>
      </w:r>
      <w:r w:rsidRPr="00367DBE">
        <w:rPr>
          <w:rFonts w:ascii="標楷體" w:eastAsia="標楷體" w:hAnsi="標楷體"/>
        </w:rPr>
        <w:t>/1)</w:t>
      </w:r>
    </w:p>
    <w:p w:rsidR="00B96EA0" w:rsidRDefault="002F2B55" w:rsidP="002F2B55">
      <w:pPr>
        <w:spacing w:line="400" w:lineRule="exact"/>
        <w:ind w:left="811" w:hanging="245"/>
      </w:pPr>
      <w:r w:rsidRPr="00367DBE">
        <w:rPr>
          <w:rFonts w:ascii="標楷體" w:eastAsia="標楷體" w:hAnsi="標楷體" w:hint="eastAsia"/>
          <w:szCs w:val="24"/>
        </w:rPr>
        <w:t>2</w:t>
      </w:r>
      <w:r w:rsidRPr="00367DBE">
        <w:rPr>
          <w:rFonts w:ascii="標楷體" w:eastAsia="標楷體" w:hAnsi="標楷體"/>
          <w:szCs w:val="24"/>
        </w:rPr>
        <w:t>.每4個療程需進行療效評估，病歷應留存評估紀錄，無疾病惡化方可繼續使用。(103/4/1、103/9/1、106/11/1)</w:t>
      </w:r>
    </w:p>
    <w:p w:rsidR="00B96EA0" w:rsidRDefault="007D66B8" w:rsidP="005142EB">
      <w:pPr>
        <w:spacing w:line="400" w:lineRule="exact"/>
        <w:ind w:left="283"/>
        <w:rPr>
          <w:rFonts w:ascii="標楷體" w:eastAsia="標楷體" w:hAnsi="標楷體"/>
        </w:rPr>
      </w:pPr>
      <w:r>
        <w:rPr>
          <w:rFonts w:ascii="標楷體" w:eastAsia="標楷體" w:hAnsi="標楷體"/>
        </w:rPr>
        <w:t>9.27.Cetuximab（如Erbitux）：(96/3/1、98/7/1、98/8/1、99/10/1、101/12/1、104/11/1、106/1/1、106/4/1、107/6/1、110/6/1、111/2/1、112/12/1、113/6/1)</w:t>
      </w:r>
    </w:p>
    <w:p w:rsidR="00B96EA0" w:rsidRDefault="007D66B8" w:rsidP="005142EB">
      <w:pPr>
        <w:spacing w:line="400" w:lineRule="exact"/>
        <w:ind w:left="850" w:hanging="341"/>
        <w:rPr>
          <w:rFonts w:ascii="標楷體" w:eastAsia="標楷體" w:hAnsi="標楷體"/>
        </w:rPr>
      </w:pPr>
      <w:r>
        <w:rPr>
          <w:rFonts w:ascii="標楷體" w:eastAsia="標楷體" w:hAnsi="標楷體"/>
        </w:rPr>
        <w:t>1.直腸結腸癌治療部分：</w:t>
      </w:r>
    </w:p>
    <w:p w:rsidR="00B96EA0" w:rsidRDefault="007D66B8" w:rsidP="005142EB">
      <w:pPr>
        <w:spacing w:line="400" w:lineRule="exact"/>
        <w:ind w:left="1049" w:hanging="341"/>
        <w:rPr>
          <w:rFonts w:ascii="標楷體" w:eastAsia="標楷體" w:hAnsi="標楷體"/>
        </w:rPr>
      </w:pPr>
      <w:r>
        <w:rPr>
          <w:rFonts w:ascii="標楷體" w:eastAsia="標楷體" w:hAnsi="標楷體"/>
        </w:rPr>
        <w:t>(1)與FOLFIRI（Folinic acid/ 5-fluorouracil/irinotecan）或FOLFOX（Folinic acid/ 5-fluorouracil/oxaliplatin）合併使用於治療具表皮生長因子受體表現型(EGFR expressing)，RAS基因沒有突變之轉移性直腸結腸癌病患之第一線治療。需檢附All-RAS基因突變分析檢測報告，且需符合全民健康保險藥品給付規定之通則十二。(101/12/1、104/11/1、106/1/1、110/6/1、113/6/1)</w:t>
      </w:r>
    </w:p>
    <w:p w:rsidR="00B96EA0" w:rsidRDefault="007D66B8" w:rsidP="005142EB">
      <w:pPr>
        <w:spacing w:line="400" w:lineRule="exact"/>
        <w:ind w:left="1414" w:hanging="336"/>
        <w:rPr>
          <w:rFonts w:ascii="標楷體" w:eastAsia="標楷體" w:hAnsi="標楷體"/>
        </w:rPr>
      </w:pPr>
      <w:r>
        <w:rPr>
          <w:rFonts w:ascii="標楷體" w:eastAsia="標楷體" w:hAnsi="標楷體"/>
        </w:rPr>
        <w:t>I.本藥品需經事前審查核准後使用，每次申請事前審查之療程以18週為限，再次申請必須提出客觀證據（如：影像學）證實無惡化，才可繼續使用。</w:t>
      </w:r>
    </w:p>
    <w:p w:rsidR="00B96EA0" w:rsidRDefault="007D66B8" w:rsidP="005142EB">
      <w:pPr>
        <w:spacing w:line="400" w:lineRule="exact"/>
        <w:ind w:left="1414" w:hanging="336"/>
        <w:rPr>
          <w:rFonts w:ascii="標楷體" w:eastAsia="標楷體" w:hAnsi="標楷體"/>
        </w:rPr>
      </w:pPr>
      <w:r>
        <w:rPr>
          <w:rFonts w:ascii="標楷體" w:eastAsia="標楷體" w:hAnsi="標楷體"/>
        </w:rPr>
        <w:t>II.Cetuximab與panitumumab二者僅能擇一使用。唯有在無法忍受化療(其副作用)時方可互換，二者使用總療程合併計算，以全部36週為上限。(107/6/1)</w:t>
      </w:r>
    </w:p>
    <w:p w:rsidR="00B96EA0" w:rsidRDefault="007D66B8" w:rsidP="005142EB">
      <w:pPr>
        <w:spacing w:line="400" w:lineRule="exact"/>
        <w:ind w:left="1414" w:hanging="336"/>
        <w:rPr>
          <w:rFonts w:ascii="標楷體" w:eastAsia="標楷體" w:hAnsi="標楷體"/>
        </w:rPr>
      </w:pPr>
      <w:r>
        <w:rPr>
          <w:rFonts w:ascii="標楷體" w:eastAsia="標楷體" w:hAnsi="標楷體"/>
        </w:rPr>
        <w:t>III.本藥品不得與bevacizumab併用。</w:t>
      </w:r>
    </w:p>
    <w:p w:rsidR="00B96EA0" w:rsidRDefault="007D66B8" w:rsidP="005142EB">
      <w:pPr>
        <w:spacing w:line="400" w:lineRule="exact"/>
        <w:ind w:left="1049" w:hanging="341"/>
        <w:rPr>
          <w:rFonts w:ascii="標楷體" w:eastAsia="標楷體" w:hAnsi="標楷體"/>
        </w:rPr>
      </w:pPr>
      <w:r>
        <w:rPr>
          <w:rFonts w:ascii="標楷體" w:eastAsia="標楷體" w:hAnsi="標楷體"/>
        </w:rPr>
        <w:t>(2)與irinotecan合併使用，治療已接受過含5-fluorouracil、irinotecan及oxaliplatin二線以上之細胞毒性治療失敗、具有表皮生長因子受體(EGFR)表現型且K-RAS基因沒有突變的轉移性直腸結腸癌的病患。需檢附All-RAS基因突變分析檢測報告，且需符合全民健康保險藥品給付規定之通則十二。(98/8/1、110/6/1、113/6/1)</w:t>
      </w:r>
    </w:p>
    <w:p w:rsidR="00B96EA0" w:rsidRDefault="007D66B8" w:rsidP="005142EB">
      <w:pPr>
        <w:spacing w:line="400" w:lineRule="exact"/>
        <w:ind w:left="1414" w:hanging="336"/>
        <w:rPr>
          <w:rFonts w:ascii="標楷體" w:eastAsia="標楷體" w:hAnsi="標楷體"/>
        </w:rPr>
      </w:pPr>
      <w:r>
        <w:rPr>
          <w:rFonts w:ascii="標楷體" w:eastAsia="標楷體" w:hAnsi="標楷體"/>
        </w:rPr>
        <w:t>I.本藥品需經事前審查核准後使用，每次申請事前審查之療程以9週為限，再次申請必須提出客觀證據（如：影像學）證實無惡化，才可繼續使用。</w:t>
      </w:r>
    </w:p>
    <w:p w:rsidR="00B96EA0" w:rsidRDefault="007D66B8" w:rsidP="005142EB">
      <w:pPr>
        <w:spacing w:line="400" w:lineRule="exact"/>
        <w:ind w:left="1414" w:hanging="336"/>
      </w:pPr>
      <w:r>
        <w:rPr>
          <w:rFonts w:ascii="標楷體" w:eastAsia="標楷體" w:hAnsi="標楷體"/>
        </w:rPr>
        <w:t>II.使用總療程以18週為上限。</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2.口咽癌、下咽癌及喉癌治療部分：(98/7/1、99/10/1、111/2/1)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lastRenderedPageBreak/>
        <w:t>(1)限與放射線療法合併使用於局部晚期之口咽癌、下咽癌及喉癌患者，且符合下列條件之一：</w:t>
      </w:r>
    </w:p>
    <w:p w:rsidR="00B96EA0" w:rsidRDefault="007D66B8" w:rsidP="005142EB">
      <w:pPr>
        <w:spacing w:line="400" w:lineRule="exact"/>
        <w:ind w:left="1414" w:hanging="336"/>
      </w:pPr>
      <w:r>
        <w:rPr>
          <w:rFonts w:ascii="標楷體" w:eastAsia="標楷體" w:hAnsi="標楷體"/>
          <w:color w:val="000000"/>
        </w:rPr>
        <w:t>I.</w:t>
      </w:r>
      <w:r>
        <w:t xml:space="preserve"> </w:t>
      </w:r>
      <w:r>
        <w:rPr>
          <w:rFonts w:ascii="標楷體" w:eastAsia="標楷體" w:hAnsi="標楷體"/>
          <w:color w:val="000000"/>
        </w:rPr>
        <w:t>70歲以上(111/2/1)；</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II.Ccr＜50mL/min；</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Ⅲ.聽力障礙者(聽力障礙定義為500Hz、1000Hz、2000Hz平均聽力損失大於25分貝)；</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Ⅳ.無法耐受platinum-based化學治療。</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(2)使用總療程以接受8次輸注為上限。</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(3)需經事前審查核准後使用。</w:t>
      </w:r>
    </w:p>
    <w:p w:rsidR="00B96EA0" w:rsidRDefault="007D66B8" w:rsidP="005142EB">
      <w:pPr>
        <w:spacing w:line="400" w:lineRule="exact"/>
        <w:ind w:left="847" w:hanging="283"/>
        <w:rPr>
          <w:rFonts w:ascii="標楷體" w:eastAsia="標楷體" w:hAnsi="標楷體"/>
          <w:color w:val="000000"/>
        </w:rPr>
      </w:pPr>
      <w:r>
        <w:rPr>
          <w:rFonts w:ascii="標楷體" w:eastAsia="標楷體" w:hAnsi="標楷體"/>
          <w:color w:val="000000"/>
        </w:rPr>
        <w:t>3.頭頸癌部分(106/1/1、106/4/1、112/12/1)：</w:t>
      </w:r>
    </w:p>
    <w:p w:rsidR="00B96EA0" w:rsidRDefault="007D66B8" w:rsidP="005142EB">
      <w:pPr>
        <w:spacing w:line="400" w:lineRule="exact"/>
        <w:ind w:left="1118" w:hanging="410"/>
        <w:rPr>
          <w:rFonts w:ascii="標楷體" w:eastAsia="標楷體" w:hAnsi="標楷體"/>
          <w:color w:val="000000"/>
        </w:rPr>
      </w:pPr>
      <w:r>
        <w:rPr>
          <w:rFonts w:ascii="標楷體" w:eastAsia="標楷體" w:hAnsi="標楷體"/>
          <w:color w:val="000000"/>
        </w:rPr>
        <w:t>(1)限無法接受局部治療之復發及/或轉移性頭頸部鱗狀細胞癌，且未曾申報cetuximab之病患使用。</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(2)須經事前審查核准後使用，每位病人使用總療程以18週為限，每9週申請一次，需無疾病惡化情形方得繼續使用。(106/4/1)</w:t>
      </w:r>
    </w:p>
    <w:p w:rsidR="00B96EA0" w:rsidRDefault="007D66B8" w:rsidP="005142EB">
      <w:pPr>
        <w:spacing w:line="400" w:lineRule="exact"/>
        <w:ind w:left="1049" w:hanging="341"/>
      </w:pPr>
      <w:r>
        <w:rPr>
          <w:rFonts w:ascii="標楷體" w:eastAsia="標楷體" w:hAnsi="標楷體"/>
          <w:szCs w:val="24"/>
          <w:lang w:bidi="zh-TW"/>
        </w:rPr>
        <w:t>(3)Cetuximab</w:t>
      </w:r>
      <w:r>
        <w:rPr>
          <w:rFonts w:ascii="標楷體" w:eastAsia="標楷體" w:hAnsi="標楷體"/>
          <w:szCs w:val="24"/>
          <w:lang w:val="zh-TW" w:bidi="zh-TW"/>
        </w:rPr>
        <w:t>與免疫檢查點抑制劑僅能擇一使用，且治療失敗時不可互換。</w:t>
      </w:r>
      <w:r>
        <w:rPr>
          <w:rFonts w:ascii="標楷體" w:eastAsia="標楷體" w:hAnsi="標楷體"/>
          <w:szCs w:val="24"/>
          <w:lang w:bidi="zh-TW"/>
        </w:rPr>
        <w:t>(</w:t>
      </w:r>
      <w:r>
        <w:rPr>
          <w:rFonts w:ascii="標楷體" w:eastAsia="標楷體" w:hAnsi="標楷體"/>
          <w:szCs w:val="24"/>
        </w:rPr>
        <w:t>112/12/1</w:t>
      </w:r>
      <w:r>
        <w:rPr>
          <w:rFonts w:ascii="標楷體" w:eastAsia="標楷體" w:hAnsi="標楷體"/>
          <w:szCs w:val="24"/>
          <w:lang w:bidi="zh-TW"/>
        </w:rPr>
        <w:t>)</w:t>
      </w:r>
    </w:p>
    <w:p w:rsidR="00B96EA0" w:rsidRDefault="007D66B8" w:rsidP="005142EB">
      <w:pPr>
        <w:spacing w:line="400" w:lineRule="exact"/>
        <w:ind w:left="910" w:hanging="579"/>
        <w:rPr>
          <w:rFonts w:ascii="標楷體" w:eastAsia="標楷體" w:hAnsi="標楷體"/>
          <w:color w:val="000000"/>
        </w:rPr>
      </w:pPr>
      <w:bookmarkStart w:id="7" w:name="_Hlk91258567"/>
      <w:r>
        <w:rPr>
          <w:rFonts w:ascii="標楷體" w:eastAsia="標楷體" w:hAnsi="標楷體"/>
          <w:color w:val="000000"/>
        </w:rPr>
        <w:t>9.28.Bortezomib（如Velcade）：（96/6/1、98/2/1、99/3/1、99/9/1、100/10/1、101/6/1、105/5/1、109/4/1、109/6/1、111/1/1、112/4/1）附表九之三</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限用於</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1.合併其他癌症治療藥品使用於多發性骨髓瘤病人：(99/3/1、100/10/1、101/6/1、109/4/1、109/6/1、111/1/1、112/4/1)</w:t>
      </w:r>
    </w:p>
    <w:p w:rsidR="00B96EA0" w:rsidRDefault="007D66B8" w:rsidP="005142EB">
      <w:pPr>
        <w:spacing w:line="400" w:lineRule="exact"/>
        <w:ind w:left="1134" w:hanging="341"/>
      </w:pPr>
      <w:r>
        <w:rPr>
          <w:rFonts w:ascii="標楷體" w:eastAsia="標楷體" w:hAnsi="標楷體"/>
          <w:color w:val="000000"/>
        </w:rPr>
        <w:t>(1)</w:t>
      </w:r>
      <w:r>
        <w:t xml:space="preserve"> </w:t>
      </w:r>
      <w:r>
        <w:rPr>
          <w:rFonts w:ascii="標楷體" w:eastAsia="標楷體" w:hAnsi="標楷體"/>
          <w:color w:val="000000"/>
        </w:rPr>
        <w:t>每人終生以16個療程為上限。(99/9/1、109/4/1、109/6/1、111/1/1、112/4/1）</w:t>
      </w:r>
    </w:p>
    <w:p w:rsidR="00B96EA0" w:rsidRDefault="007D66B8" w:rsidP="005142EB">
      <w:pPr>
        <w:spacing w:line="400" w:lineRule="exact"/>
        <w:ind w:left="1134" w:hanging="341"/>
        <w:rPr>
          <w:rFonts w:ascii="標楷體" w:eastAsia="標楷體" w:hAnsi="標楷體"/>
          <w:color w:val="000000"/>
        </w:rPr>
      </w:pPr>
      <w:r>
        <w:rPr>
          <w:rFonts w:ascii="標楷體" w:eastAsia="標楷體" w:hAnsi="標楷體"/>
          <w:color w:val="000000"/>
        </w:rPr>
        <w:t>(2)需經事前申請後使用，每次申請4個療程。（101/6/1）</w:t>
      </w:r>
    </w:p>
    <w:p w:rsidR="00B96EA0" w:rsidRDefault="007D66B8" w:rsidP="005142EB">
      <w:pPr>
        <w:spacing w:line="400" w:lineRule="exact"/>
        <w:ind w:left="1134" w:hanging="341"/>
      </w:pPr>
      <w:r>
        <w:rPr>
          <w:rFonts w:ascii="標楷體" w:eastAsia="標楷體" w:hAnsi="標楷體"/>
          <w:color w:val="000000"/>
        </w:rPr>
        <w:t>(3)</w:t>
      </w:r>
      <w:r>
        <w:t xml:space="preserve"> </w:t>
      </w:r>
      <w:r>
        <w:rPr>
          <w:rFonts w:ascii="標楷體" w:eastAsia="標楷體" w:hAnsi="標楷體"/>
          <w:color w:val="000000"/>
        </w:rPr>
        <w:t>開始治療時病患須同時符合下列Ⅰ.與Ⅱ.的條件：（112/4/1）</w:t>
      </w:r>
    </w:p>
    <w:p w:rsidR="00B96EA0" w:rsidRDefault="007D66B8" w:rsidP="005142EB">
      <w:pPr>
        <w:spacing w:line="400" w:lineRule="exact"/>
        <w:ind w:left="1373" w:hanging="341"/>
        <w:rPr>
          <w:rFonts w:ascii="標楷體" w:eastAsia="標楷體" w:hAnsi="標楷體"/>
          <w:color w:val="000000"/>
        </w:rPr>
      </w:pPr>
      <w:r>
        <w:rPr>
          <w:rFonts w:ascii="標楷體" w:eastAsia="標楷體" w:hAnsi="標楷體"/>
          <w:color w:val="000000"/>
        </w:rPr>
        <w:t>Ⅰ.骨髓漿細胞(plasma cells)比例≧10%，或是經切片確認且有≧1顆的plasmacytoma。</w:t>
      </w:r>
    </w:p>
    <w:p w:rsidR="00B96EA0" w:rsidRDefault="007D66B8" w:rsidP="005142EB">
      <w:pPr>
        <w:spacing w:line="400" w:lineRule="exact"/>
        <w:ind w:left="1373" w:hanging="341"/>
        <w:rPr>
          <w:rFonts w:ascii="標楷體" w:eastAsia="標楷體" w:hAnsi="標楷體"/>
          <w:color w:val="000000"/>
        </w:rPr>
      </w:pPr>
      <w:r>
        <w:rPr>
          <w:rFonts w:ascii="標楷體" w:eastAsia="標楷體" w:hAnsi="標楷體"/>
          <w:color w:val="000000"/>
        </w:rPr>
        <w:t>Ⅱ.出現下列任一臨床症狀：</w:t>
      </w:r>
    </w:p>
    <w:p w:rsidR="00B96EA0" w:rsidRDefault="007D66B8" w:rsidP="005142EB">
      <w:pPr>
        <w:spacing w:line="400" w:lineRule="exact"/>
        <w:ind w:left="1373" w:hanging="341"/>
      </w:pPr>
      <w:r>
        <w:rPr>
          <w:rFonts w:ascii="新細明體" w:hAnsi="新細明體" w:cs="新細明體"/>
          <w:color w:val="000000"/>
        </w:rPr>
        <w:t>ⅰ</w:t>
      </w:r>
      <w:r>
        <w:rPr>
          <w:rFonts w:ascii="標楷體" w:eastAsia="標楷體" w:hAnsi="標楷體"/>
          <w:color w:val="000000"/>
        </w:rPr>
        <w:t>.腎功能不全：serum creatinine＞2.0mg/dL或estimated GFR (eGFR)＜40 ml/min，且無其他原因可以解釋。</w:t>
      </w:r>
    </w:p>
    <w:p w:rsidR="00B96EA0" w:rsidRDefault="007D66B8" w:rsidP="005142EB">
      <w:pPr>
        <w:spacing w:line="400" w:lineRule="exact"/>
        <w:ind w:left="1373" w:hanging="341"/>
      </w:pPr>
      <w:r>
        <w:rPr>
          <w:rFonts w:ascii="新細明體" w:hAnsi="新細明體" w:cs="新細明體"/>
          <w:color w:val="000000"/>
        </w:rPr>
        <w:t>ⅱ</w:t>
      </w:r>
      <w:r>
        <w:rPr>
          <w:rFonts w:ascii="標楷體" w:eastAsia="標楷體" w:hAnsi="標楷體"/>
          <w:color w:val="000000"/>
        </w:rPr>
        <w:t>.高血鈣(corrected serum calcium＞11.0 mg/dL 或 2.75 mmol/L)。</w:t>
      </w:r>
    </w:p>
    <w:p w:rsidR="00B96EA0" w:rsidRDefault="007D66B8" w:rsidP="005142EB">
      <w:pPr>
        <w:spacing w:line="400" w:lineRule="exact"/>
        <w:ind w:left="1373" w:hanging="341"/>
        <w:rPr>
          <w:rFonts w:ascii="標楷體" w:eastAsia="標楷體" w:hAnsi="標楷體"/>
          <w:color w:val="000000"/>
        </w:rPr>
      </w:pPr>
      <w:r>
        <w:rPr>
          <w:rFonts w:ascii="標楷體" w:eastAsia="標楷體" w:hAnsi="標楷體"/>
          <w:color w:val="000000"/>
        </w:rPr>
        <w:t>iii.貧血(Hemoglobin＜10 gm/dL且無其他原因可以解釋)。</w:t>
      </w:r>
    </w:p>
    <w:p w:rsidR="00B96EA0" w:rsidRDefault="007D66B8" w:rsidP="005142EB">
      <w:pPr>
        <w:spacing w:line="400" w:lineRule="exact"/>
        <w:ind w:left="1373" w:hanging="341"/>
        <w:rPr>
          <w:rFonts w:ascii="標楷體" w:eastAsia="標楷體" w:hAnsi="標楷體"/>
          <w:color w:val="000000"/>
        </w:rPr>
      </w:pPr>
      <w:r>
        <w:rPr>
          <w:rFonts w:ascii="標楷體" w:eastAsia="標楷體" w:hAnsi="標楷體"/>
          <w:color w:val="000000"/>
        </w:rPr>
        <w:t>iv.影像檢查確認之osteolytic bone lesion(s)。</w:t>
      </w:r>
    </w:p>
    <w:p w:rsidR="00B96EA0" w:rsidRDefault="007D66B8" w:rsidP="005142EB">
      <w:pPr>
        <w:spacing w:line="400" w:lineRule="exact"/>
        <w:ind w:left="1373" w:hanging="341"/>
        <w:rPr>
          <w:rFonts w:ascii="標楷體" w:eastAsia="標楷體" w:hAnsi="標楷體"/>
          <w:color w:val="000000"/>
        </w:rPr>
      </w:pPr>
      <w:r>
        <w:rPr>
          <w:rFonts w:ascii="標楷體" w:eastAsia="標楷體" w:hAnsi="標楷體"/>
          <w:color w:val="000000"/>
        </w:rPr>
        <w:t>v.骨髓漿細胞(plasma cells)比例≧60%。</w:t>
      </w:r>
    </w:p>
    <w:p w:rsidR="00B96EA0" w:rsidRDefault="007D66B8" w:rsidP="005142EB">
      <w:pPr>
        <w:spacing w:line="400" w:lineRule="exact"/>
        <w:ind w:left="1373" w:hanging="341"/>
        <w:rPr>
          <w:rFonts w:ascii="標楷體" w:eastAsia="標楷體" w:hAnsi="標楷體"/>
          <w:color w:val="000000"/>
        </w:rPr>
      </w:pPr>
      <w:r>
        <w:rPr>
          <w:rFonts w:ascii="標楷體" w:eastAsia="標楷體" w:hAnsi="標楷體"/>
          <w:color w:val="000000"/>
        </w:rPr>
        <w:t>vi.Serum free light-chain ratio≧100。</w:t>
      </w:r>
    </w:p>
    <w:p w:rsidR="00B96EA0" w:rsidRDefault="007D66B8" w:rsidP="005142EB">
      <w:pPr>
        <w:spacing w:line="400" w:lineRule="exact"/>
        <w:ind w:left="1134" w:hanging="341"/>
        <w:rPr>
          <w:rFonts w:ascii="標楷體" w:eastAsia="標楷體" w:hAnsi="標楷體"/>
          <w:color w:val="000000"/>
        </w:rPr>
      </w:pPr>
      <w:r>
        <w:rPr>
          <w:rFonts w:ascii="標楷體" w:eastAsia="標楷體" w:hAnsi="標楷體"/>
          <w:color w:val="000000"/>
        </w:rPr>
        <w:t>(4)使用4個療程後，必須確定藥物使用後paraprotein (M-protein)未上升 (即表示</w:t>
      </w:r>
      <w:r>
        <w:rPr>
          <w:rFonts w:ascii="標楷體" w:eastAsia="標楷體" w:hAnsi="標楷體"/>
          <w:color w:val="000000"/>
        </w:rPr>
        <w:lastRenderedPageBreak/>
        <w:t>為response或stable status)，或對部分non-secretory type MM病人以骨髓檢查plasma cell之比率為療效依據，方可繼續使用。（101/6/1、109/4/1）</w:t>
      </w:r>
    </w:p>
    <w:p w:rsidR="00B96EA0" w:rsidRDefault="007D66B8" w:rsidP="005142EB">
      <w:pPr>
        <w:spacing w:line="400" w:lineRule="exact"/>
        <w:ind w:left="1134" w:hanging="341"/>
        <w:rPr>
          <w:rFonts w:ascii="標楷體" w:eastAsia="標楷體" w:hAnsi="標楷體"/>
          <w:color w:val="000000"/>
        </w:rPr>
      </w:pPr>
      <w:r>
        <w:rPr>
          <w:rFonts w:ascii="標楷體" w:eastAsia="標楷體" w:hAnsi="標楷體"/>
          <w:color w:val="000000"/>
        </w:rPr>
        <w:t>(5)若病患於前線療程符合前項規定(4)之療效而醫師決定可暫時停藥，則後續療程可保留，於疾病復發時，再行申請使用。（101/6/1、109/4/1）</w:t>
      </w:r>
    </w:p>
    <w:p w:rsidR="00B96EA0" w:rsidRDefault="007D66B8" w:rsidP="005142EB">
      <w:pPr>
        <w:spacing w:line="400" w:lineRule="exact"/>
        <w:ind w:left="1134" w:hanging="341"/>
      </w:pPr>
      <w:r>
        <w:rPr>
          <w:rFonts w:ascii="標楷體" w:eastAsia="標楷體" w:hAnsi="標楷體"/>
          <w:color w:val="000000"/>
        </w:rPr>
        <w:t>(6)</w:t>
      </w:r>
      <w:r>
        <w:t xml:space="preserve"> </w:t>
      </w:r>
      <w:r>
        <w:rPr>
          <w:rFonts w:ascii="標楷體" w:eastAsia="標楷體" w:hAnsi="標楷體"/>
          <w:color w:val="000000"/>
        </w:rPr>
        <w:t>112年3月31日以前已核定用藥之病人，得經事前審查核准後，使用至總療程上限（即終生16個療程）或使用期間發生疾病惡化為止。（112/4/1）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2.被套細胞淋巴瘤（Mantle Cell Lymphoma, MCL）病人：(98/2/1、105/5/1)</w:t>
      </w:r>
    </w:p>
    <w:p w:rsidR="00B96EA0" w:rsidRDefault="007D66B8" w:rsidP="005142EB">
      <w:pPr>
        <w:spacing w:line="400" w:lineRule="exact"/>
        <w:ind w:left="1134" w:hanging="341"/>
        <w:rPr>
          <w:rFonts w:ascii="標楷體" w:eastAsia="標楷體" w:hAnsi="標楷體"/>
          <w:color w:val="000000"/>
        </w:rPr>
      </w:pPr>
      <w:r>
        <w:rPr>
          <w:rFonts w:ascii="標楷體" w:eastAsia="標楷體" w:hAnsi="標楷體"/>
          <w:color w:val="000000"/>
        </w:rPr>
        <w:t>(1)每人以8個療程為上限。(99/9/1)</w:t>
      </w:r>
    </w:p>
    <w:p w:rsidR="00B96EA0" w:rsidRDefault="007D66B8" w:rsidP="005142EB">
      <w:pPr>
        <w:spacing w:line="400" w:lineRule="exact"/>
        <w:ind w:left="1134" w:hanging="341"/>
        <w:rPr>
          <w:rFonts w:ascii="標楷體" w:eastAsia="標楷體" w:hAnsi="標楷體"/>
          <w:color w:val="000000"/>
        </w:rPr>
      </w:pPr>
      <w:r>
        <w:rPr>
          <w:rFonts w:ascii="標楷體" w:eastAsia="標楷體" w:hAnsi="標楷體"/>
          <w:color w:val="000000"/>
        </w:rPr>
        <w:t>(2)每日最大劑量1.5mg/m2/day；每個療程第1,4,8,11日給藥。</w:t>
      </w:r>
    </w:p>
    <w:p w:rsidR="00B96EA0" w:rsidRDefault="007D66B8" w:rsidP="005142EB">
      <w:pPr>
        <w:spacing w:line="400" w:lineRule="exact"/>
        <w:ind w:left="1134" w:hanging="341"/>
        <w:rPr>
          <w:rFonts w:ascii="標楷體" w:eastAsia="標楷體" w:hAnsi="標楷體"/>
          <w:color w:val="000000"/>
        </w:rPr>
      </w:pPr>
      <w:r>
        <w:rPr>
          <w:rFonts w:ascii="標楷體" w:eastAsia="標楷體" w:hAnsi="標楷體"/>
          <w:color w:val="000000"/>
        </w:rPr>
        <w:t>(3)第一線使用過復發者，不得申請再次使用。(105/5/1)</w:t>
      </w:r>
    </w:p>
    <w:p w:rsidR="00B96EA0" w:rsidRDefault="007D66B8" w:rsidP="005142EB">
      <w:pPr>
        <w:spacing w:line="400" w:lineRule="exact"/>
        <w:ind w:left="1134" w:hanging="341"/>
        <w:rPr>
          <w:rFonts w:ascii="標楷體" w:eastAsia="標楷體" w:hAnsi="標楷體"/>
          <w:color w:val="000000"/>
        </w:rPr>
      </w:pPr>
      <w:r>
        <w:rPr>
          <w:rFonts w:ascii="標楷體" w:eastAsia="標楷體" w:hAnsi="標楷體"/>
          <w:color w:val="000000"/>
        </w:rPr>
        <w:t>(4)需經事前審查核准後使用。</w:t>
      </w:r>
      <w:bookmarkEnd w:id="7"/>
    </w:p>
    <w:p w:rsidR="00B96EA0" w:rsidRDefault="007D66B8" w:rsidP="005142EB">
      <w:pPr>
        <w:spacing w:line="400" w:lineRule="exact"/>
        <w:ind w:left="851" w:hanging="567"/>
      </w:pPr>
      <w:r>
        <w:rPr>
          <w:rFonts w:ascii="標楷體" w:eastAsia="標楷體" w:hAnsi="標楷體"/>
          <w:color w:val="000000"/>
        </w:rPr>
        <w:t>9.29.</w:t>
      </w:r>
      <w:r>
        <w:t xml:space="preserve"> </w:t>
      </w:r>
      <w:r>
        <w:rPr>
          <w:rFonts w:ascii="標楷體" w:eastAsia="標楷體" w:hAnsi="標楷體"/>
          <w:kern w:val="0"/>
          <w:szCs w:val="24"/>
        </w:rPr>
        <w:t>Erlotinib（如Tarceva）：（96/6/1、96/8/1、97/6/1、101/5/1、101/10/1、102/4/1、102/11/1、103/5/1、106/11/1、108/6/1、108/11/1</w:t>
      </w:r>
      <w:r>
        <w:rPr>
          <w:rFonts w:ascii="標楷體" w:eastAsia="標楷體" w:hAnsi="標楷體"/>
        </w:rPr>
        <w:t>、109/4/1、109/6/1、109/10/1、111/2/1</w:t>
      </w:r>
      <w:r>
        <w:rPr>
          <w:rFonts w:ascii="新細明體" w:hAnsi="新細明體"/>
        </w:rPr>
        <w:t>、</w:t>
      </w:r>
      <w:r>
        <w:rPr>
          <w:rFonts w:ascii="標楷體" w:eastAsia="標楷體" w:hAnsi="標楷體"/>
        </w:rPr>
        <w:t>111/4/1</w:t>
      </w:r>
      <w:r>
        <w:rPr>
          <w:rFonts w:ascii="標楷體" w:eastAsia="標楷體" w:hAnsi="標楷體"/>
          <w:color w:val="000000"/>
        </w:rPr>
        <w:t>、113/3/1、113/6/1、113/9/1、113/10/1、114/3/1、114/4/1</w:t>
      </w:r>
      <w:r>
        <w:rPr>
          <w:rFonts w:ascii="標楷體" w:eastAsia="標楷體" w:hAnsi="標楷體"/>
          <w:kern w:val="0"/>
          <w:szCs w:val="24"/>
        </w:rPr>
        <w:t>）</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1.限單獨使用於</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適用於具有EGFR-TK突變之局部侵犯性或轉移性(即第ⅢB、ⅢC或第Ⅳ期)之肺腺癌病患之第一線治療，需檢附EGFR基因檢測結果報告，且需符合全民健康保險藥品給付規定之通則十二。(102/11/1、108/6/1、108/11/1、113/6/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(2)已接受4個週期platinum類第一線化學療法後，腫瘤範圍穩定(stable disease，不含partial response或complete response)之局部晚期或轉移性肺腺癌的維持療法。(102/4/1)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(3)先前已使用過platinum類第一線化學治療，或70歲以上接受過第一線化學治療，但仍局部惡化或轉移之腺性非小細胞肺癌之第二線用藥。（97/6/1、111/2/1）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(4)先前已使用過platinum類及docetaxel或paclitaxel化學治療後，但仍局部惡化或轉移之非小細胞肺癌之第三線用藥。</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2.Erlotinib與bevacizumab(除Zirabev以外)併用，作為無法手術切除的轉移性（第Ⅳ期）且帶有表皮生長因子受體(EGFR) Exon 21 L858R活性化突變之腦轉移非鱗狀非小細胞肺癌病患的第一線治療。(113/3/1、113/9/1、114/3/1、114/4/1）</w:t>
      </w:r>
    </w:p>
    <w:p w:rsidR="00B96EA0" w:rsidRDefault="007D66B8" w:rsidP="005142EB">
      <w:pPr>
        <w:spacing w:line="400" w:lineRule="exact"/>
        <w:ind w:left="811" w:hanging="245"/>
      </w:pPr>
      <w:r>
        <w:rPr>
          <w:rFonts w:ascii="標楷體" w:eastAsia="標楷體" w:hAnsi="標楷體"/>
          <w:color w:val="000000"/>
        </w:rPr>
        <w:t>3.使用注意事項(106/11/1</w:t>
      </w:r>
      <w:r>
        <w:rPr>
          <w:rFonts w:ascii="標楷體" w:eastAsia="標楷體" w:hAnsi="標楷體"/>
        </w:rPr>
        <w:t>、109/4/1、109/10/1</w:t>
      </w:r>
      <w:r>
        <w:rPr>
          <w:rFonts w:ascii="新細明體" w:hAnsi="新細明體"/>
        </w:rPr>
        <w:t>、</w:t>
      </w:r>
      <w:r>
        <w:rPr>
          <w:rFonts w:ascii="標楷體" w:eastAsia="標楷體" w:hAnsi="標楷體"/>
        </w:rPr>
        <w:t>111/4/1</w:t>
      </w:r>
      <w:r>
        <w:rPr>
          <w:rFonts w:ascii="標楷體" w:eastAsia="標楷體" w:hAnsi="標楷體"/>
          <w:color w:val="000000"/>
        </w:rPr>
        <w:t>）</w:t>
      </w:r>
    </w:p>
    <w:p w:rsidR="00B96EA0" w:rsidRDefault="007D66B8" w:rsidP="005142EB">
      <w:pPr>
        <w:spacing w:line="400" w:lineRule="exact"/>
        <w:ind w:left="1049" w:hanging="341"/>
      </w:pPr>
      <w:r>
        <w:rPr>
          <w:rFonts w:ascii="標楷體" w:eastAsia="標楷體" w:hAnsi="標楷體"/>
          <w:kern w:val="0"/>
          <w:szCs w:val="24"/>
        </w:rPr>
        <w:t>(1)用於已接受platinum類第一線化學療法後，病情穩定之維持療法：病歷應留存確實患有肺腺癌之病理或細胞檢查報告，並附已接受4個週期platinum類第一線化學療法後，腫瘤範圍穩定(stable disease，不含partial response或complete response)之影像診斷證明（如胸部X光、電腦斷層或其他可作為評估的影像）。(102/4/1、106/11/1)</w:t>
      </w:r>
    </w:p>
    <w:p w:rsidR="00B96EA0" w:rsidRDefault="007D66B8" w:rsidP="005142EB">
      <w:pPr>
        <w:spacing w:line="400" w:lineRule="exact"/>
        <w:ind w:left="1049" w:hanging="341"/>
      </w:pPr>
      <w:r>
        <w:rPr>
          <w:rFonts w:ascii="標楷體" w:eastAsia="標楷體" w:hAnsi="標楷體"/>
          <w:color w:val="000000"/>
        </w:rPr>
        <w:t>(2)</w:t>
      </w:r>
      <w:r>
        <w:rPr>
          <w:rFonts w:ascii="標楷體" w:eastAsia="標楷體" w:hAnsi="標楷體"/>
          <w:kern w:val="0"/>
          <w:szCs w:val="24"/>
        </w:rPr>
        <w:t>用於第二線用藥：病歷應留存確實患有非小細胞肺癌之病理或細胞檢查報告，並</w:t>
      </w:r>
      <w:r>
        <w:rPr>
          <w:rFonts w:ascii="標楷體" w:eastAsia="標楷體" w:hAnsi="標楷體"/>
          <w:kern w:val="0"/>
          <w:szCs w:val="24"/>
        </w:rPr>
        <w:lastRenderedPageBreak/>
        <w:t>附曾經接受platinum類第一線化學治療，或70歲(含)以上接受過第一線化學治療之證明，及目前又有疾病惡化之影像診斷證明（如胸部X光、電腦斷層或其他可作為評估的影像），此影像證明以可測量（measurable）的病灶為優先，如沒有可以測量的病灶，則可評估（evaluable）的病灶亦可採用。（97/6/1、106/11/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用於第三線用藥：病歷應留存確實患有非小細胞肺癌之病理或細胞檢查報告，並附曾經接受第一線及第二線化學藥物如platinum(cisplatin或carboplatin)與taxane(paclitaxel或docetaxel)治療之證明，及目前又有疾病惡化之影像診斷證明（如胸部X光、電腦斷層或其他可作為評估的影像），此影像證明以可測量（measurable）的病灶為優先，如沒有可以測量的病灶，則可評估（evaluable）的病灶亦可採用。（97/6/1、106/11/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(4)每次處方以4週為限，再次處方時需於病歷記錄治療後相關臨床資料，如每4週需追蹤胸部X光或電腦斷層等影像檢查，每8至12週需進行完整療效評估（如胸部X光或電腦斷層）。(101/5/1、106/11/1)</w:t>
      </w:r>
    </w:p>
    <w:p w:rsidR="00B96EA0" w:rsidRDefault="007D66B8" w:rsidP="005142EB">
      <w:pPr>
        <w:spacing w:line="400" w:lineRule="exact"/>
        <w:ind w:left="1049" w:hanging="341"/>
      </w:pPr>
      <w:r>
        <w:rPr>
          <w:rFonts w:ascii="標楷體" w:eastAsia="標楷體" w:hAnsi="標楷體"/>
          <w:color w:val="000000"/>
        </w:rPr>
        <w:t>(5)本藥品與gefitinib及afatinib不得併用。(103/5/1</w:t>
      </w:r>
      <w:r>
        <w:rPr>
          <w:rFonts w:ascii="標楷體" w:eastAsia="標楷體" w:hAnsi="標楷體"/>
        </w:rPr>
        <w:t>、109/4/1</w:t>
      </w:r>
      <w:r>
        <w:rPr>
          <w:rFonts w:ascii="標楷體" w:eastAsia="標楷體" w:hAnsi="標楷體"/>
          <w:color w:val="000000"/>
        </w:rPr>
        <w:t>)</w:t>
      </w:r>
    </w:p>
    <w:p w:rsidR="00B96EA0" w:rsidRDefault="007D66B8" w:rsidP="005142EB">
      <w:pPr>
        <w:spacing w:line="400" w:lineRule="exact"/>
        <w:ind w:left="1049" w:hanging="341"/>
      </w:pPr>
      <w:r>
        <w:rPr>
          <w:rFonts w:ascii="標楷體" w:eastAsia="標楷體" w:hAnsi="標楷體"/>
        </w:rPr>
        <w:t>(6)本藥品於第一線使用時，與osimertinib及dacomitinib僅得擇一使用，除因耐受性不良，不得互換。(109/6/1、109/10/1、111/4/1、113/10/1)</w:t>
      </w:r>
    </w:p>
    <w:p w:rsidR="00B96EA0" w:rsidRDefault="007D66B8" w:rsidP="005142EB">
      <w:pPr>
        <w:spacing w:line="400" w:lineRule="exact"/>
        <w:ind w:left="1414" w:hanging="336"/>
      </w:pPr>
      <w:r>
        <w:rPr>
          <w:rFonts w:ascii="標楷體" w:eastAsia="標楷體" w:hAnsi="標楷體"/>
          <w:color w:val="000000"/>
        </w:rPr>
        <w:t>Ⅰ.如需更換使用osimertinib，必須符合osimertinib第一線使用於具有EGFR Exon 19 Del或Exon 21 L858R基因突變之局部侵犯性或轉移性（即為IIIB、IIIC期或第Ⅳ期）肺腺癌病患之限制。(109/6/1、111/4/1、113/10/1)</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Ⅱ.如需更換使用dacomitinib，必須符合dacomitinib第一線使用於具有EGFR-TK Exon 19 Del或Exon 21 L858R點突變，且無腦轉移(non-CNS)之局部侵犯性或轉移性肺腺癌之限制。(109/10/1）</w:t>
      </w:r>
    </w:p>
    <w:p w:rsidR="00B96EA0" w:rsidRDefault="007D66B8" w:rsidP="005142EB">
      <w:pPr>
        <w:spacing w:line="400" w:lineRule="exact"/>
        <w:ind w:left="1416" w:hanging="816"/>
        <w:rPr>
          <w:rFonts w:ascii="標楷體" w:eastAsia="標楷體" w:hAnsi="標楷體"/>
          <w:color w:val="000000"/>
        </w:rPr>
      </w:pPr>
      <w:r>
        <w:rPr>
          <w:rFonts w:ascii="標楷體" w:eastAsia="標楷體" w:hAnsi="標楷體"/>
          <w:color w:val="000000"/>
        </w:rPr>
        <w:t>備註1：非小細胞肺癌病患的第二線治療用藥之定義為：病患需先經第一線含鉑化學治療，或70歲(含)以上接受過第一線化學治療後，因疾病惡化，此時所給予之治療即為第二線用藥。（97/6/1）</w:t>
      </w:r>
    </w:p>
    <w:p w:rsidR="00B96EA0" w:rsidRDefault="007D66B8" w:rsidP="005142EB">
      <w:pPr>
        <w:spacing w:line="400" w:lineRule="exact"/>
        <w:ind w:left="1416" w:hanging="816"/>
        <w:rPr>
          <w:rFonts w:ascii="標楷體" w:eastAsia="標楷體" w:hAnsi="標楷體"/>
          <w:color w:val="000000"/>
        </w:rPr>
      </w:pPr>
      <w:r>
        <w:rPr>
          <w:rFonts w:ascii="標楷體" w:eastAsia="標楷體" w:hAnsi="標楷體"/>
          <w:color w:val="000000"/>
        </w:rPr>
        <w:t>備註2：非小細胞肺癌病患的第三線治療用藥之定義為：病患需先經第一線化學藥物治療後，因疾病惡化，再經第二線不同的化學藥物治療之後，若疾病再度惡化，此時所給予之治療即為第三線用藥。</w:t>
      </w:r>
    </w:p>
    <w:p w:rsidR="00B96EA0" w:rsidRDefault="007D66B8" w:rsidP="005142EB">
      <w:pPr>
        <w:spacing w:line="400" w:lineRule="exact"/>
        <w:ind w:left="709" w:hanging="353"/>
        <w:rPr>
          <w:rFonts w:ascii="標楷體" w:eastAsia="標楷體" w:hAnsi="標楷體"/>
          <w:color w:val="000000"/>
        </w:rPr>
      </w:pPr>
      <w:r>
        <w:rPr>
          <w:rFonts w:ascii="標楷體" w:eastAsia="標楷體" w:hAnsi="標楷體"/>
          <w:color w:val="000000"/>
        </w:rPr>
        <w:t>9.30.Dasatinib(如Sprycel)：(98/1/1、102/4/1、104/12/1、110/5/1、113/6/1)</w:t>
      </w:r>
    </w:p>
    <w:p w:rsidR="00B96EA0" w:rsidRDefault="007D66B8" w:rsidP="005142EB">
      <w:pPr>
        <w:spacing w:line="400" w:lineRule="exact"/>
        <w:ind w:left="1063" w:hanging="353"/>
        <w:rPr>
          <w:rFonts w:ascii="標楷體" w:eastAsia="標楷體" w:hAnsi="標楷體"/>
          <w:color w:val="000000"/>
        </w:rPr>
      </w:pPr>
      <w:r>
        <w:rPr>
          <w:rFonts w:ascii="標楷體" w:eastAsia="標楷體" w:hAnsi="標楷體"/>
          <w:color w:val="000000"/>
        </w:rPr>
        <w:t>限用於</w:t>
      </w:r>
    </w:p>
    <w:p w:rsidR="00B96EA0" w:rsidRDefault="007D66B8" w:rsidP="005142EB">
      <w:pPr>
        <w:spacing w:line="400" w:lineRule="exact"/>
        <w:ind w:left="993" w:hanging="353"/>
        <w:rPr>
          <w:rFonts w:ascii="標楷體" w:eastAsia="標楷體" w:hAnsi="標楷體"/>
          <w:color w:val="000000"/>
        </w:rPr>
      </w:pPr>
      <w:r>
        <w:rPr>
          <w:rFonts w:ascii="標楷體" w:eastAsia="標楷體" w:hAnsi="標楷體"/>
          <w:color w:val="000000"/>
        </w:rPr>
        <w:t>1.第一線使用(102/4/1、104/12/1、110/5/1)：</w:t>
      </w:r>
    </w:p>
    <w:p w:rsidR="00B96EA0" w:rsidRDefault="007D66B8" w:rsidP="005142EB">
      <w:pPr>
        <w:spacing w:line="400" w:lineRule="exact"/>
        <w:ind w:left="1063" w:hanging="353"/>
        <w:rPr>
          <w:rFonts w:ascii="標楷體" w:eastAsia="標楷體" w:hAnsi="標楷體"/>
          <w:color w:val="000000"/>
        </w:rPr>
      </w:pPr>
      <w:r>
        <w:rPr>
          <w:rFonts w:ascii="標楷體" w:eastAsia="標楷體" w:hAnsi="標楷體"/>
          <w:color w:val="000000"/>
        </w:rPr>
        <w:t>(1)治療新診斷的費城染色體陽性之慢性期慢性骨髓性白血病的成人。</w:t>
      </w:r>
    </w:p>
    <w:p w:rsidR="00B96EA0" w:rsidRDefault="007D66B8" w:rsidP="005142EB">
      <w:pPr>
        <w:spacing w:line="400" w:lineRule="exact"/>
        <w:ind w:left="1063" w:hanging="353"/>
        <w:rPr>
          <w:rFonts w:ascii="標楷體" w:eastAsia="標楷體" w:hAnsi="標楷體"/>
          <w:color w:val="000000"/>
        </w:rPr>
      </w:pPr>
      <w:r>
        <w:rPr>
          <w:rFonts w:ascii="標楷體" w:eastAsia="標楷體" w:hAnsi="標楷體"/>
          <w:color w:val="000000"/>
        </w:rPr>
        <w:t>(2)併用化療適用於新診斷費城染色體陽性急性淋巴性白血病(Ph+ ALL)之1歲以上兒童病人，無疾病惡化時的維持治療限使用2年。(110/5/1)</w:t>
      </w:r>
    </w:p>
    <w:p w:rsidR="00B96EA0" w:rsidRDefault="007D66B8" w:rsidP="005142EB">
      <w:pPr>
        <w:spacing w:line="400" w:lineRule="exact"/>
        <w:ind w:left="993" w:hanging="353"/>
        <w:rPr>
          <w:rFonts w:ascii="標楷體" w:eastAsia="標楷體" w:hAnsi="標楷體"/>
          <w:color w:val="000000"/>
        </w:rPr>
      </w:pPr>
      <w:r>
        <w:rPr>
          <w:rFonts w:ascii="標楷體" w:eastAsia="標楷體" w:hAnsi="標楷體"/>
          <w:color w:val="000000"/>
        </w:rPr>
        <w:t>2.第二線使用(104/12/1)：</w:t>
      </w:r>
    </w:p>
    <w:p w:rsidR="00B96EA0" w:rsidRDefault="007D66B8" w:rsidP="005142EB">
      <w:pPr>
        <w:spacing w:line="400" w:lineRule="exact"/>
        <w:ind w:left="1063" w:hanging="353"/>
        <w:rPr>
          <w:rFonts w:ascii="標楷體" w:eastAsia="標楷體" w:hAnsi="標楷體"/>
          <w:color w:val="000000"/>
        </w:rPr>
      </w:pPr>
      <w:r>
        <w:rPr>
          <w:rFonts w:ascii="標楷體" w:eastAsia="標楷體" w:hAnsi="標楷體"/>
          <w:color w:val="000000"/>
        </w:rPr>
        <w:lastRenderedPageBreak/>
        <w:t>(1)治療患有慢性、加速或急性期慢性骨髓性白血病，對先前經imatinib 400mg(含)以上治療後有抗藥性或無耐受性的成人。</w:t>
      </w:r>
    </w:p>
    <w:p w:rsidR="00B96EA0" w:rsidRDefault="007D66B8" w:rsidP="005142EB">
      <w:pPr>
        <w:spacing w:line="400" w:lineRule="exact"/>
        <w:ind w:left="1063" w:hanging="353"/>
        <w:rPr>
          <w:rFonts w:ascii="標楷體" w:eastAsia="標楷體" w:hAnsi="標楷體"/>
          <w:color w:val="000000"/>
        </w:rPr>
      </w:pPr>
      <w:r>
        <w:rPr>
          <w:rFonts w:ascii="標楷體" w:eastAsia="標楷體" w:hAnsi="標楷體"/>
          <w:color w:val="000000"/>
        </w:rPr>
        <w:t>(2)治療患有費城染色體陽性急性淋巴性白血病，且對先前經imatinib 400mg(含)以上治療後有抗藥性或無耐受性的成人。</w:t>
      </w:r>
    </w:p>
    <w:p w:rsidR="00B96EA0" w:rsidRDefault="007D66B8" w:rsidP="005142EB">
      <w:pPr>
        <w:spacing w:line="400" w:lineRule="exact"/>
        <w:ind w:left="1063" w:hanging="353"/>
        <w:rPr>
          <w:rFonts w:ascii="標楷體" w:eastAsia="標楷體" w:hAnsi="標楷體"/>
          <w:color w:val="000000"/>
        </w:rPr>
      </w:pPr>
      <w:r>
        <w:rPr>
          <w:rFonts w:ascii="標楷體" w:eastAsia="標楷體" w:hAnsi="標楷體"/>
          <w:color w:val="000000"/>
        </w:rPr>
        <w:t>(3)需檢送病歷及對imatinib耐受性不良或無效的證明(104/12/1)。</w:t>
      </w:r>
    </w:p>
    <w:p w:rsidR="00B96EA0" w:rsidRDefault="007D66B8" w:rsidP="005142EB">
      <w:pPr>
        <w:spacing w:line="400" w:lineRule="exact"/>
        <w:ind w:left="851" w:hanging="211"/>
        <w:rPr>
          <w:rFonts w:ascii="標楷體" w:eastAsia="標楷體" w:hAnsi="標楷體"/>
          <w:color w:val="000000"/>
        </w:rPr>
      </w:pPr>
      <w:r>
        <w:rPr>
          <w:rFonts w:ascii="標楷體" w:eastAsia="標楷體" w:hAnsi="標楷體"/>
          <w:color w:val="000000"/>
        </w:rPr>
        <w:t>3.治療患有慢性期費城染色體陽性慢性骨髓性白血病(Ph+ CML) 之1歲以上的兒童病人。(110/5/1)</w:t>
      </w:r>
    </w:p>
    <w:p w:rsidR="00B96EA0" w:rsidRDefault="007D66B8" w:rsidP="005142EB">
      <w:pPr>
        <w:spacing w:line="400" w:lineRule="exact"/>
        <w:ind w:left="851" w:hanging="211"/>
        <w:rPr>
          <w:rFonts w:ascii="標楷體" w:eastAsia="標楷體" w:hAnsi="標楷體"/>
          <w:color w:val="000000"/>
        </w:rPr>
      </w:pPr>
      <w:r>
        <w:rPr>
          <w:rFonts w:ascii="標楷體" w:eastAsia="標楷體" w:hAnsi="標楷體"/>
          <w:color w:val="000000"/>
        </w:rPr>
        <w:t>4.1~3項規定內之疾病診斷或追蹤若需依據基因檢測報告，則需符合全民健康保險藥品給付規定之通則十二。(113/6/1)</w:t>
      </w:r>
    </w:p>
    <w:p w:rsidR="00B96EA0" w:rsidRDefault="007D66B8" w:rsidP="005142EB">
      <w:pPr>
        <w:spacing w:line="400" w:lineRule="exact"/>
        <w:ind w:left="709" w:hanging="341"/>
      </w:pPr>
      <w:r>
        <w:rPr>
          <w:rFonts w:ascii="標楷體" w:eastAsia="標楷體" w:hAnsi="標楷體"/>
        </w:rPr>
        <w:t>9.31.</w:t>
      </w:r>
      <w:r>
        <w:t xml:space="preserve"> </w:t>
      </w:r>
      <w:r>
        <w:rPr>
          <w:rFonts w:ascii="標楷體" w:eastAsia="標楷體" w:hAnsi="標楷體"/>
        </w:rPr>
        <w:t>Sunitinib（如Sutent）：（98/2/1、98/5/1、99/1/1、99/2/1、101/5/1、102/1/1、104/12/1、110/12/1、112/3/1）</w:t>
      </w:r>
    </w:p>
    <w:p w:rsidR="00B96EA0" w:rsidRDefault="007D66B8" w:rsidP="005142EB">
      <w:pPr>
        <w:spacing w:line="400" w:lineRule="exact"/>
        <w:ind w:left="993" w:hanging="341"/>
        <w:rPr>
          <w:rFonts w:ascii="標楷體" w:eastAsia="標楷體" w:hAnsi="標楷體"/>
        </w:rPr>
      </w:pPr>
      <w:r>
        <w:rPr>
          <w:rFonts w:ascii="標楷體" w:eastAsia="標楷體" w:hAnsi="標楷體"/>
        </w:rPr>
        <w:t>1.腸胃道間質腫瘤：</w:t>
      </w:r>
    </w:p>
    <w:p w:rsidR="00B96EA0" w:rsidRDefault="007D66B8" w:rsidP="005142EB">
      <w:pPr>
        <w:spacing w:line="400" w:lineRule="exact"/>
        <w:ind w:left="1049" w:hanging="341"/>
        <w:rPr>
          <w:rFonts w:ascii="標楷體" w:eastAsia="標楷體" w:hAnsi="標楷體"/>
        </w:rPr>
      </w:pPr>
      <w:r>
        <w:rPr>
          <w:rFonts w:ascii="標楷體" w:eastAsia="標楷體" w:hAnsi="標楷體"/>
        </w:rPr>
        <w:t>(1)限用於以imatinib治療期間出現疾病惡化或對該藥出現不能忍受之腸胃道間質腫瘤(99/2/1)。</w:t>
      </w:r>
    </w:p>
    <w:p w:rsidR="00B96EA0" w:rsidRDefault="007D66B8" w:rsidP="005142EB">
      <w:pPr>
        <w:spacing w:line="400" w:lineRule="exact"/>
        <w:ind w:left="1049" w:hanging="341"/>
        <w:rPr>
          <w:rFonts w:ascii="標楷體" w:eastAsia="標楷體" w:hAnsi="標楷體"/>
        </w:rPr>
      </w:pPr>
      <w:r>
        <w:rPr>
          <w:rFonts w:ascii="標楷體" w:eastAsia="標楷體" w:hAnsi="標楷體"/>
        </w:rPr>
        <w:t>(2)若使用本藥品出現疾病惡化或無法忍受其副作用，不得替換使用imatinib治療(99/2/1)。</w:t>
      </w:r>
    </w:p>
    <w:p w:rsidR="00B96EA0" w:rsidRDefault="007D66B8" w:rsidP="005142EB">
      <w:pPr>
        <w:spacing w:line="400" w:lineRule="exact"/>
        <w:ind w:left="1049" w:hanging="341"/>
        <w:rPr>
          <w:rFonts w:ascii="標楷體" w:eastAsia="標楷體" w:hAnsi="標楷體"/>
        </w:rPr>
      </w:pPr>
      <w:r>
        <w:rPr>
          <w:rFonts w:ascii="標楷體" w:eastAsia="標楷體" w:hAnsi="標楷體"/>
        </w:rPr>
        <w:t>(3)需經事前審查核准後使用，送審時須檢送病歷及對imatinib耐受性不良或無效之證明。（98/5/1）(99/2/1)</w:t>
      </w:r>
    </w:p>
    <w:p w:rsidR="00B96EA0" w:rsidRDefault="007D66B8" w:rsidP="005142EB">
      <w:pPr>
        <w:spacing w:line="400" w:lineRule="exact"/>
        <w:ind w:left="1049" w:hanging="341"/>
      </w:pPr>
      <w:r>
        <w:rPr>
          <w:rFonts w:ascii="標楷體" w:eastAsia="標楷體" w:hAnsi="標楷體"/>
        </w:rPr>
        <w:t>2.</w:t>
      </w:r>
      <w:r>
        <w:t xml:space="preserve"> </w:t>
      </w:r>
      <w:r>
        <w:rPr>
          <w:rFonts w:ascii="標楷體" w:eastAsia="標楷體" w:hAnsi="標楷體"/>
        </w:rPr>
        <w:t>晚期腎細胞癌：（99/1/1、110/12/1、112/3/1）</w:t>
      </w:r>
    </w:p>
    <w:p w:rsidR="00B96EA0" w:rsidRDefault="007D66B8" w:rsidP="005142EB">
      <w:pPr>
        <w:spacing w:line="400" w:lineRule="exact"/>
        <w:ind w:left="1049" w:hanging="341"/>
      </w:pPr>
      <w:r>
        <w:rPr>
          <w:rFonts w:ascii="標楷體" w:eastAsia="標楷體" w:hAnsi="標楷體"/>
        </w:rPr>
        <w:t>(1)</w:t>
      </w:r>
      <w:r>
        <w:t xml:space="preserve"> </w:t>
      </w:r>
      <w:r>
        <w:rPr>
          <w:rFonts w:ascii="標楷體" w:eastAsia="標楷體" w:hAnsi="標楷體"/>
        </w:rPr>
        <w:t>可用於第一線治療晚期或轉移性腎細胞癌。（112/3/1）</w:t>
      </w:r>
    </w:p>
    <w:p w:rsidR="00B96EA0" w:rsidRDefault="007D66B8" w:rsidP="005142EB">
      <w:pPr>
        <w:spacing w:line="400" w:lineRule="exact"/>
        <w:ind w:left="1049" w:hanging="341"/>
        <w:rPr>
          <w:rFonts w:ascii="標楷體" w:eastAsia="標楷體" w:hAnsi="標楷體"/>
        </w:rPr>
      </w:pPr>
      <w:r>
        <w:rPr>
          <w:rFonts w:ascii="標楷體" w:eastAsia="標楷體" w:hAnsi="標楷體"/>
        </w:rPr>
        <w:t>(2)無效後則不給付temsirolimus。（110/12/1）</w:t>
      </w:r>
    </w:p>
    <w:p w:rsidR="00B96EA0" w:rsidRDefault="007D66B8" w:rsidP="005142EB">
      <w:pPr>
        <w:spacing w:line="400" w:lineRule="exact"/>
        <w:ind w:left="1049" w:hanging="341"/>
        <w:rPr>
          <w:rFonts w:ascii="標楷體" w:eastAsia="標楷體" w:hAnsi="標楷體"/>
        </w:rPr>
      </w:pPr>
      <w:r>
        <w:rPr>
          <w:rFonts w:ascii="標楷體" w:eastAsia="標楷體" w:hAnsi="標楷體"/>
        </w:rPr>
        <w:t>(3)需檢送影像資料，每三個月評估一次。(104/12/1)</w:t>
      </w:r>
    </w:p>
    <w:p w:rsidR="00B96EA0" w:rsidRDefault="007D66B8" w:rsidP="005142EB">
      <w:pPr>
        <w:spacing w:line="400" w:lineRule="exact"/>
        <w:ind w:left="1049" w:hanging="341"/>
        <w:rPr>
          <w:rFonts w:ascii="標楷體" w:eastAsia="標楷體" w:hAnsi="標楷體"/>
        </w:rPr>
      </w:pPr>
      <w:r>
        <w:rPr>
          <w:rFonts w:ascii="標楷體" w:eastAsia="標楷體" w:hAnsi="標楷體"/>
        </w:rPr>
        <w:t>(4)病人若對藥物產生耐受性不佳（intolerance），則以原來藥物減量為原則，若嚴重耐受性不佳，可以換其他TKI。</w:t>
      </w:r>
    </w:p>
    <w:p w:rsidR="00B96EA0" w:rsidRDefault="007D66B8" w:rsidP="005142EB">
      <w:pPr>
        <w:spacing w:line="400" w:lineRule="exact"/>
        <w:ind w:left="1049" w:hanging="341"/>
        <w:rPr>
          <w:rFonts w:ascii="標楷體" w:eastAsia="標楷體" w:hAnsi="標楷體"/>
        </w:rPr>
      </w:pPr>
      <w:r>
        <w:rPr>
          <w:rFonts w:ascii="標楷體" w:eastAsia="標楷體" w:hAnsi="標楷體"/>
        </w:rPr>
        <w:t>3.進展性，無法切除或轉移性分化良好之胰臟神經內分泌腫瘤的成人病患，須同時符合下列條件：(101/5/1）</w:t>
      </w:r>
    </w:p>
    <w:p w:rsidR="00B96EA0" w:rsidRDefault="007D66B8" w:rsidP="005142EB">
      <w:pPr>
        <w:spacing w:line="400" w:lineRule="exact"/>
        <w:ind w:left="1049" w:hanging="341"/>
        <w:rPr>
          <w:rFonts w:ascii="標楷體" w:eastAsia="標楷體" w:hAnsi="標楷體"/>
        </w:rPr>
      </w:pPr>
      <w:r>
        <w:rPr>
          <w:rFonts w:ascii="標楷體" w:eastAsia="標楷體" w:hAnsi="標楷體"/>
        </w:rPr>
        <w:t>(1)符合WHO 2010分類方式之G1 or G2胰臟神經內分泌瘤。</w:t>
      </w:r>
    </w:p>
    <w:p w:rsidR="00B96EA0" w:rsidRDefault="007D66B8" w:rsidP="005142EB">
      <w:pPr>
        <w:spacing w:line="400" w:lineRule="exact"/>
        <w:ind w:left="1049" w:hanging="341"/>
        <w:rPr>
          <w:rFonts w:ascii="標楷體" w:eastAsia="標楷體" w:hAnsi="標楷體"/>
        </w:rPr>
      </w:pPr>
      <w:r>
        <w:rPr>
          <w:rFonts w:ascii="標楷體" w:eastAsia="標楷體" w:hAnsi="標楷體"/>
        </w:rPr>
        <w:t>(2)於一年內影像檢查證實有明顯惡化者。</w:t>
      </w:r>
    </w:p>
    <w:p w:rsidR="00B96EA0" w:rsidRDefault="007D66B8" w:rsidP="005142EB">
      <w:pPr>
        <w:spacing w:line="400" w:lineRule="exact"/>
        <w:ind w:left="1049" w:hanging="341"/>
        <w:rPr>
          <w:rFonts w:ascii="標楷體" w:eastAsia="標楷體" w:hAnsi="標楷體"/>
        </w:rPr>
      </w:pPr>
      <w:r>
        <w:rPr>
          <w:rFonts w:ascii="標楷體" w:eastAsia="標楷體" w:hAnsi="標楷體"/>
        </w:rPr>
        <w:t>(3)不可合併使用化學治療或相關標靶藥物。（102/1/1）</w:t>
      </w:r>
    </w:p>
    <w:p w:rsidR="00B96EA0" w:rsidRDefault="007D66B8" w:rsidP="005142EB">
      <w:pPr>
        <w:spacing w:line="400" w:lineRule="exact"/>
        <w:ind w:left="1049" w:hanging="341"/>
      </w:pPr>
      <w:r>
        <w:rPr>
          <w:rFonts w:ascii="標楷體" w:eastAsia="標楷體" w:hAnsi="標楷體"/>
        </w:rPr>
        <w:t>(4)經事前專案審查核准後使用，且需每3個月評估一次。</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9.32.Nilotinib：（98/6/1、99/1/1、101/7/1、113/6/1）附表九之六</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9.32.1.Nilotinib 200mg(如Tasigna 200mg)（98/6/1、99/1/1、104/12/1、113/6/1）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1.限用於治療對imatinib 400MG(含)以上耐受性不良或治療無效的「慢性期或加速期費城染色體(Philadelphia chromosome)陽性的慢性骨髓性白血病(CML)成年患者」。</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2.必須檢附耐受性不良或治療無效的證明。(104/12/1)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3.Nilotinib與dasatinib不得合併使用。</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lastRenderedPageBreak/>
        <w:t>4.1~2項規定內之疾病診斷或追蹤若需依據基因檢測報告，則需符合全民健康保險藥品給付規定之通則十二。(113/6/1)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9.32.2.Nilotinib 150mg(如Tasigna 150mg)：(101/7/1、104/12/1、113/6/1)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1.限用於新確診之慢性期費城染色體陽性的慢性骨髓性白血病。(104/12/1)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2.疾病診斷或追蹤若需依據基因檢測報告，則需符合全民健康保險藥品給付規定之通則十二。(113/6/1)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9.33.Thalidomide（如Thado）：(98/7/1)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治療新診斷多發性骨髓瘤。使用時須和prednisolone及oral melphalan併用，或和骨髓移植併用，或和palmidronate併用於骨髓移植後之治療。</w:t>
      </w:r>
    </w:p>
    <w:p w:rsidR="00B96EA0" w:rsidRDefault="007D66B8" w:rsidP="005142EB">
      <w:pPr>
        <w:spacing w:line="400" w:lineRule="exact"/>
        <w:ind w:left="672" w:hanging="386"/>
      </w:pPr>
      <w:r>
        <w:rPr>
          <w:rFonts w:ascii="標楷體" w:eastAsia="標楷體" w:hAnsi="標楷體"/>
          <w:color w:val="000000"/>
        </w:rPr>
        <w:t>9.34.Sorafenib(如Nexavar)：(98/10/1、100/6/1、101/8/1、104/12/1、105/11/1、106/1/1、107/7/1、108/6/1、108/12/1、109/1/1、112/8/1、114/2/1、114/6/1)</w:t>
      </w:r>
    </w:p>
    <w:p w:rsidR="00B96EA0" w:rsidRDefault="007D66B8" w:rsidP="005142EB">
      <w:pPr>
        <w:spacing w:line="400" w:lineRule="exact"/>
        <w:ind w:left="811" w:hanging="245"/>
      </w:pPr>
      <w:r>
        <w:rPr>
          <w:rFonts w:ascii="標楷體" w:eastAsia="標楷體" w:hAnsi="標楷體"/>
          <w:color w:val="000000"/>
          <w:lang w:val="it-IT"/>
        </w:rPr>
        <w:t>1.</w:t>
      </w:r>
      <w:r>
        <w:rPr>
          <w:rFonts w:ascii="標楷體" w:eastAsia="標楷體" w:hAnsi="標楷體"/>
          <w:color w:val="000000"/>
        </w:rPr>
        <w:t>晚期腎細胞癌部分</w:t>
      </w:r>
      <w:r>
        <w:rPr>
          <w:rFonts w:ascii="標楷體" w:eastAsia="標楷體" w:hAnsi="標楷體"/>
          <w:color w:val="000000"/>
          <w:lang w:val="it-IT"/>
        </w:rPr>
        <w:t>：</w:t>
      </w:r>
    </w:p>
    <w:p w:rsidR="00B96EA0" w:rsidRDefault="007D66B8" w:rsidP="005142EB">
      <w:pPr>
        <w:spacing w:line="400" w:lineRule="exact"/>
        <w:ind w:left="1049" w:hanging="341"/>
      </w:pPr>
      <w:r>
        <w:rPr>
          <w:rFonts w:ascii="標楷體" w:eastAsia="標楷體" w:hAnsi="標楷體"/>
          <w:color w:val="000000"/>
          <w:lang w:val="it-IT"/>
        </w:rPr>
        <w:t>(1)</w:t>
      </w:r>
      <w:r>
        <w:rPr>
          <w:rFonts w:ascii="標楷體" w:eastAsia="標楷體" w:hAnsi="標楷體"/>
          <w:color w:val="000000"/>
        </w:rPr>
        <w:t>晚期腎細胞癌且已接受</w:t>
      </w:r>
      <w:r>
        <w:rPr>
          <w:rFonts w:ascii="標楷體" w:eastAsia="標楷體" w:hAnsi="標楷體"/>
          <w:color w:val="000000"/>
          <w:lang w:val="it-IT"/>
        </w:rPr>
        <w:t>interferon-alpha</w:t>
      </w:r>
      <w:r>
        <w:rPr>
          <w:rFonts w:ascii="標楷體" w:eastAsia="標楷體" w:hAnsi="標楷體"/>
          <w:color w:val="000000"/>
        </w:rPr>
        <w:t>或</w:t>
      </w:r>
      <w:r>
        <w:rPr>
          <w:rFonts w:ascii="標楷體" w:eastAsia="標楷體" w:hAnsi="標楷體"/>
          <w:color w:val="000000"/>
          <w:lang w:val="it-IT"/>
        </w:rPr>
        <w:t>interleukin-2</w:t>
      </w:r>
      <w:r>
        <w:rPr>
          <w:rFonts w:ascii="標楷體" w:eastAsia="標楷體" w:hAnsi="標楷體"/>
          <w:color w:val="000000"/>
        </w:rPr>
        <w:t>治療失敗</w:t>
      </w:r>
      <w:r>
        <w:rPr>
          <w:rFonts w:ascii="標楷體" w:eastAsia="標楷體" w:hAnsi="標楷體"/>
          <w:color w:val="000000"/>
          <w:lang w:val="it-IT"/>
        </w:rPr>
        <w:t>，</w:t>
      </w:r>
      <w:r>
        <w:rPr>
          <w:rFonts w:ascii="標楷體" w:eastAsia="標楷體" w:hAnsi="標楷體"/>
          <w:color w:val="000000"/>
        </w:rPr>
        <w:t>或不適合以上兩種藥物治療之病患。不適合以上兩種藥物治療之病患，須符合cytokine禁忌症者得直接使用sorafenib。但須列舉出所符合之禁忌症及檢附相關證明。(100/6/1)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(2)無效後則不給付temsirolimus。(108/12/1)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(3)需檢送影像資料，每3個月評估一次。(104/12/1)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2.晚期肝細胞癌部分：(101/8/1、105/11/1、108/6/1、109/1/1、112/8/1、114/2/1、114/6/1)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(1)轉移性或無法手術切除且不適合局部治療或局部治療失敗之Child-Pugh A class晚期肝細胞癌成人患者，並符合下列條件之一：</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Ⅰ.肝外轉移（遠端轉移或肝外淋巴結侵犯）。</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Ⅱ.大血管侵犯（腫瘤侵犯主門靜脈或侵犯左/右靜脈第一或第二分支）</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III.經導管動脈化學藥物栓塞治療（Transcatheter arterial chemo embolization,T.A.C.E.）失敗者，需提供患者於12個月內&gt;=3次局部治療之記錄。</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(2)需經事前審查核准後使用，初次申請之療程以3個月為限，之後每3個月評估一次。送審時需檢送影像資料，無疾病惡化方可繼續使用。(101/8/1、114/6/1)</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(3)每日至多處方4粒。</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(4)Sorafenib、lenvatinib、atezolizumab併用bevacizumab、tremelimumab併用durvalumab僅得擇一給付，不得互換。(109/1/1、112/8/1、114/2/1)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3.用於放射性碘治療無效之局部晚期或轉移性的進行性(progressive)分化型甲狀腺癌(RAI-RDTC)：(106/1/1)</w:t>
      </w:r>
    </w:p>
    <w:p w:rsidR="00B96EA0" w:rsidRDefault="007D66B8" w:rsidP="005142EB">
      <w:pPr>
        <w:spacing w:line="400" w:lineRule="exact"/>
        <w:ind w:left="1133" w:hanging="425"/>
        <w:rPr>
          <w:rFonts w:ascii="標楷體" w:eastAsia="標楷體" w:hAnsi="標楷體"/>
          <w:color w:val="000000"/>
        </w:rPr>
      </w:pPr>
      <w:r>
        <w:rPr>
          <w:rFonts w:ascii="標楷體" w:eastAsia="標楷體" w:hAnsi="標楷體"/>
          <w:color w:val="000000"/>
        </w:rPr>
        <w:t>(1)放射性碘治療無效之局部晚期或轉移性的進行性(progressive)分化型甲狀腺癌。</w:t>
      </w:r>
    </w:p>
    <w:p w:rsidR="00B96EA0" w:rsidRDefault="007D66B8" w:rsidP="005142EB">
      <w:pPr>
        <w:spacing w:line="400" w:lineRule="exact"/>
        <w:ind w:left="1090" w:hanging="384"/>
        <w:rPr>
          <w:rFonts w:ascii="標楷體" w:eastAsia="標楷體" w:hAnsi="標楷體"/>
          <w:color w:val="000000"/>
        </w:rPr>
      </w:pPr>
      <w:r>
        <w:rPr>
          <w:rFonts w:ascii="標楷體" w:eastAsia="標楷體" w:hAnsi="標楷體"/>
          <w:color w:val="000000"/>
        </w:rPr>
        <w:t>(2)需經事前審查核准後使用，每次申請之療程以3個月為限，送審時需檢送影像資</w:t>
      </w:r>
      <w:r>
        <w:rPr>
          <w:rFonts w:ascii="標楷體" w:eastAsia="標楷體" w:hAnsi="標楷體"/>
          <w:color w:val="000000"/>
        </w:rPr>
        <w:lastRenderedPageBreak/>
        <w:t>料，每3個月評估一次。</w:t>
      </w:r>
    </w:p>
    <w:p w:rsidR="00B96EA0" w:rsidRDefault="007D66B8" w:rsidP="005142EB">
      <w:pPr>
        <w:spacing w:line="400" w:lineRule="exact"/>
        <w:ind w:left="1090" w:hanging="384"/>
        <w:rPr>
          <w:rFonts w:ascii="標楷體" w:eastAsia="標楷體" w:hAnsi="標楷體"/>
          <w:color w:val="000000"/>
        </w:rPr>
      </w:pPr>
      <w:r>
        <w:rPr>
          <w:rFonts w:ascii="標楷體" w:eastAsia="標楷體" w:hAnsi="標楷體"/>
          <w:color w:val="000000"/>
        </w:rPr>
        <w:t>(3)Sorafenib與lenvatinib不得合併使用。(107/7/1)</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9.35.carmustine植入劑(如Gliadel Wafer)：(100/2/1)附表八之四</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1.作為復發性多形神經膠母細胞瘤病人的手術輔助，且不得與temozolomide併用。</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2.需經事前審查核准後使用。</w:t>
      </w:r>
    </w:p>
    <w:p w:rsidR="00B96EA0" w:rsidRDefault="007D66B8" w:rsidP="005142EB">
      <w:pPr>
        <w:spacing w:line="400" w:lineRule="exact"/>
        <w:ind w:left="672" w:hanging="386"/>
        <w:rPr>
          <w:rFonts w:ascii="標楷體" w:eastAsia="標楷體" w:hAnsi="標楷體"/>
          <w:szCs w:val="24"/>
        </w:rPr>
      </w:pPr>
      <w:r>
        <w:rPr>
          <w:rFonts w:ascii="標楷體" w:eastAsia="標楷體" w:hAnsi="標楷體"/>
          <w:szCs w:val="24"/>
        </w:rPr>
        <w:t>9.36.Everolimus：（100/2/1、102/1/1）附表九之九</w:t>
      </w:r>
    </w:p>
    <w:p w:rsidR="00B96EA0" w:rsidRDefault="007D66B8" w:rsidP="005142EB">
      <w:pPr>
        <w:spacing w:line="400" w:lineRule="exact"/>
        <w:ind w:left="1301" w:hanging="845"/>
      </w:pPr>
      <w:r>
        <w:rPr>
          <w:rFonts w:ascii="標楷體" w:eastAsia="標楷體" w:hAnsi="標楷體"/>
          <w:szCs w:val="24"/>
        </w:rPr>
        <w:t>9.36.1.Everolimus 5mg及10mg(如Afinitor 5mg及10mg)</w:t>
      </w:r>
      <w:r>
        <w:rPr>
          <w:rFonts w:ascii="新細明體" w:hAnsi="新細明體"/>
          <w:szCs w:val="24"/>
        </w:rPr>
        <w:t>：</w:t>
      </w:r>
      <w:r>
        <w:rPr>
          <w:rFonts w:ascii="標楷體" w:eastAsia="標楷體" w:hAnsi="標楷體"/>
          <w:szCs w:val="24"/>
        </w:rPr>
        <w:t>（100/2/1、102/1/1、104/9/1、104/12/1、106/3/1、108/10/1、109/4/1）</w:t>
      </w:r>
    </w:p>
    <w:p w:rsidR="00B96EA0" w:rsidRDefault="007D66B8" w:rsidP="005142EB">
      <w:pPr>
        <w:spacing w:line="400" w:lineRule="exact"/>
        <w:ind w:left="811" w:hanging="245"/>
        <w:rPr>
          <w:rFonts w:ascii="標楷體" w:eastAsia="標楷體" w:hAnsi="標楷體"/>
          <w:szCs w:val="24"/>
        </w:rPr>
      </w:pPr>
      <w:r>
        <w:rPr>
          <w:rFonts w:ascii="標楷體" w:eastAsia="標楷體" w:hAnsi="標楷體"/>
          <w:szCs w:val="24"/>
        </w:rPr>
        <w:t>1.治療經VEGF-targeted療法無效後之晚期腎細胞癌患者。</w:t>
      </w:r>
    </w:p>
    <w:p w:rsidR="00B96EA0" w:rsidRDefault="007D66B8" w:rsidP="005142EB">
      <w:pPr>
        <w:spacing w:line="400" w:lineRule="exact"/>
        <w:ind w:left="811" w:hanging="245"/>
        <w:rPr>
          <w:rFonts w:ascii="標楷體" w:eastAsia="標楷體" w:hAnsi="標楷體"/>
          <w:szCs w:val="24"/>
        </w:rPr>
      </w:pPr>
      <w:r>
        <w:rPr>
          <w:rFonts w:ascii="標楷體" w:eastAsia="標楷體" w:hAnsi="標楷體"/>
          <w:szCs w:val="24"/>
        </w:rPr>
        <w:t>2.使用於胰臟神經內分泌腫瘤成人病患，需同時符合下列條件：（102/1/1）</w:t>
      </w:r>
    </w:p>
    <w:p w:rsidR="00B96EA0" w:rsidRDefault="007D66B8" w:rsidP="005142EB">
      <w:pPr>
        <w:spacing w:line="400" w:lineRule="exact"/>
        <w:ind w:left="1116" w:hanging="396"/>
        <w:rPr>
          <w:rFonts w:ascii="標楷體" w:eastAsia="標楷體" w:hAnsi="標楷體"/>
          <w:szCs w:val="24"/>
        </w:rPr>
      </w:pPr>
      <w:r>
        <w:rPr>
          <w:rFonts w:ascii="標楷體" w:eastAsia="標楷體" w:hAnsi="標楷體"/>
          <w:szCs w:val="24"/>
        </w:rPr>
        <w:t>(1)無法切除或轉移的成人胰臟內分泌腫瘤，其分化程度為良好或中度，或WHO 2010年分類為G1、G2者。</w:t>
      </w:r>
    </w:p>
    <w:p w:rsidR="00B96EA0" w:rsidRDefault="007D66B8" w:rsidP="005142EB">
      <w:pPr>
        <w:spacing w:line="400" w:lineRule="exact"/>
        <w:ind w:left="1116" w:hanging="396"/>
        <w:rPr>
          <w:rFonts w:ascii="標楷體" w:eastAsia="標楷體" w:hAnsi="標楷體"/>
          <w:szCs w:val="24"/>
        </w:rPr>
      </w:pPr>
      <w:r>
        <w:rPr>
          <w:rFonts w:ascii="標楷體" w:eastAsia="標楷體" w:hAnsi="標楷體"/>
          <w:szCs w:val="24"/>
        </w:rPr>
        <w:t>(2)為進展性腫瘤，即過去12個月影像檢查為持續惡化者（RECIST定義為疾病惡化者）。</w:t>
      </w:r>
    </w:p>
    <w:p w:rsidR="00B96EA0" w:rsidRDefault="007D66B8" w:rsidP="005142EB">
      <w:pPr>
        <w:spacing w:line="400" w:lineRule="exact"/>
        <w:ind w:left="1116" w:hanging="396"/>
        <w:rPr>
          <w:rFonts w:ascii="標楷體" w:eastAsia="標楷體" w:hAnsi="標楷體"/>
          <w:szCs w:val="24"/>
        </w:rPr>
      </w:pPr>
      <w:r>
        <w:rPr>
          <w:rFonts w:ascii="標楷體" w:eastAsia="標楷體" w:hAnsi="標楷體"/>
          <w:szCs w:val="24"/>
        </w:rPr>
        <w:t>(3)不可合併使用化學藥物或其他標靶藥物。</w:t>
      </w:r>
    </w:p>
    <w:p w:rsidR="00B96EA0" w:rsidRDefault="007D66B8" w:rsidP="005142EB">
      <w:pPr>
        <w:spacing w:line="400" w:lineRule="exact"/>
        <w:ind w:left="1116" w:hanging="396"/>
        <w:rPr>
          <w:rFonts w:ascii="標楷體" w:eastAsia="標楷體" w:hAnsi="標楷體"/>
          <w:szCs w:val="24"/>
        </w:rPr>
      </w:pPr>
      <w:r>
        <w:rPr>
          <w:rFonts w:ascii="標楷體" w:eastAsia="標楷體" w:hAnsi="標楷體"/>
          <w:szCs w:val="24"/>
        </w:rPr>
        <w:t>(4)除因病人使用本品後，發生嚴重不良反應或耐受不良之情形外，本品與sunitinib不得轉換使用。</w:t>
      </w:r>
    </w:p>
    <w:p w:rsidR="00B96EA0" w:rsidRDefault="007D66B8" w:rsidP="005142EB">
      <w:pPr>
        <w:spacing w:line="400" w:lineRule="exact"/>
        <w:ind w:left="991" w:hanging="425"/>
      </w:pPr>
      <w:r>
        <w:rPr>
          <w:rFonts w:ascii="標楷體" w:eastAsia="標楷體" w:hAnsi="標楷體"/>
          <w:szCs w:val="24"/>
        </w:rPr>
        <w:t>3.</w:t>
      </w:r>
      <w:r>
        <w:t xml:space="preserve"> </w:t>
      </w:r>
      <w:r>
        <w:rPr>
          <w:rFonts w:ascii="標楷體" w:eastAsia="標楷體" w:hAnsi="標楷體"/>
          <w:szCs w:val="24"/>
        </w:rPr>
        <w:t>使用於無法切除、局部晚期或轉移之胃腸道或肺部來源之非功能性神經內分泌腫瘤成人病患，需同時符合下列條件：（108/10/1）</w:t>
      </w:r>
    </w:p>
    <w:p w:rsidR="00B96EA0" w:rsidRDefault="007D66B8" w:rsidP="005142EB">
      <w:pPr>
        <w:spacing w:line="400" w:lineRule="exact"/>
        <w:ind w:left="708"/>
        <w:rPr>
          <w:rFonts w:ascii="標楷體" w:eastAsia="標楷體" w:hAnsi="標楷體"/>
          <w:szCs w:val="24"/>
        </w:rPr>
      </w:pPr>
      <w:r>
        <w:rPr>
          <w:rFonts w:ascii="標楷體" w:eastAsia="標楷體" w:hAnsi="標楷體"/>
          <w:szCs w:val="24"/>
        </w:rPr>
        <w:t>(1)腫瘤分化程度為良好者。</w:t>
      </w:r>
    </w:p>
    <w:p w:rsidR="00B96EA0" w:rsidRDefault="007D66B8" w:rsidP="005142EB">
      <w:pPr>
        <w:spacing w:line="400" w:lineRule="exact"/>
        <w:ind w:left="708"/>
        <w:rPr>
          <w:rFonts w:ascii="標楷體" w:eastAsia="標楷體" w:hAnsi="標楷體"/>
          <w:szCs w:val="24"/>
        </w:rPr>
      </w:pPr>
      <w:r>
        <w:rPr>
          <w:rFonts w:ascii="標楷體" w:eastAsia="標楷體" w:hAnsi="標楷體"/>
          <w:szCs w:val="24"/>
        </w:rPr>
        <w:t>(2)為進展性腫瘤，即過去12個月影像檢查為持續惡化者（RECIST定義為疾病惡化者）。</w:t>
      </w:r>
    </w:p>
    <w:p w:rsidR="00B96EA0" w:rsidRDefault="007D66B8" w:rsidP="005142EB">
      <w:pPr>
        <w:spacing w:line="400" w:lineRule="exact"/>
        <w:ind w:left="708"/>
        <w:rPr>
          <w:rFonts w:ascii="標楷體" w:eastAsia="標楷體" w:hAnsi="標楷體"/>
          <w:szCs w:val="24"/>
        </w:rPr>
      </w:pPr>
      <w:r>
        <w:rPr>
          <w:rFonts w:ascii="標楷體" w:eastAsia="標楷體" w:hAnsi="標楷體"/>
          <w:szCs w:val="24"/>
        </w:rPr>
        <w:t>(3)不可合併使用化學藥物或其他標靶藥物。</w:t>
      </w:r>
    </w:p>
    <w:p w:rsidR="00B96EA0" w:rsidRDefault="007D66B8" w:rsidP="005142EB">
      <w:pPr>
        <w:spacing w:line="400" w:lineRule="exact"/>
        <w:ind w:left="837" w:hanging="271"/>
        <w:rPr>
          <w:rFonts w:ascii="標楷體" w:eastAsia="標楷體" w:hAnsi="標楷體"/>
          <w:szCs w:val="24"/>
        </w:rPr>
      </w:pPr>
      <w:r>
        <w:rPr>
          <w:rFonts w:ascii="標楷體" w:eastAsia="標楷體" w:hAnsi="標楷體"/>
          <w:szCs w:val="24"/>
        </w:rPr>
        <w:t xml:space="preserve">4.與exemestane併用，作為先前已使用過非類固醇類之芳香環酶抑制劑治療無效，而未曾使用exemestane之荷爾蒙接受體陽性、HER2受體陰性且尚未出現器官轉移危急症狀 (visceral crisis)之轉移性乳癌病人的治療，且使用本品無效後，不得申請 CDK4/6 抑制劑藥品（104/9/1、109/4/1） </w:t>
      </w:r>
    </w:p>
    <w:p w:rsidR="00B96EA0" w:rsidRDefault="007D66B8" w:rsidP="005142EB">
      <w:pPr>
        <w:spacing w:line="400" w:lineRule="exact"/>
        <w:ind w:left="811" w:hanging="245"/>
        <w:rPr>
          <w:rFonts w:ascii="標楷體" w:eastAsia="標楷體" w:hAnsi="標楷體"/>
          <w:szCs w:val="24"/>
        </w:rPr>
      </w:pPr>
      <w:r>
        <w:rPr>
          <w:rFonts w:ascii="標楷體" w:eastAsia="標楷體" w:hAnsi="標楷體"/>
          <w:szCs w:val="24"/>
        </w:rPr>
        <w:t>5.除晚期腎細胞癌之外，其他疾病需經事前審查核准後使用，每次申請之療程以3個月為限。初次申請時需檢送病理報告及影像報告，之後每3個月申請一次，再次申請時需檢附影像資料及前次治療結果評估資料證實無惡化，才可繼續使用。(104/12/1、108/10/1)</w:t>
      </w:r>
    </w:p>
    <w:p w:rsidR="00B96EA0" w:rsidRDefault="007D66B8" w:rsidP="005142EB">
      <w:pPr>
        <w:spacing w:line="400" w:lineRule="exact"/>
        <w:ind w:left="811" w:hanging="245"/>
      </w:pPr>
      <w:r>
        <w:rPr>
          <w:rFonts w:ascii="標楷體" w:eastAsia="標楷體" w:hAnsi="標楷體"/>
          <w:szCs w:val="24"/>
        </w:rPr>
        <w:t>6.</w:t>
      </w:r>
      <w:r>
        <w:t xml:space="preserve"> </w:t>
      </w:r>
      <w:r>
        <w:rPr>
          <w:rFonts w:ascii="標楷體" w:eastAsia="標楷體" w:hAnsi="標楷體"/>
          <w:szCs w:val="24"/>
        </w:rPr>
        <w:t>限每日最大劑量為10mg。（108/10/1）</w:t>
      </w:r>
    </w:p>
    <w:p w:rsidR="00B96EA0" w:rsidRDefault="007D66B8" w:rsidP="005142EB">
      <w:pPr>
        <w:spacing w:line="400" w:lineRule="exact"/>
        <w:ind w:left="672" w:hanging="386"/>
        <w:rPr>
          <w:rFonts w:ascii="標楷體" w:eastAsia="標楷體" w:hAnsi="標楷體"/>
          <w:szCs w:val="24"/>
        </w:rPr>
      </w:pPr>
      <w:r>
        <w:rPr>
          <w:rFonts w:ascii="標楷體" w:eastAsia="標楷體" w:hAnsi="標楷體"/>
          <w:szCs w:val="24"/>
        </w:rPr>
        <w:t>9.36.2.Everolimus 2.5mg及5mg(如Votubia)：（102/1/1、106/4/1、111/2/1）</w:t>
      </w:r>
    </w:p>
    <w:p w:rsidR="00B96EA0" w:rsidRDefault="007D66B8" w:rsidP="005142EB">
      <w:pPr>
        <w:spacing w:line="400" w:lineRule="exact"/>
        <w:ind w:left="811" w:hanging="245"/>
        <w:rPr>
          <w:rFonts w:ascii="標楷體" w:eastAsia="標楷體" w:hAnsi="標楷體"/>
          <w:szCs w:val="24"/>
        </w:rPr>
      </w:pPr>
      <w:r>
        <w:rPr>
          <w:rFonts w:ascii="標楷體" w:eastAsia="標楷體" w:hAnsi="標楷體"/>
          <w:szCs w:val="24"/>
        </w:rPr>
        <w:t>1.治療患有結節性硬化症(tuberous sclerosis)之腦室管膜下巨細胞星狀瘤(SEGA: subependymal giant cell astrocytoma)：</w:t>
      </w:r>
    </w:p>
    <w:p w:rsidR="00B96EA0" w:rsidRDefault="007D66B8" w:rsidP="005142EB">
      <w:pPr>
        <w:spacing w:line="400" w:lineRule="exact"/>
        <w:ind w:left="1133" w:hanging="425"/>
        <w:rPr>
          <w:rFonts w:ascii="標楷體" w:eastAsia="標楷體" w:hAnsi="標楷體"/>
          <w:szCs w:val="24"/>
        </w:rPr>
      </w:pPr>
      <w:r>
        <w:rPr>
          <w:rFonts w:ascii="標楷體" w:eastAsia="標楷體" w:hAnsi="標楷體"/>
          <w:szCs w:val="24"/>
        </w:rPr>
        <w:t>(1)限併有水腦症狀或其他顯著神經學症狀，且經神經外科專科醫師評估不適合接受</w:t>
      </w:r>
      <w:r>
        <w:rPr>
          <w:rFonts w:ascii="標楷體" w:eastAsia="標楷體" w:hAnsi="標楷體"/>
          <w:szCs w:val="24"/>
        </w:rPr>
        <w:lastRenderedPageBreak/>
        <w:t>或無法以外科切除手術的患者使用。</w:t>
      </w:r>
    </w:p>
    <w:p w:rsidR="00B96EA0" w:rsidRDefault="007D66B8" w:rsidP="005142EB">
      <w:pPr>
        <w:spacing w:line="400" w:lineRule="exact"/>
        <w:ind w:left="1133" w:hanging="425"/>
        <w:rPr>
          <w:rFonts w:ascii="標楷體" w:eastAsia="標楷體" w:hAnsi="標楷體"/>
          <w:szCs w:val="24"/>
        </w:rPr>
      </w:pPr>
      <w:r>
        <w:rPr>
          <w:rFonts w:ascii="標楷體" w:eastAsia="標楷體" w:hAnsi="標楷體"/>
          <w:szCs w:val="24"/>
        </w:rPr>
        <w:t>(2)需經事前審查核准後使用，每次申請之療程以6個月為限，申請時需檢送影像檢查資料。</w:t>
      </w:r>
    </w:p>
    <w:p w:rsidR="00B96EA0" w:rsidRDefault="007D66B8" w:rsidP="005142EB">
      <w:pPr>
        <w:spacing w:line="400" w:lineRule="exact"/>
        <w:ind w:left="1133" w:hanging="425"/>
        <w:rPr>
          <w:rFonts w:ascii="標楷體" w:eastAsia="標楷體" w:hAnsi="標楷體"/>
          <w:szCs w:val="24"/>
        </w:rPr>
      </w:pPr>
      <w:r>
        <w:rPr>
          <w:rFonts w:ascii="標楷體" w:eastAsia="標楷體" w:hAnsi="標楷體"/>
          <w:szCs w:val="24"/>
        </w:rPr>
        <w:t>(3)申請續用時，除需檢送治療前後之影像資料，且再經神經外科專科醫師評估，其仍不適合接受或無法以外科切除手術者，始得續用。</w:t>
      </w:r>
    </w:p>
    <w:p w:rsidR="00B96EA0" w:rsidRDefault="007D66B8" w:rsidP="005142EB">
      <w:pPr>
        <w:spacing w:line="400" w:lineRule="exact"/>
        <w:ind w:left="1133" w:hanging="425"/>
        <w:rPr>
          <w:rFonts w:ascii="標楷體" w:eastAsia="標楷體" w:hAnsi="標楷體"/>
          <w:szCs w:val="24"/>
        </w:rPr>
      </w:pPr>
      <w:r>
        <w:rPr>
          <w:rFonts w:ascii="標楷體" w:eastAsia="標楷體" w:hAnsi="標楷體"/>
          <w:szCs w:val="24"/>
        </w:rPr>
        <w:t>(4)用藥後，若病情無法持續改善或疾病已惡化，則不予同意使用。</w:t>
      </w:r>
    </w:p>
    <w:p w:rsidR="00B96EA0" w:rsidRDefault="007D66B8" w:rsidP="005142EB">
      <w:pPr>
        <w:spacing w:line="400" w:lineRule="exact"/>
        <w:ind w:left="809" w:hanging="245"/>
        <w:rPr>
          <w:rFonts w:ascii="標楷體" w:eastAsia="標楷體" w:hAnsi="標楷體"/>
          <w:szCs w:val="24"/>
        </w:rPr>
      </w:pPr>
      <w:r>
        <w:rPr>
          <w:rFonts w:ascii="標楷體" w:eastAsia="標楷體" w:hAnsi="標楷體"/>
          <w:szCs w:val="24"/>
        </w:rPr>
        <w:t>2.結節性硬化症併有腎血管肌脂肪瘤之成年病患，且需符合以下條件(106/4/1、111/2/1)：</w:t>
      </w:r>
    </w:p>
    <w:p w:rsidR="00B96EA0" w:rsidRDefault="007D66B8" w:rsidP="005142EB">
      <w:pPr>
        <w:spacing w:line="400" w:lineRule="exact"/>
        <w:ind w:left="1133" w:hanging="425"/>
      </w:pPr>
      <w:r>
        <w:rPr>
          <w:rFonts w:ascii="標楷體" w:eastAsia="標楷體" w:hAnsi="標楷體"/>
          <w:szCs w:val="24"/>
        </w:rPr>
        <w:t>(1)</w:t>
      </w:r>
      <w:r>
        <w:t xml:space="preserve"> </w:t>
      </w:r>
      <w:r>
        <w:rPr>
          <w:rFonts w:ascii="標楷體" w:eastAsia="標楷體" w:hAnsi="標楷體"/>
          <w:szCs w:val="24"/>
        </w:rPr>
        <w:t>限18歲以上病人，其腎血管肌脂肪瘤最長直徑已達4cm(含)以上且仍有持續進展之證據，且曾有發生臨床上有意義之出血或確認病灶有血管瘤(aneurysm)直徑</w:t>
      </w:r>
      <w:r>
        <w:rPr>
          <w:rFonts w:ascii="Times New Roman" w:eastAsia="標楷體" w:hAnsi="Times New Roman"/>
          <w:szCs w:val="24"/>
        </w:rPr>
        <w:t>≥</w:t>
      </w:r>
      <w:r>
        <w:rPr>
          <w:rFonts w:ascii="標楷體" w:eastAsia="標楷體" w:hAnsi="標楷體"/>
          <w:szCs w:val="24"/>
        </w:rPr>
        <w:t>5mm者，病灶不只一處，且經腎臟或泌尿專科醫師評估無法以外科手術或動脈栓塞治療，或經動脈栓塞治療或外科手術後無效或復發者(111/2/1)。</w:t>
      </w:r>
    </w:p>
    <w:p w:rsidR="00B96EA0" w:rsidRDefault="007D66B8" w:rsidP="005142EB">
      <w:pPr>
        <w:spacing w:line="400" w:lineRule="exact"/>
        <w:ind w:left="1133" w:hanging="425"/>
        <w:rPr>
          <w:rFonts w:ascii="標楷體" w:eastAsia="標楷體" w:hAnsi="標楷體"/>
          <w:szCs w:val="24"/>
        </w:rPr>
      </w:pPr>
      <w:r>
        <w:rPr>
          <w:rFonts w:ascii="標楷體" w:eastAsia="標楷體" w:hAnsi="標楷體"/>
          <w:szCs w:val="24"/>
        </w:rPr>
        <w:t>(2)需經事前審查核准後使用，每次申請之療程以6個月為限，申請時需檢送影像檢查(CT或MRI)資料。</w:t>
      </w:r>
    </w:p>
    <w:p w:rsidR="00B96EA0" w:rsidRDefault="007D66B8" w:rsidP="005142EB">
      <w:pPr>
        <w:spacing w:line="400" w:lineRule="exact"/>
        <w:ind w:left="1133" w:hanging="425"/>
        <w:rPr>
          <w:rFonts w:ascii="標楷體" w:eastAsia="標楷體" w:hAnsi="標楷體"/>
          <w:szCs w:val="24"/>
        </w:rPr>
      </w:pPr>
      <w:r>
        <w:rPr>
          <w:rFonts w:ascii="標楷體" w:eastAsia="標楷體" w:hAnsi="標楷體"/>
          <w:szCs w:val="24"/>
        </w:rPr>
        <w:t>(3)使用後需每24週評估一次，申請續用時，除檢送治療前之影像資料，需檢送治療後(第24週、48週、72週…等)之影像檢查資料，若腫瘤總體積較治療前降低30%(含)以上，且無新增直徑1公分以上的腫瘤或grade2(含)以上腫瘤出血併發症，始得申請續用。(註：腫瘤出血併發症分級(grading)定義依Common Terminology Criteria for Adverse Events(CTCAE), version4.0.)</w:t>
      </w:r>
    </w:p>
    <w:p w:rsidR="00B96EA0" w:rsidRDefault="007D66B8" w:rsidP="005142EB">
      <w:pPr>
        <w:spacing w:line="400" w:lineRule="exact"/>
        <w:ind w:left="1133" w:hanging="425"/>
      </w:pPr>
      <w:r>
        <w:rPr>
          <w:rFonts w:ascii="標楷體" w:eastAsia="標楷體" w:hAnsi="標楷體"/>
          <w:szCs w:val="24"/>
        </w:rPr>
        <w:t>(4)限每日最大劑量為10mg。</w:t>
      </w:r>
    </w:p>
    <w:p w:rsidR="0011658A" w:rsidRPr="00417740" w:rsidRDefault="0011658A" w:rsidP="0011658A">
      <w:pPr>
        <w:spacing w:line="400" w:lineRule="exact"/>
        <w:ind w:left="824" w:hanging="567"/>
        <w:rPr>
          <w:rFonts w:ascii="標楷體" w:eastAsia="標楷體" w:hAnsi="標楷體"/>
        </w:rPr>
      </w:pPr>
      <w:bookmarkStart w:id="8" w:name="_Hlk209192660"/>
      <w:r w:rsidRPr="00417740">
        <w:rPr>
          <w:rFonts w:ascii="標楷體" w:eastAsia="標楷體" w:hAnsi="標楷體"/>
          <w:color w:val="000000"/>
        </w:rPr>
        <w:t>9.37.</w:t>
      </w:r>
      <w:r w:rsidRPr="00417740">
        <w:rPr>
          <w:rFonts w:ascii="標楷體" w:eastAsia="標楷體" w:hAnsi="標楷體"/>
        </w:rPr>
        <w:t xml:space="preserve"> </w:t>
      </w:r>
      <w:r w:rsidRPr="00417740">
        <w:rPr>
          <w:rFonts w:ascii="標楷體" w:eastAsia="標楷體" w:hAnsi="標楷體"/>
          <w:color w:val="000000"/>
        </w:rPr>
        <w:t>Bevacizumab(如Avastin)：（100/6/1、101/05/1、106/4/1、108/3/1、109/6/1、112/8/1、113/3/1、113/6/1、113/9/1、114/3/1、114/6/1</w:t>
      </w:r>
      <w:r w:rsidRPr="00417740">
        <w:rPr>
          <w:rFonts w:ascii="標楷體" w:eastAsia="標楷體" w:hAnsi="標楷體" w:hint="eastAsia"/>
          <w:color w:val="000000"/>
        </w:rPr>
        <w:t>、114/8/1</w:t>
      </w:r>
      <w:r>
        <w:rPr>
          <w:rFonts w:ascii="標楷體" w:eastAsia="標楷體" w:hAnsi="標楷體" w:hint="eastAsia"/>
          <w:color w:val="000000"/>
        </w:rPr>
        <w:t>、114/10/1</w:t>
      </w:r>
      <w:r w:rsidRPr="00417740">
        <w:rPr>
          <w:rFonts w:ascii="標楷體" w:eastAsia="標楷體" w:hAnsi="標楷體"/>
          <w:color w:val="000000"/>
        </w:rPr>
        <w:t>)</w:t>
      </w:r>
    </w:p>
    <w:p w:rsidR="0011658A" w:rsidRPr="00417740" w:rsidRDefault="0011658A" w:rsidP="0011658A">
      <w:pPr>
        <w:spacing w:line="400" w:lineRule="exact"/>
        <w:ind w:left="709" w:hanging="245"/>
        <w:rPr>
          <w:rFonts w:ascii="標楷體" w:eastAsia="標楷體" w:hAnsi="標楷體"/>
          <w:color w:val="000000"/>
        </w:rPr>
      </w:pPr>
      <w:r w:rsidRPr="00417740">
        <w:rPr>
          <w:rFonts w:ascii="標楷體" w:eastAsia="標楷體" w:hAnsi="標楷體"/>
          <w:color w:val="000000"/>
        </w:rPr>
        <w:t>1.轉移性大腸或直腸癌：</w:t>
      </w:r>
    </w:p>
    <w:p w:rsidR="0011658A" w:rsidRPr="00417740" w:rsidRDefault="0011658A" w:rsidP="0011658A">
      <w:pPr>
        <w:spacing w:line="400" w:lineRule="exact"/>
        <w:ind w:left="1134" w:hanging="425"/>
        <w:rPr>
          <w:rFonts w:ascii="標楷體" w:eastAsia="標楷體" w:hAnsi="標楷體"/>
          <w:color w:val="000000"/>
        </w:rPr>
      </w:pPr>
      <w:r w:rsidRPr="00417740">
        <w:rPr>
          <w:rFonts w:ascii="標楷體" w:eastAsia="標楷體" w:hAnsi="標楷體"/>
          <w:color w:val="000000"/>
        </w:rPr>
        <w:t>(1)Bevacizumab與FOLFIRI（Folinicacid/5-fluorouracil/irinotecan）或FOLFOX（Folinicacid/5-fluorouracil/oxaliplatin）或5-fluorouracil/leucovorin的化學療法合併使用，作為轉移性大腸或直腸癌患者的第一線治療。(108/3/1)</w:t>
      </w:r>
    </w:p>
    <w:p w:rsidR="0011658A" w:rsidRPr="00417740" w:rsidRDefault="0011658A" w:rsidP="0011658A">
      <w:pPr>
        <w:spacing w:line="400" w:lineRule="exact"/>
        <w:ind w:left="1654" w:hanging="336"/>
        <w:rPr>
          <w:rFonts w:ascii="標楷體" w:eastAsia="標楷體" w:hAnsi="標楷體"/>
          <w:color w:val="000000"/>
        </w:rPr>
      </w:pPr>
      <w:r w:rsidRPr="00417740">
        <w:rPr>
          <w:rFonts w:ascii="標楷體" w:eastAsia="標楷體" w:hAnsi="標楷體"/>
          <w:color w:val="000000"/>
        </w:rPr>
        <w:t>Ⅰ.使用總療程以36週為上限(106/4/1)。</w:t>
      </w:r>
    </w:p>
    <w:p w:rsidR="0011658A" w:rsidRPr="00417740" w:rsidRDefault="0011658A" w:rsidP="0011658A">
      <w:pPr>
        <w:spacing w:line="400" w:lineRule="exact"/>
        <w:ind w:left="1654" w:hanging="336"/>
        <w:rPr>
          <w:rFonts w:ascii="標楷體" w:eastAsia="標楷體" w:hAnsi="標楷體"/>
          <w:color w:val="000000"/>
        </w:rPr>
      </w:pPr>
      <w:r w:rsidRPr="00417740">
        <w:rPr>
          <w:rFonts w:ascii="標楷體" w:eastAsia="標楷體" w:hAnsi="標楷體"/>
          <w:color w:val="000000"/>
        </w:rPr>
        <w:t>Ⅱ.須經事前審查核准後使用，每次申請事前審查之療程以18週為限，再次申請必須提出客觀證據（如：影像學）證實無惡化，才可繼續使用。(106/4/1)</w:t>
      </w:r>
    </w:p>
    <w:p w:rsidR="0011658A" w:rsidRPr="00417740" w:rsidRDefault="0011658A" w:rsidP="0011658A">
      <w:pPr>
        <w:spacing w:line="400" w:lineRule="exact"/>
        <w:ind w:left="1654" w:hanging="336"/>
        <w:rPr>
          <w:rFonts w:ascii="標楷體" w:eastAsia="標楷體" w:hAnsi="標楷體"/>
          <w:color w:val="000000"/>
        </w:rPr>
      </w:pPr>
      <w:r w:rsidRPr="00417740">
        <w:rPr>
          <w:rFonts w:ascii="標楷體" w:eastAsia="標楷體" w:hAnsi="標楷體"/>
          <w:color w:val="000000"/>
        </w:rPr>
        <w:t>Ⅲ.本藥品不得與cetuximab、panitumumab併用。(108/3/1、113/3/1)</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(2)Bevacizumab(除Zirabev及Abevmy以外)與含有5-fluorouracil/leucovorin/oxaliplatin的化學療法合併使用，作為先前接受過以 fluoropyrimidine為基礎的化學療法併用cetuximab或panitumumab無效且未曾接受過bevacizumab治療，RAS基因沒有突變的轉移性大腸或直腸癌病人的第二線治療。(114/3/1)</w:t>
      </w:r>
    </w:p>
    <w:p w:rsidR="0011658A" w:rsidRPr="00417740" w:rsidRDefault="0011658A" w:rsidP="0011658A">
      <w:pPr>
        <w:spacing w:line="400" w:lineRule="exact"/>
        <w:ind w:left="1654" w:hanging="336"/>
        <w:rPr>
          <w:rFonts w:ascii="標楷體" w:eastAsia="標楷體" w:hAnsi="標楷體"/>
          <w:color w:val="000000"/>
        </w:rPr>
      </w:pPr>
      <w:r w:rsidRPr="00417740">
        <w:rPr>
          <w:rFonts w:ascii="標楷體" w:eastAsia="標楷體" w:hAnsi="標楷體"/>
          <w:color w:val="000000"/>
        </w:rPr>
        <w:t>Ⅰ.需檢附依全民健康保險醫療服務給付項目及支付標準伴隨式診斷編號30104B</w:t>
      </w:r>
      <w:r w:rsidRPr="00417740">
        <w:rPr>
          <w:rFonts w:ascii="標楷體" w:eastAsia="標楷體" w:hAnsi="標楷體"/>
          <w:color w:val="000000"/>
        </w:rPr>
        <w:lastRenderedPageBreak/>
        <w:t>規定之認證實驗室檢驗之All-RAS基因突變分析檢測報告。</w:t>
      </w:r>
    </w:p>
    <w:p w:rsidR="0011658A" w:rsidRPr="00417740" w:rsidRDefault="0011658A" w:rsidP="0011658A">
      <w:pPr>
        <w:spacing w:line="400" w:lineRule="exact"/>
        <w:ind w:left="1654" w:hanging="336"/>
        <w:rPr>
          <w:rFonts w:ascii="標楷體" w:eastAsia="標楷體" w:hAnsi="標楷體"/>
          <w:color w:val="000000"/>
        </w:rPr>
      </w:pPr>
      <w:r w:rsidRPr="00417740">
        <w:rPr>
          <w:rFonts w:ascii="標楷體" w:eastAsia="標楷體" w:hAnsi="標楷體"/>
          <w:color w:val="000000"/>
        </w:rPr>
        <w:t>Ⅱ.使用總療程以24週為上限。</w:t>
      </w:r>
    </w:p>
    <w:p w:rsidR="0011658A" w:rsidRPr="00417740" w:rsidRDefault="0011658A" w:rsidP="0011658A">
      <w:pPr>
        <w:spacing w:line="400" w:lineRule="exact"/>
        <w:ind w:left="1843" w:hanging="499"/>
        <w:rPr>
          <w:rFonts w:ascii="標楷體" w:eastAsia="標楷體" w:hAnsi="標楷體"/>
          <w:color w:val="000000"/>
        </w:rPr>
      </w:pPr>
      <w:r w:rsidRPr="00417740">
        <w:rPr>
          <w:rFonts w:ascii="標楷體" w:eastAsia="標楷體" w:hAnsi="標楷體"/>
          <w:color w:val="000000"/>
        </w:rPr>
        <w:t>Ⅲ.須經事前審查核准後使用，每次申請事前審查之療程以12週為限，再次申請必須提出客觀證據（如：RECIST criteria）證實無惡化，才可繼續使用。</w:t>
      </w:r>
    </w:p>
    <w:p w:rsidR="0011658A" w:rsidRPr="00417740" w:rsidRDefault="0011658A" w:rsidP="0011658A">
      <w:pPr>
        <w:spacing w:line="400" w:lineRule="exact"/>
        <w:ind w:left="1800" w:hanging="360"/>
        <w:rPr>
          <w:rFonts w:ascii="標楷體" w:eastAsia="標楷體" w:hAnsi="標楷體"/>
          <w:color w:val="000000"/>
        </w:rPr>
      </w:pPr>
      <w:r w:rsidRPr="00417740">
        <w:rPr>
          <w:rFonts w:ascii="標楷體" w:eastAsia="標楷體" w:hAnsi="標楷體"/>
          <w:color w:val="000000"/>
        </w:rPr>
        <w:t>Ⅳ.使用劑量：限5mg/kg，每兩週一次。</w:t>
      </w:r>
    </w:p>
    <w:p w:rsidR="0011658A" w:rsidRPr="00417740" w:rsidRDefault="0011658A" w:rsidP="0011658A">
      <w:pPr>
        <w:spacing w:line="400" w:lineRule="exact"/>
        <w:ind w:left="709" w:hanging="245"/>
        <w:rPr>
          <w:rFonts w:ascii="標楷體" w:eastAsia="標楷體" w:hAnsi="標楷體"/>
          <w:color w:val="000000"/>
        </w:rPr>
      </w:pPr>
      <w:r w:rsidRPr="00417740">
        <w:rPr>
          <w:rFonts w:ascii="標楷體" w:eastAsia="標楷體" w:hAnsi="標楷體"/>
          <w:color w:val="000000"/>
        </w:rPr>
        <w:t>2.惡性神經膠質瘤(WHO第4級)-神經膠母細胞瘤：</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(1)單獨使用可用於治療曾接受標準放射線治療且含temozolomide在內之化學藥物治療失敗之多型性神經膠母細胞瘤(Glioblastoma multiforme)復發之成人患者。(101/05/1)</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(2)須經事前審查核准後使用，每次申請事前審查之療程以12週為限，再次申請必須提出客觀證據（如：影像學）證實無惡化，才可繼續使用。</w:t>
      </w:r>
    </w:p>
    <w:p w:rsidR="0011658A" w:rsidRPr="00417740" w:rsidRDefault="0011658A" w:rsidP="0011658A">
      <w:pPr>
        <w:spacing w:line="400" w:lineRule="exact"/>
        <w:ind w:left="709" w:hanging="245"/>
        <w:rPr>
          <w:rFonts w:ascii="標楷體" w:eastAsia="標楷體" w:hAnsi="標楷體"/>
          <w:color w:val="000000"/>
        </w:rPr>
      </w:pPr>
      <w:r w:rsidRPr="00417740">
        <w:rPr>
          <w:rFonts w:ascii="標楷體" w:eastAsia="標楷體" w:hAnsi="標楷體"/>
          <w:color w:val="000000"/>
        </w:rPr>
        <w:t>3.卵巢上皮細胞、輸卵管或原發性腹膜癌：(109/6/1、113/3/1、113/9/1、114/3/1、114/6/1</w:t>
      </w:r>
      <w:r w:rsidRPr="00417740">
        <w:rPr>
          <w:rFonts w:ascii="標楷體" w:eastAsia="標楷體" w:hAnsi="標楷體" w:hint="eastAsia"/>
          <w:color w:val="000000"/>
        </w:rPr>
        <w:t>、114/8/1</w:t>
      </w:r>
      <w:r>
        <w:rPr>
          <w:rFonts w:ascii="標楷體" w:eastAsia="標楷體" w:hAnsi="標楷體" w:hint="eastAsia"/>
          <w:color w:val="000000"/>
        </w:rPr>
        <w:t>、114/10/1</w:t>
      </w:r>
      <w:r w:rsidRPr="00417740">
        <w:rPr>
          <w:rFonts w:ascii="標楷體" w:eastAsia="標楷體" w:hAnsi="標楷體"/>
          <w:color w:val="000000"/>
        </w:rPr>
        <w:t>)</w:t>
      </w:r>
    </w:p>
    <w:p w:rsidR="0011658A" w:rsidRPr="00417740" w:rsidRDefault="0011658A" w:rsidP="0011658A">
      <w:pPr>
        <w:spacing w:line="400" w:lineRule="exact"/>
        <w:ind w:left="1133" w:hanging="425"/>
        <w:rPr>
          <w:rFonts w:ascii="標楷體" w:eastAsia="標楷體" w:hAnsi="標楷體"/>
        </w:rPr>
      </w:pPr>
      <w:r w:rsidRPr="00417740">
        <w:rPr>
          <w:rFonts w:ascii="標楷體" w:eastAsia="標楷體" w:hAnsi="標楷體"/>
          <w:color w:val="000000"/>
        </w:rPr>
        <w:t>(1)</w:t>
      </w:r>
      <w:r w:rsidRPr="00417740">
        <w:rPr>
          <w:rFonts w:ascii="標楷體" w:eastAsia="標楷體" w:hAnsi="標楷體"/>
        </w:rPr>
        <w:t xml:space="preserve"> </w:t>
      </w:r>
      <w:r w:rsidRPr="00417740">
        <w:rPr>
          <w:rFonts w:ascii="標楷體" w:eastAsia="標楷體" w:hAnsi="標楷體"/>
          <w:color w:val="000000"/>
        </w:rPr>
        <w:t>Bevacizumab（除Zirabev以外）與carboplatin 及paclitaxel合併使用，接著單獨使用bevacizumab（除Zirabev以外）治療，作為第四期卵巢上皮細胞、輸卵管或原發性腹膜癌病人接受初次手術切除後之第一線治療之維持治療。(113/3/1、113/9/1、114/3/1、114/4/1、114/6/1</w:t>
      </w:r>
      <w:r>
        <w:rPr>
          <w:rFonts w:ascii="標楷體" w:eastAsia="標楷體" w:hAnsi="標楷體" w:hint="eastAsia"/>
          <w:color w:val="000000"/>
        </w:rPr>
        <w:t>、114/10/1</w:t>
      </w:r>
      <w:r w:rsidRPr="00417740">
        <w:rPr>
          <w:rFonts w:ascii="標楷體" w:eastAsia="標楷體" w:hAnsi="標楷體"/>
          <w:color w:val="000000"/>
        </w:rPr>
        <w:t>)</w:t>
      </w:r>
    </w:p>
    <w:p w:rsidR="0011658A" w:rsidRPr="00417740" w:rsidRDefault="0011658A" w:rsidP="0011658A">
      <w:pPr>
        <w:spacing w:line="400" w:lineRule="exact"/>
        <w:ind w:left="1800" w:hanging="360"/>
        <w:rPr>
          <w:rFonts w:ascii="標楷體" w:eastAsia="標楷體" w:hAnsi="標楷體"/>
          <w:color w:val="000000"/>
        </w:rPr>
      </w:pPr>
      <w:r w:rsidRPr="00417740">
        <w:rPr>
          <w:rFonts w:ascii="標楷體" w:eastAsia="標楷體" w:hAnsi="標楷體"/>
          <w:color w:val="000000"/>
        </w:rPr>
        <w:t>Ⅰ.初次申請為手術後一個月後起與化學治療併用5個療程。</w:t>
      </w:r>
    </w:p>
    <w:p w:rsidR="0011658A" w:rsidRPr="00417740" w:rsidRDefault="0011658A" w:rsidP="0011658A">
      <w:pPr>
        <w:spacing w:line="400" w:lineRule="exact"/>
        <w:ind w:left="1800" w:hanging="360"/>
        <w:rPr>
          <w:rFonts w:ascii="標楷體" w:eastAsia="標楷體" w:hAnsi="標楷體"/>
          <w:color w:val="000000"/>
        </w:rPr>
      </w:pPr>
      <w:r w:rsidRPr="00417740">
        <w:rPr>
          <w:rFonts w:ascii="標楷體" w:eastAsia="標楷體" w:hAnsi="標楷體"/>
          <w:color w:val="000000"/>
        </w:rPr>
        <w:t>Ⅱ.第二次申請時為接續單獨使用bevacizumab維持性治療9個療程。</w:t>
      </w:r>
    </w:p>
    <w:p w:rsidR="0011658A" w:rsidRPr="00417740" w:rsidRDefault="0011658A" w:rsidP="0011658A">
      <w:pPr>
        <w:spacing w:line="400" w:lineRule="exact"/>
        <w:ind w:left="1800" w:hanging="360"/>
        <w:rPr>
          <w:rFonts w:ascii="標楷體" w:eastAsia="標楷體" w:hAnsi="標楷體"/>
          <w:color w:val="000000"/>
        </w:rPr>
      </w:pPr>
      <w:r w:rsidRPr="00417740">
        <w:rPr>
          <w:rFonts w:ascii="標楷體" w:eastAsia="標楷體" w:hAnsi="標楷體"/>
          <w:color w:val="000000"/>
        </w:rPr>
        <w:t>Ⅲ.第三次申請時為接續單獨使用bevacizumab維持性治療8個療程。</w:t>
      </w:r>
    </w:p>
    <w:p w:rsidR="0011658A" w:rsidRPr="00417740" w:rsidRDefault="0011658A" w:rsidP="0011658A">
      <w:pPr>
        <w:spacing w:line="400" w:lineRule="exact"/>
        <w:ind w:left="1800" w:hanging="360"/>
        <w:rPr>
          <w:rFonts w:ascii="標楷體" w:eastAsia="標楷體" w:hAnsi="標楷體"/>
          <w:color w:val="000000"/>
        </w:rPr>
      </w:pPr>
      <w:r w:rsidRPr="00417740">
        <w:rPr>
          <w:rFonts w:ascii="標楷體" w:eastAsia="標楷體" w:hAnsi="標楷體"/>
          <w:color w:val="000000"/>
        </w:rPr>
        <w:t>Ⅳ.每人以總共給付22個療程為上限。若病情惡化或停藥後再復發即不得再次申請。</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(2)Bevacizumab與carboplatin 及paclitaxel合併使用，作為曾接受過第一線含鉑類藥物(Platinum-based)化學治療間隔6-12個月內再復發之治療。接著單獨使用bevacizumab治療，作為含鉑藥物具感受性之治療。</w:t>
      </w:r>
    </w:p>
    <w:p w:rsidR="0011658A" w:rsidRPr="00417740" w:rsidRDefault="0011658A" w:rsidP="0011658A">
      <w:pPr>
        <w:spacing w:line="400" w:lineRule="exact"/>
        <w:ind w:left="1800" w:hanging="360"/>
        <w:rPr>
          <w:rFonts w:ascii="標楷體" w:eastAsia="標楷體" w:hAnsi="標楷體"/>
          <w:color w:val="000000"/>
        </w:rPr>
      </w:pPr>
      <w:r w:rsidRPr="00417740">
        <w:rPr>
          <w:rFonts w:ascii="標楷體" w:eastAsia="標楷體" w:hAnsi="標楷體"/>
          <w:color w:val="000000"/>
        </w:rPr>
        <w:t>Ⅰ.若前曾申請bevacizumab 使用於卵巢上皮細胞、輸卵管或原發性腹膜癌作為第一線治療者不可再次使用。(113/3/1)</w:t>
      </w:r>
    </w:p>
    <w:p w:rsidR="0011658A" w:rsidRPr="00417740" w:rsidRDefault="0011658A" w:rsidP="0011658A">
      <w:pPr>
        <w:spacing w:line="400" w:lineRule="exact"/>
        <w:ind w:left="1800" w:hanging="360"/>
        <w:rPr>
          <w:rFonts w:ascii="標楷體" w:eastAsia="標楷體" w:hAnsi="標楷體"/>
          <w:color w:val="000000"/>
        </w:rPr>
      </w:pPr>
      <w:r w:rsidRPr="00417740">
        <w:rPr>
          <w:rFonts w:ascii="標楷體" w:eastAsia="標楷體" w:hAnsi="標楷體"/>
          <w:color w:val="000000"/>
        </w:rPr>
        <w:t>Ⅱ.初次申請為5個療程，後續每次申請為5個療程，總申請療程以15個療程為上限。(113/3/1)</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(3)Bevacizumab(限使用Alymsys、Abevmy、Vegzelma或Mvasi)與olaparib併用適用於晚期高度惡性上皮卵巢癌、輸卵管腫瘤或原發性腹膜癌，且對第一線含鉑化療合併bevacizumab有反應（完全反應或部分反應）之成年病人做為維持治療，患者需符合olaparib給付規定，限用兩年。bevacizumab以15個月的療程為上限。(114/6/1、114/8/1)</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(4)須經事前審查核准後使用，再次申請必須提出客觀證據（如：影像學）證實無惡</w:t>
      </w:r>
      <w:r w:rsidRPr="00417740">
        <w:rPr>
          <w:rFonts w:ascii="標楷體" w:eastAsia="標楷體" w:hAnsi="標楷體"/>
          <w:color w:val="000000"/>
        </w:rPr>
        <w:lastRenderedPageBreak/>
        <w:t>化，才可繼續使用。</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(5)FIGO Stage IV disease具germline or somatic BRCA 1/2致病性或疑似致病性突變者，若已經申請niraparib用於第一線化學治療後維持性治療時不得另外申請bevacizumab併用，除因niraparib耐受性不良，在維持性治療可再換成bevacizumab（除Zirabev以外）單獨使用，總申請療程以17個療程為上限。(113/3/1、113/9/1、114/3/1、114/6/1</w:t>
      </w:r>
      <w:r>
        <w:rPr>
          <w:rFonts w:ascii="標楷體" w:eastAsia="標楷體" w:hAnsi="標楷體" w:hint="eastAsia"/>
          <w:color w:val="000000"/>
        </w:rPr>
        <w:t>、114/10/1</w:t>
      </w:r>
      <w:r w:rsidRPr="00417740">
        <w:rPr>
          <w:rFonts w:ascii="標楷體" w:eastAsia="標楷體" w:hAnsi="標楷體"/>
          <w:color w:val="000000"/>
        </w:rPr>
        <w:t>)</w:t>
      </w:r>
    </w:p>
    <w:p w:rsidR="0011658A" w:rsidRPr="00417740" w:rsidRDefault="0011658A" w:rsidP="0011658A">
      <w:pPr>
        <w:spacing w:line="400" w:lineRule="exact"/>
        <w:ind w:left="709" w:hanging="245"/>
        <w:rPr>
          <w:rFonts w:ascii="標楷體" w:eastAsia="標楷體" w:hAnsi="標楷體"/>
          <w:color w:val="000000"/>
        </w:rPr>
      </w:pPr>
      <w:r w:rsidRPr="00417740">
        <w:rPr>
          <w:rFonts w:ascii="標楷體" w:eastAsia="標楷體" w:hAnsi="標楷體"/>
          <w:color w:val="000000"/>
        </w:rPr>
        <w:t>4.持續性、復發性或轉移性之子宮頸癌：(109/6/1、113/3/1)</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(1)Bevacizumab與cisplatin及paclitaxel合併使用，可用於持續性、復發性或轉移性之子宮頸癌。</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(2)Bevacizumab與paclitaxel及topotecan合併使用，作為無法接受含鉑類藥物治療患者之持續性、復發性或轉移性之子宮頸癌。</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(3)須經事前審查核准後使用，每次申請事前審查之療程以15週為限，再次申請必須提出客觀證據（如：影像學）證實無惡化，才可繼續使用。(113/3/1)</w:t>
      </w:r>
    </w:p>
    <w:p w:rsidR="0011658A" w:rsidRPr="00417740" w:rsidRDefault="0011658A" w:rsidP="0011658A">
      <w:pPr>
        <w:spacing w:line="400" w:lineRule="exact"/>
        <w:ind w:left="709" w:hanging="245"/>
        <w:rPr>
          <w:rFonts w:ascii="標楷體" w:eastAsia="標楷體" w:hAnsi="標楷體"/>
          <w:color w:val="000000"/>
        </w:rPr>
      </w:pPr>
      <w:r w:rsidRPr="00417740">
        <w:rPr>
          <w:rFonts w:ascii="標楷體" w:eastAsia="標楷體" w:hAnsi="標楷體"/>
          <w:color w:val="000000"/>
        </w:rPr>
        <w:t>5.晚期、轉移性或復發性非鱗狀非小細胞肺癌(除Zirabev及Abevmy以外)：(113/3/1、113/6/1、113/9/1、114/3/1)</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(1)Bevacizumab與 erlotinib併用，作為無法手術切除的轉移性(第Ⅳ期)且帶有表皮生長因子受體(EGFR) Exon 21 L858R 活化性突變之腦轉移非鱗狀非小細胞肺癌病患的第一線治療。</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(2)須經事前審查核准後使用：</w:t>
      </w:r>
    </w:p>
    <w:p w:rsidR="0011658A" w:rsidRPr="00417740" w:rsidRDefault="0011658A" w:rsidP="0011658A">
      <w:pPr>
        <w:spacing w:line="400" w:lineRule="exact"/>
        <w:ind w:left="1654" w:hanging="336"/>
        <w:rPr>
          <w:rFonts w:ascii="標楷體" w:eastAsia="標楷體" w:hAnsi="標楷體"/>
          <w:color w:val="000000"/>
        </w:rPr>
      </w:pPr>
      <w:r w:rsidRPr="00417740">
        <w:rPr>
          <w:rFonts w:ascii="標楷體" w:eastAsia="標楷體" w:hAnsi="標楷體"/>
          <w:color w:val="000000"/>
        </w:rPr>
        <w:t>Ⅰ.每次申請之療程以 12 週為限。</w:t>
      </w:r>
    </w:p>
    <w:p w:rsidR="0011658A" w:rsidRPr="00417740" w:rsidRDefault="0011658A" w:rsidP="0011658A">
      <w:pPr>
        <w:spacing w:line="400" w:lineRule="exact"/>
        <w:ind w:left="1654" w:hanging="336"/>
        <w:rPr>
          <w:rFonts w:ascii="標楷體" w:eastAsia="標楷體" w:hAnsi="標楷體"/>
        </w:rPr>
      </w:pPr>
      <w:r w:rsidRPr="00417740">
        <w:rPr>
          <w:rFonts w:ascii="標楷體" w:eastAsia="標楷體" w:hAnsi="標楷體"/>
          <w:color w:val="000000"/>
        </w:rPr>
        <w:t>Ⅱ.初次申請時需檢附表皮生長因子受體(EGFR) Exon 21 L858R 活化性突變檢測報告，且需符合全民健康保險藥品給付規定之通則十二。</w:t>
      </w:r>
    </w:p>
    <w:p w:rsidR="0011658A" w:rsidRPr="00417740" w:rsidRDefault="0011658A" w:rsidP="0011658A">
      <w:pPr>
        <w:spacing w:line="400" w:lineRule="exact"/>
        <w:ind w:left="1654" w:hanging="336"/>
        <w:rPr>
          <w:rFonts w:ascii="標楷體" w:eastAsia="標楷體" w:hAnsi="標楷體"/>
          <w:color w:val="000000"/>
        </w:rPr>
      </w:pPr>
      <w:r w:rsidRPr="00417740">
        <w:rPr>
          <w:rFonts w:ascii="標楷體" w:eastAsia="標楷體" w:hAnsi="標楷體"/>
          <w:color w:val="000000"/>
        </w:rPr>
        <w:t>Ⅲ.再次申請必須提出客觀證據（如：影像學）證實無惡化，才可繼續使用。</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(3)Bevacizumab併用erlotinib於第一線治療時，該治療組合與gefitinib、afatinib 僅得擇一使用，除因耐受性不良，不得互換。</w:t>
      </w:r>
    </w:p>
    <w:p w:rsidR="0011658A" w:rsidRPr="00417740" w:rsidRDefault="0011658A" w:rsidP="0011658A">
      <w:pPr>
        <w:spacing w:line="400" w:lineRule="exact"/>
        <w:ind w:left="1133" w:hanging="425"/>
        <w:rPr>
          <w:rFonts w:ascii="標楷體" w:eastAsia="標楷體" w:hAnsi="標楷體"/>
          <w:color w:val="000000"/>
        </w:rPr>
      </w:pPr>
      <w:r w:rsidRPr="00417740">
        <w:rPr>
          <w:rFonts w:ascii="標楷體" w:eastAsia="標楷體" w:hAnsi="標楷體"/>
          <w:color w:val="000000"/>
        </w:rPr>
        <w:t>(4)使用劑量：限7.5mg/kg，每三週1次。</w:t>
      </w:r>
    </w:p>
    <w:p w:rsidR="0011658A" w:rsidRPr="00417740" w:rsidRDefault="0011658A" w:rsidP="00301C39">
      <w:pPr>
        <w:spacing w:line="400" w:lineRule="exact"/>
        <w:ind w:left="851" w:hanging="245"/>
        <w:rPr>
          <w:rFonts w:ascii="標楷體" w:eastAsia="標楷體" w:hAnsi="標楷體"/>
          <w:color w:val="000000"/>
        </w:rPr>
      </w:pPr>
      <w:r w:rsidRPr="00417740">
        <w:rPr>
          <w:rFonts w:ascii="標楷體" w:eastAsia="標楷體" w:hAnsi="標楷體"/>
          <w:color w:val="000000"/>
        </w:rPr>
        <w:t>6.與atezolizumab併用適用於未曾使用過全身性治療用藥之轉移性或無法手術切除且不適合局部治療或局部治療失敗之Child-Pugh A class晚期肝細胞癌，患者需符合atezolizumab之藥品給付規定。(112/8/1)</w:t>
      </w:r>
    </w:p>
    <w:p w:rsidR="00B96EA0" w:rsidRDefault="0011658A" w:rsidP="0011658A">
      <w:pPr>
        <w:spacing w:line="400" w:lineRule="exact"/>
        <w:ind w:left="851" w:hanging="245"/>
      </w:pPr>
      <w:r w:rsidRPr="00417740">
        <w:rPr>
          <w:rFonts w:ascii="標楷體" w:eastAsia="標楷體" w:hAnsi="標楷體"/>
          <w:color w:val="000000"/>
        </w:rPr>
        <w:t>7.</w:t>
      </w:r>
      <w:r w:rsidRPr="00DB43BE">
        <w:rPr>
          <w:rFonts w:ascii="標楷體" w:eastAsia="標楷體" w:hAnsi="標楷體"/>
          <w:color w:val="000000"/>
        </w:rPr>
        <w:t xml:space="preserve"> </w:t>
      </w:r>
      <w:r w:rsidRPr="00417740">
        <w:rPr>
          <w:rFonts w:ascii="標楷體" w:eastAsia="標楷體" w:hAnsi="標楷體"/>
          <w:color w:val="000000"/>
        </w:rPr>
        <w:t>Bevacizumab(限使用Alymsys、Avastin、Abevmy、Vegzelma或Mvasi)與atezolizumab及carboplatin、paclitaxel併用於轉移性非鱗狀非小細胞肺癌第一線治療，患者需符合免疫檢查點抑制劑之藥品給付規定。(114/6/1、114/8/1)</w:t>
      </w:r>
      <w:bookmarkEnd w:id="8"/>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9.38.Temsirolimus(如Torisel)：（101/1/1）附表九之十一</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1.需經事前審查核准後使用，每次給付3個月藥量，送審時需檢送影像資料，每3個月評估一次。</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(1)治療不限細胞型的高風險晚期腎細胞癌。</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lastRenderedPageBreak/>
        <w:t>(2)需具有下列六個風險因子中至少3個以上因子：</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I.距離初次診斷出腎細胞癌之時間未達一年</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II.</w:t>
      </w:r>
      <w:r>
        <w:rPr>
          <w:rFonts w:ascii="標楷體" w:eastAsia="標楷體" w:hAnsi="標楷體"/>
          <w:color w:val="000000"/>
        </w:rPr>
        <w:tab/>
        <w:t>Karnofsky Performance scale介於60至70之間</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III.血色素低於正常值12gm/dL</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IV.矯正後血鈣值超過10mg/dL</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V.</w:t>
      </w:r>
      <w:r>
        <w:rPr>
          <w:rFonts w:ascii="標楷體" w:eastAsia="標楷體" w:hAnsi="標楷體"/>
          <w:color w:val="000000"/>
        </w:rPr>
        <w:tab/>
        <w:t>乳酸脫氫酶(lactate dehydrogenase)超過1.5倍正常值上限</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VI.超過一個以上的器官有轉移病灶。</w:t>
      </w:r>
    </w:p>
    <w:p w:rsidR="00B96EA0" w:rsidRDefault="007D66B8" w:rsidP="005142EB">
      <w:pPr>
        <w:spacing w:line="400" w:lineRule="exact"/>
        <w:ind w:left="1049" w:hanging="341"/>
        <w:rPr>
          <w:rFonts w:ascii="標楷體" w:eastAsia="標楷體" w:hAnsi="標楷體"/>
          <w:color w:val="000000"/>
        </w:rPr>
      </w:pPr>
      <w:r>
        <w:rPr>
          <w:rFonts w:ascii="標楷體" w:eastAsia="標楷體" w:hAnsi="標楷體"/>
          <w:color w:val="000000"/>
        </w:rPr>
        <w:t>(3)無效後則不給付其他酪胺酸激酶阻斷劑TKI。</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2.病人若對藥物產生耐受性不佳（intolerance），則以原來藥物減量為原則，若嚴重耐受性不佳，可以換其他酪胺酸激酶阻斷劑（tyrosine kinase inhibitor, TKI）。</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9.39.Flutamide；buserelin：（90/8/1、101/7/1）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1.晚期（包括T3、淋巴腺轉移、器官轉移）之腫瘤。</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2.攝護腺癌病人接受根除性攝護腺切除手術治療後，PSA逐漸升高有局部復發或遠處轉移之情況。</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3.癌症臨床期別為T2、T3，準備接受根除性攝護腺切除手術治療或其他定效治療，包括irradiation之前為求tumor volume reduction，作為neoadjuvant治療之目的。</w:t>
      </w:r>
    </w:p>
    <w:p w:rsidR="00B96EA0" w:rsidRDefault="007D66B8" w:rsidP="005142EB">
      <w:pPr>
        <w:spacing w:line="400" w:lineRule="exact"/>
        <w:ind w:left="672" w:hanging="386"/>
        <w:rPr>
          <w:rFonts w:ascii="標楷體" w:eastAsia="標楷體" w:hAnsi="標楷體"/>
          <w:color w:val="000000"/>
        </w:rPr>
      </w:pPr>
      <w:r>
        <w:rPr>
          <w:rFonts w:ascii="標楷體" w:eastAsia="標楷體" w:hAnsi="標楷體"/>
          <w:color w:val="000000"/>
        </w:rPr>
        <w:t>9.40.Bicalutamide：（89/10/1、101/7/1）</w:t>
      </w:r>
    </w:p>
    <w:p w:rsidR="00B96EA0" w:rsidRDefault="007D66B8" w:rsidP="005142EB">
      <w:pPr>
        <w:spacing w:line="400" w:lineRule="exact"/>
        <w:ind w:left="798" w:hanging="1"/>
        <w:rPr>
          <w:rFonts w:ascii="標楷體" w:eastAsia="標楷體" w:hAnsi="標楷體"/>
          <w:color w:val="000000"/>
        </w:rPr>
      </w:pPr>
      <w:r>
        <w:rPr>
          <w:rFonts w:ascii="標楷體" w:eastAsia="標楷體" w:hAnsi="標楷體"/>
          <w:color w:val="000000"/>
        </w:rPr>
        <w:t>限用於與LHRH類似劑療法或手術去勢療法併用於進展性攝護腺癌。</w:t>
      </w:r>
    </w:p>
    <w:p w:rsidR="00B96EA0" w:rsidRDefault="007D66B8" w:rsidP="005142EB">
      <w:pPr>
        <w:spacing w:line="400" w:lineRule="exact"/>
        <w:ind w:left="851" w:hanging="598"/>
        <w:rPr>
          <w:rFonts w:ascii="標楷體" w:eastAsia="標楷體" w:hAnsi="標楷體"/>
          <w:color w:val="000000"/>
        </w:rPr>
      </w:pPr>
      <w:r>
        <w:rPr>
          <w:rFonts w:ascii="標楷體" w:eastAsia="標楷體" w:hAnsi="標楷體"/>
          <w:color w:val="000000"/>
        </w:rPr>
        <w:t>9.41.Pazopanib（如Votrient）：（101/8/1、104/4/1、106/3/1、110/12/1、112/10/1）附表九之十三</w:t>
      </w:r>
    </w:p>
    <w:p w:rsidR="00B96EA0" w:rsidRDefault="007D66B8" w:rsidP="005142EB">
      <w:pPr>
        <w:spacing w:line="400" w:lineRule="exact"/>
        <w:ind w:left="993" w:hanging="367"/>
        <w:rPr>
          <w:rFonts w:ascii="標楷體" w:eastAsia="標楷體" w:hAnsi="標楷體"/>
          <w:color w:val="000000"/>
        </w:rPr>
      </w:pPr>
      <w:r>
        <w:rPr>
          <w:rFonts w:ascii="標楷體" w:eastAsia="標楷體" w:hAnsi="標楷體"/>
          <w:color w:val="000000"/>
        </w:rPr>
        <w:t>1.腎細胞癌：（106/3/1、110/12/1）</w:t>
      </w:r>
    </w:p>
    <w:p w:rsidR="00B96EA0" w:rsidRDefault="007D66B8" w:rsidP="005142EB">
      <w:pPr>
        <w:spacing w:line="400" w:lineRule="exact"/>
        <w:ind w:left="993" w:hanging="367"/>
        <w:rPr>
          <w:rFonts w:ascii="標楷體" w:eastAsia="標楷體" w:hAnsi="標楷體"/>
          <w:color w:val="000000"/>
        </w:rPr>
      </w:pPr>
      <w:r>
        <w:rPr>
          <w:rFonts w:ascii="標楷體" w:eastAsia="標楷體" w:hAnsi="標楷體"/>
          <w:color w:val="000000"/>
        </w:rPr>
        <w:t>(1)可用於第一線治療晚期或轉移性腎細胞癌，其病理上為亮細胞癌(clear cell renal carcinoma)。</w:t>
      </w:r>
    </w:p>
    <w:p w:rsidR="00B96EA0" w:rsidRDefault="007D66B8" w:rsidP="005142EB">
      <w:pPr>
        <w:spacing w:line="400" w:lineRule="exact"/>
        <w:ind w:left="993" w:hanging="367"/>
        <w:rPr>
          <w:rFonts w:ascii="標楷體" w:eastAsia="標楷體" w:hAnsi="標楷體"/>
          <w:color w:val="000000"/>
        </w:rPr>
      </w:pPr>
      <w:r>
        <w:rPr>
          <w:rFonts w:ascii="標楷體" w:eastAsia="標楷體" w:hAnsi="標楷體"/>
          <w:color w:val="000000"/>
        </w:rPr>
        <w:t>(2)本品使用無效後，不得申請使用temsirolimus。（110/12/1）</w:t>
      </w:r>
    </w:p>
    <w:p w:rsidR="00B96EA0" w:rsidRDefault="007D66B8" w:rsidP="005142EB">
      <w:pPr>
        <w:spacing w:line="400" w:lineRule="exact"/>
        <w:ind w:left="993" w:hanging="367"/>
        <w:rPr>
          <w:rFonts w:ascii="標楷體" w:eastAsia="標楷體" w:hAnsi="標楷體"/>
          <w:color w:val="000000"/>
        </w:rPr>
      </w:pPr>
      <w:r>
        <w:rPr>
          <w:rFonts w:ascii="標楷體" w:eastAsia="標楷體" w:hAnsi="標楷體"/>
          <w:color w:val="000000"/>
        </w:rPr>
        <w:t>(3)需檢送影像資料，每三個月評估一次。(106/3/1)</w:t>
      </w:r>
    </w:p>
    <w:p w:rsidR="00B96EA0" w:rsidRDefault="007D66B8" w:rsidP="005142EB">
      <w:pPr>
        <w:spacing w:line="400" w:lineRule="exact"/>
        <w:ind w:left="993" w:hanging="367"/>
        <w:rPr>
          <w:rFonts w:ascii="標楷體" w:eastAsia="標楷體" w:hAnsi="標楷體"/>
          <w:color w:val="000000"/>
        </w:rPr>
      </w:pPr>
      <w:r>
        <w:rPr>
          <w:rFonts w:ascii="標楷體" w:eastAsia="標楷體" w:hAnsi="標楷體"/>
          <w:color w:val="000000"/>
        </w:rPr>
        <w:t>(4)病人若對藥物產生耐受性不佳（intolerance），則以原來藥物減量為原則，若嚴重耐受性不佳，可以換其他TKI。</w:t>
      </w:r>
    </w:p>
    <w:p w:rsidR="00B96EA0" w:rsidRDefault="007D66B8" w:rsidP="005142EB">
      <w:pPr>
        <w:spacing w:line="400" w:lineRule="exact"/>
        <w:ind w:left="993" w:hanging="367"/>
        <w:rPr>
          <w:rFonts w:ascii="標楷體" w:eastAsia="標楷體" w:hAnsi="標楷體"/>
          <w:color w:val="000000"/>
        </w:rPr>
      </w:pPr>
      <w:r>
        <w:rPr>
          <w:rFonts w:ascii="標楷體" w:eastAsia="標楷體" w:hAnsi="標楷體"/>
          <w:color w:val="000000"/>
        </w:rPr>
        <w:t>2.軟組織肉瘤：（104/4/1、112/10/1）</w:t>
      </w:r>
    </w:p>
    <w:p w:rsidR="00B96EA0" w:rsidRDefault="007D66B8" w:rsidP="005142EB">
      <w:pPr>
        <w:spacing w:line="400" w:lineRule="exact"/>
        <w:ind w:left="993" w:hanging="367"/>
        <w:rPr>
          <w:rFonts w:ascii="標楷體" w:eastAsia="標楷體" w:hAnsi="標楷體"/>
          <w:color w:val="000000"/>
        </w:rPr>
      </w:pPr>
      <w:r>
        <w:rPr>
          <w:rFonts w:ascii="標楷體" w:eastAsia="標楷體" w:hAnsi="標楷體"/>
          <w:color w:val="000000"/>
        </w:rPr>
        <w:t>(1)用於治療先前曾接受化療失敗的晚期軟組織肉瘤(STS)患者。其病情若能接受手術治療者，須先經手術治療。</w:t>
      </w:r>
    </w:p>
    <w:p w:rsidR="00B96EA0" w:rsidRDefault="007D66B8" w:rsidP="005142EB">
      <w:pPr>
        <w:spacing w:line="400" w:lineRule="exact"/>
        <w:ind w:left="993" w:hanging="367"/>
      </w:pPr>
      <w:r>
        <w:rPr>
          <w:rFonts w:ascii="標楷體" w:eastAsia="標楷體" w:hAnsi="標楷體"/>
          <w:color w:val="000000"/>
        </w:rPr>
        <w:t>(2)須排除胃腸道基質瘤、脂肪惡性肉瘤、橫紋肌惡性肉瘤、軟骨惡性肉瘤、骨性惡性肉瘤、依文氏(Ewing</w:t>
      </w:r>
      <w:r>
        <w:rPr>
          <w:rFonts w:eastAsia="標楷體" w:cs="Calibri"/>
          <w:color w:val="000000"/>
        </w:rPr>
        <w:t>’</w:t>
      </w:r>
      <w:r>
        <w:rPr>
          <w:rFonts w:ascii="標楷體" w:eastAsia="標楷體" w:hAnsi="標楷體"/>
          <w:color w:val="000000"/>
        </w:rPr>
        <w:t>s sarcoma)惡性肉瘤、原發性神經外胚層腫瘤(primitive neuroectodermal tumor)或突起性表皮纖維惡性腫瘤(dermatofibrosarcoma protuberance)的患者。（104/4/1、112/10/1）</w:t>
      </w:r>
    </w:p>
    <w:p w:rsidR="00B96EA0" w:rsidRDefault="007D66B8" w:rsidP="005142EB">
      <w:pPr>
        <w:spacing w:line="400" w:lineRule="exact"/>
        <w:ind w:left="993" w:hanging="367"/>
        <w:rPr>
          <w:rFonts w:ascii="標楷體" w:eastAsia="標楷體" w:hAnsi="標楷體"/>
          <w:color w:val="000000"/>
        </w:rPr>
      </w:pPr>
      <w:r>
        <w:rPr>
          <w:rFonts w:ascii="標楷體" w:eastAsia="標楷體" w:hAnsi="標楷體"/>
          <w:color w:val="000000"/>
        </w:rPr>
        <w:t>(3)須經事前審查核准後使用，每次申請療程以三個月為限，每三個月需再次申請。</w:t>
      </w:r>
      <w:r>
        <w:rPr>
          <w:rFonts w:ascii="標楷體" w:eastAsia="標楷體" w:hAnsi="標楷體"/>
          <w:color w:val="000000"/>
        </w:rPr>
        <w:lastRenderedPageBreak/>
        <w:t>(須檢附影像學報告)</w:t>
      </w:r>
    </w:p>
    <w:p w:rsidR="00B96EA0" w:rsidRDefault="007D66B8" w:rsidP="005142EB">
      <w:pPr>
        <w:spacing w:line="400" w:lineRule="exact"/>
        <w:ind w:left="672" w:hanging="386"/>
      </w:pPr>
      <w:r>
        <w:rPr>
          <w:rFonts w:ascii="標楷體" w:eastAsia="標楷體" w:hAnsi="標楷體"/>
          <w:bCs/>
          <w:color w:val="000000"/>
        </w:rPr>
        <w:t>9.42.Bendamustine（如Innomustine）</w:t>
      </w:r>
      <w:r>
        <w:rPr>
          <w:rFonts w:ascii="新細明體" w:hAnsi="新細明體"/>
          <w:bCs/>
          <w:color w:val="000000"/>
        </w:rPr>
        <w:t>：</w:t>
      </w:r>
      <w:r>
        <w:rPr>
          <w:rFonts w:ascii="標楷體" w:eastAsia="標楷體" w:hAnsi="標楷體"/>
          <w:bCs/>
          <w:color w:val="000000"/>
        </w:rPr>
        <w:t>(101/10/1、103/2/1、108/10/1、113/2/1)</w:t>
      </w:r>
    </w:p>
    <w:p w:rsidR="00B96EA0" w:rsidRDefault="007D66B8" w:rsidP="005142EB">
      <w:pPr>
        <w:spacing w:line="400" w:lineRule="exact"/>
        <w:ind w:left="811" w:hanging="245"/>
        <w:rPr>
          <w:rFonts w:ascii="標楷體" w:eastAsia="標楷體" w:hAnsi="標楷體"/>
          <w:bCs/>
          <w:color w:val="000000"/>
        </w:rPr>
      </w:pPr>
      <w:r>
        <w:rPr>
          <w:rFonts w:ascii="標楷體" w:eastAsia="標楷體" w:hAnsi="標楷體"/>
          <w:bCs/>
          <w:color w:val="000000"/>
        </w:rPr>
        <w:t>1.以本品作為第一線治療，限用於Binet C級之慢性淋巴性白血病病人(CLL)或Binet B級併有免疫性症候(如自體免疫性溶血、免疫性血小板低下紫瘢症等)相關疾病之CLL病人。</w:t>
      </w:r>
    </w:p>
    <w:p w:rsidR="00B96EA0" w:rsidRDefault="007D66B8" w:rsidP="005142EB">
      <w:pPr>
        <w:spacing w:line="400" w:lineRule="exact"/>
        <w:ind w:left="811" w:hanging="245"/>
        <w:rPr>
          <w:rFonts w:ascii="標楷體" w:eastAsia="標楷體" w:hAnsi="標楷體"/>
          <w:bCs/>
          <w:color w:val="000000"/>
        </w:rPr>
      </w:pPr>
      <w:r>
        <w:rPr>
          <w:rFonts w:ascii="標楷體" w:eastAsia="標楷體" w:hAnsi="標楷體"/>
          <w:bCs/>
          <w:color w:val="000000"/>
        </w:rPr>
        <w:t>2.用於B-細胞慢性淋巴性白血病（CLL）病患Binet B及C之第二線治療，在經歷至少一種標準內容的烷化基藥劑（alkylating agent）治療方法無效，或治療後雖有效但隨後疾病又繼續惡化進展的病人。</w:t>
      </w:r>
    </w:p>
    <w:p w:rsidR="00B96EA0" w:rsidRDefault="007D66B8" w:rsidP="005142EB">
      <w:pPr>
        <w:spacing w:line="400" w:lineRule="exact"/>
        <w:ind w:left="811" w:hanging="245"/>
        <w:rPr>
          <w:rFonts w:ascii="標楷體" w:eastAsia="標楷體" w:hAnsi="標楷體"/>
          <w:bCs/>
          <w:color w:val="000000"/>
        </w:rPr>
      </w:pPr>
      <w:r>
        <w:rPr>
          <w:rFonts w:ascii="標楷體" w:eastAsia="標楷體" w:hAnsi="標楷體"/>
          <w:bCs/>
          <w:color w:val="000000"/>
        </w:rPr>
        <w:t>3.曾接受至少一種化療之和緩性非何杰金氏淋巴瘤，六個月內曾以rituximab治療失敗之單一治療。(103/2/1)</w:t>
      </w:r>
    </w:p>
    <w:p w:rsidR="00B96EA0" w:rsidRDefault="007D66B8" w:rsidP="005142EB">
      <w:pPr>
        <w:spacing w:line="400" w:lineRule="exact"/>
        <w:ind w:left="811" w:hanging="245"/>
      </w:pPr>
      <w:r>
        <w:rPr>
          <w:rFonts w:ascii="標楷體" w:eastAsia="標楷體" w:hAnsi="標楷體"/>
          <w:bCs/>
          <w:color w:val="000000"/>
        </w:rPr>
        <w:t>4.</w:t>
      </w:r>
      <w:r>
        <w:t xml:space="preserve"> </w:t>
      </w:r>
      <w:r>
        <w:rPr>
          <w:rFonts w:ascii="標楷體" w:eastAsia="標楷體" w:hAnsi="標楷體"/>
          <w:bCs/>
          <w:color w:val="000000"/>
        </w:rPr>
        <w:t>合併rituximab適用於先前未曾接受治療的CD20陽性、第III/IV期和緩性非何杰金氏淋巴瘤。(108/10/1)</w:t>
      </w:r>
    </w:p>
    <w:p w:rsidR="00B96EA0" w:rsidRDefault="007D66B8" w:rsidP="005142EB">
      <w:pPr>
        <w:spacing w:line="400" w:lineRule="exact"/>
        <w:ind w:left="811" w:hanging="245"/>
      </w:pPr>
      <w:r>
        <w:rPr>
          <w:rFonts w:ascii="標楷體" w:eastAsia="標楷體" w:hAnsi="標楷體"/>
          <w:bCs/>
          <w:color w:val="000000"/>
        </w:rPr>
        <w:t>5.</w:t>
      </w:r>
      <w:r>
        <w:t xml:space="preserve"> </w:t>
      </w:r>
      <w:r>
        <w:rPr>
          <w:rFonts w:ascii="標楷體" w:eastAsia="標楷體" w:hAnsi="標楷體"/>
          <w:bCs/>
          <w:color w:val="000000"/>
        </w:rPr>
        <w:t>合併rituximab用於先前未曾接受治療且不適合自體幹細胞移植的第III/IV期被套細胞淋巴瘤。(108/10/1)</w:t>
      </w:r>
    </w:p>
    <w:p w:rsidR="00B96EA0" w:rsidRDefault="007D66B8" w:rsidP="005142EB">
      <w:pPr>
        <w:spacing w:line="400" w:lineRule="exact"/>
        <w:ind w:left="811" w:hanging="245"/>
      </w:pPr>
      <w:r>
        <w:rPr>
          <w:rFonts w:ascii="標楷體" w:eastAsia="標楷體" w:hAnsi="標楷體"/>
          <w:bCs/>
          <w:color w:val="000000"/>
        </w:rPr>
        <w:t>6.</w:t>
      </w:r>
      <w:r>
        <w:rPr>
          <w:rFonts w:ascii="標楷體" w:eastAsia="標楷體" w:hAnsi="標楷體"/>
          <w:szCs w:val="24"/>
        </w:rPr>
        <w:t>可與polatuzumab vedotin和rituximab併用，適用於第三線治療復發型(relapsed)或難治型(refractory)且未曾接受及不適合接受造血幹細胞移植的瀰漫性大型B細胞淋巴瘤（DLBCL）成年病人，患者需符合polatuzumab vedotin之藥品給付規定。(113/2/1)</w:t>
      </w:r>
    </w:p>
    <w:p w:rsidR="00B96EA0" w:rsidRDefault="007D66B8" w:rsidP="005142EB">
      <w:pPr>
        <w:spacing w:line="400" w:lineRule="exact"/>
        <w:ind w:left="811" w:hanging="245"/>
        <w:rPr>
          <w:rFonts w:ascii="標楷體" w:eastAsia="標楷體" w:hAnsi="標楷體"/>
          <w:bCs/>
          <w:color w:val="000000"/>
        </w:rPr>
      </w:pPr>
      <w:r>
        <w:rPr>
          <w:rFonts w:ascii="標楷體" w:eastAsia="標楷體" w:hAnsi="標楷體"/>
          <w:bCs/>
          <w:color w:val="000000"/>
        </w:rPr>
        <w:t>7.不得與fludarabine合併使用。(103/2/1)</w:t>
      </w:r>
    </w:p>
    <w:p w:rsidR="00B96EA0" w:rsidRDefault="007D66B8" w:rsidP="005142EB">
      <w:pPr>
        <w:spacing w:line="400" w:lineRule="exact"/>
        <w:ind w:left="811" w:hanging="245"/>
      </w:pPr>
      <w:r>
        <w:rPr>
          <w:rFonts w:ascii="標楷體" w:eastAsia="標楷體" w:hAnsi="標楷體"/>
          <w:bCs/>
          <w:color w:val="000000"/>
        </w:rPr>
        <w:t>8.須經事前審查核准後使用，每次申請最多六個（月）療程</w:t>
      </w:r>
      <w:r>
        <w:rPr>
          <w:rFonts w:ascii="標楷體" w:eastAsia="標楷體" w:hAnsi="標楷體"/>
          <w:szCs w:val="24"/>
        </w:rPr>
        <w:t>；若為依前述第6項與polatuzumab vedotin和rituximab併用時</w:t>
      </w:r>
      <w:r>
        <w:rPr>
          <w:rFonts w:ascii="新細明體" w:hAnsi="新細明體"/>
          <w:szCs w:val="24"/>
        </w:rPr>
        <w:t>，</w:t>
      </w:r>
      <w:r>
        <w:rPr>
          <w:rFonts w:ascii="標楷體" w:eastAsia="標楷體" w:hAnsi="標楷體"/>
          <w:szCs w:val="24"/>
        </w:rPr>
        <w:t>每次申請最多3個療程</w:t>
      </w:r>
      <w:r>
        <w:rPr>
          <w:rFonts w:ascii="新細明體" w:hAnsi="新細明體"/>
          <w:szCs w:val="24"/>
        </w:rPr>
        <w:t>，</w:t>
      </w:r>
      <w:r>
        <w:rPr>
          <w:rFonts w:ascii="標楷體" w:eastAsia="標楷體" w:hAnsi="標楷體"/>
          <w:szCs w:val="24"/>
        </w:rPr>
        <w:t>且最多給付6個療程</w:t>
      </w:r>
      <w:r>
        <w:rPr>
          <w:rFonts w:ascii="新細明體" w:hAnsi="新細明體"/>
          <w:szCs w:val="24"/>
        </w:rPr>
        <w:t>。</w:t>
      </w:r>
      <w:r>
        <w:rPr>
          <w:rFonts w:ascii="標楷體" w:eastAsia="標楷體" w:hAnsi="標楷體"/>
          <w:szCs w:val="24"/>
        </w:rPr>
        <w:t>(101/10/1、113/2/1)</w:t>
      </w:r>
      <w:r>
        <w:rPr>
          <w:rFonts w:ascii="標楷體" w:eastAsia="標楷體" w:hAnsi="標楷體"/>
          <w:bCs/>
          <w:color w:val="000000"/>
          <w:szCs w:val="24"/>
        </w:rPr>
        <w:t>。</w:t>
      </w:r>
    </w:p>
    <w:p w:rsidR="00892228" w:rsidRPr="00133CA0" w:rsidRDefault="00892228" w:rsidP="00892228">
      <w:pPr>
        <w:spacing w:line="400" w:lineRule="exact"/>
        <w:rPr>
          <w:rFonts w:ascii="標楷體" w:eastAsia="標楷體" w:hAnsi="標楷體"/>
          <w:color w:val="000000"/>
          <w:szCs w:val="24"/>
        </w:rPr>
      </w:pPr>
      <w:r w:rsidRPr="00133CA0">
        <w:rPr>
          <w:rFonts w:ascii="標楷體" w:eastAsia="標楷體" w:hAnsi="標楷體"/>
          <w:color w:val="000000"/>
          <w:szCs w:val="24"/>
        </w:rPr>
        <w:t>9.43.Lenalidomide(如Revlimid)</w:t>
      </w:r>
      <w:r w:rsidRPr="00133CA0">
        <w:rPr>
          <w:rFonts w:ascii="標楷體" w:eastAsia="標楷體" w:hAnsi="標楷體" w:hint="eastAsia"/>
          <w:color w:val="000000"/>
          <w:szCs w:val="24"/>
        </w:rPr>
        <w:t>：（</w:t>
      </w:r>
      <w:r w:rsidRPr="00133CA0">
        <w:rPr>
          <w:rFonts w:ascii="標楷體" w:eastAsia="標楷體" w:hAnsi="標楷體"/>
          <w:color w:val="000000"/>
          <w:szCs w:val="24"/>
        </w:rPr>
        <w:t>101/12/1</w:t>
      </w:r>
      <w:r w:rsidRPr="00133CA0">
        <w:rPr>
          <w:rFonts w:ascii="標楷體" w:eastAsia="標楷體" w:hAnsi="標楷體" w:hint="eastAsia"/>
          <w:color w:val="000000"/>
          <w:szCs w:val="24"/>
        </w:rPr>
        <w:t>、</w:t>
      </w:r>
      <w:r w:rsidRPr="00133CA0">
        <w:rPr>
          <w:rFonts w:ascii="標楷體" w:eastAsia="標楷體" w:hAnsi="標楷體"/>
          <w:color w:val="000000"/>
          <w:szCs w:val="24"/>
        </w:rPr>
        <w:t>106/10/1</w:t>
      </w:r>
      <w:r w:rsidRPr="00133CA0">
        <w:rPr>
          <w:rFonts w:ascii="標楷體" w:eastAsia="標楷體" w:hAnsi="標楷體" w:hint="eastAsia"/>
          <w:color w:val="000000"/>
          <w:szCs w:val="24"/>
        </w:rPr>
        <w:t>、</w:t>
      </w:r>
      <w:r w:rsidRPr="00133CA0">
        <w:rPr>
          <w:rFonts w:ascii="標楷體" w:eastAsia="標楷體" w:hAnsi="標楷體"/>
          <w:color w:val="000000"/>
          <w:szCs w:val="24"/>
        </w:rPr>
        <w:t>109/2/1</w:t>
      </w:r>
      <w:r w:rsidRPr="00133CA0">
        <w:rPr>
          <w:rFonts w:ascii="標楷體" w:eastAsia="標楷體" w:hAnsi="標楷體" w:hint="eastAsia"/>
          <w:color w:val="000000"/>
          <w:szCs w:val="24"/>
        </w:rPr>
        <w:t>、</w:t>
      </w:r>
      <w:r w:rsidRPr="00133CA0">
        <w:rPr>
          <w:rFonts w:ascii="標楷體" w:eastAsia="標楷體" w:hAnsi="標楷體"/>
          <w:color w:val="000000"/>
          <w:szCs w:val="24"/>
        </w:rPr>
        <w:t>109/8/1</w:t>
      </w:r>
      <w:r w:rsidRPr="00133CA0">
        <w:rPr>
          <w:rFonts w:ascii="標楷體" w:eastAsia="標楷體" w:hAnsi="標楷體" w:hint="eastAsia"/>
          <w:color w:val="000000"/>
          <w:szCs w:val="24"/>
        </w:rPr>
        <w:t>、</w:t>
      </w:r>
      <w:r w:rsidRPr="00133CA0">
        <w:rPr>
          <w:rFonts w:ascii="標楷體" w:eastAsia="標楷體" w:hAnsi="標楷體"/>
          <w:color w:val="000000"/>
          <w:szCs w:val="24"/>
        </w:rPr>
        <w:t>112/4/1</w:t>
      </w:r>
      <w:r w:rsidRPr="00133CA0">
        <w:rPr>
          <w:rFonts w:ascii="標楷體" w:eastAsia="標楷體" w:hAnsi="標楷體" w:hint="eastAsia"/>
          <w:color w:val="000000"/>
          <w:szCs w:val="24"/>
        </w:rPr>
        <w:t>、114</w:t>
      </w:r>
      <w:r w:rsidRPr="00133CA0">
        <w:rPr>
          <w:rFonts w:ascii="標楷體" w:eastAsia="標楷體" w:hAnsi="標楷體"/>
          <w:szCs w:val="24"/>
        </w:rPr>
        <w:t>/</w:t>
      </w:r>
      <w:r w:rsidRPr="00133CA0">
        <w:rPr>
          <w:rFonts w:ascii="標楷體" w:eastAsia="標楷體" w:hAnsi="標楷體" w:hint="eastAsia"/>
          <w:szCs w:val="24"/>
        </w:rPr>
        <w:t>10</w:t>
      </w:r>
      <w:r w:rsidRPr="00133CA0">
        <w:rPr>
          <w:rFonts w:ascii="標楷體" w:eastAsia="標楷體" w:hAnsi="標楷體"/>
          <w:szCs w:val="24"/>
        </w:rPr>
        <w:t>/1</w:t>
      </w:r>
      <w:r w:rsidRPr="00133CA0">
        <w:rPr>
          <w:rFonts w:ascii="標楷體" w:eastAsia="標楷體" w:hAnsi="標楷體" w:hint="eastAsia"/>
          <w:color w:val="000000"/>
          <w:szCs w:val="24"/>
        </w:rPr>
        <w:t>）</w:t>
      </w:r>
    </w:p>
    <w:p w:rsidR="00892228" w:rsidRPr="00133CA0" w:rsidRDefault="00892228" w:rsidP="00892228">
      <w:pPr>
        <w:spacing w:line="400" w:lineRule="exact"/>
        <w:ind w:leftChars="118" w:left="283"/>
        <w:rPr>
          <w:rFonts w:ascii="標楷體" w:eastAsia="標楷體" w:hAnsi="標楷體"/>
          <w:color w:val="000000"/>
          <w:szCs w:val="24"/>
        </w:rPr>
      </w:pPr>
      <w:r w:rsidRPr="00133CA0">
        <w:rPr>
          <w:rFonts w:ascii="標楷體" w:eastAsia="標楷體" w:hAnsi="標楷體" w:hint="eastAsia"/>
          <w:color w:val="000000"/>
          <w:szCs w:val="24"/>
        </w:rPr>
        <w:t>1.多發性骨髓瘤：</w:t>
      </w:r>
    </w:p>
    <w:p w:rsidR="00892228" w:rsidRPr="00133CA0" w:rsidRDefault="00892228" w:rsidP="00892228">
      <w:pPr>
        <w:spacing w:line="400" w:lineRule="exact"/>
        <w:ind w:leftChars="145" w:left="708" w:hangingChars="150" w:hanging="360"/>
        <w:rPr>
          <w:rFonts w:ascii="標楷體" w:eastAsia="標楷體" w:hAnsi="標楷體"/>
          <w:color w:val="000000"/>
          <w:szCs w:val="24"/>
        </w:rPr>
      </w:pPr>
      <w:r w:rsidRPr="00133CA0">
        <w:rPr>
          <w:rFonts w:ascii="標楷體" w:eastAsia="標楷體" w:hAnsi="標楷體" w:hint="eastAsia"/>
          <w:color w:val="000000"/>
          <w:szCs w:val="24"/>
        </w:rPr>
        <w:t>(1)先前尚未接受過任何治療且不適用造血幹細胞移植的多發性骨髓瘤患者可使用</w:t>
      </w:r>
      <w:r w:rsidRPr="00133CA0">
        <w:rPr>
          <w:rFonts w:ascii="標楷體" w:eastAsia="標楷體" w:hAnsi="標楷體"/>
          <w:color w:val="000000"/>
          <w:szCs w:val="24"/>
        </w:rPr>
        <w:t>lenalidomide</w:t>
      </w:r>
      <w:r w:rsidRPr="00133CA0">
        <w:rPr>
          <w:rFonts w:ascii="標楷體" w:eastAsia="標楷體" w:hAnsi="標楷體" w:hint="eastAsia"/>
          <w:color w:val="000000"/>
          <w:szCs w:val="24"/>
        </w:rPr>
        <w:t>併用</w:t>
      </w:r>
      <w:r w:rsidRPr="00133CA0">
        <w:rPr>
          <w:rFonts w:ascii="標楷體" w:eastAsia="標楷體" w:hAnsi="標楷體"/>
          <w:color w:val="000000"/>
          <w:szCs w:val="24"/>
        </w:rPr>
        <w:t>dexamethasone</w:t>
      </w:r>
      <w:r w:rsidRPr="00133CA0">
        <w:rPr>
          <w:rFonts w:ascii="標楷體" w:eastAsia="標楷體" w:hAnsi="標楷體" w:hint="eastAsia"/>
          <w:color w:val="000000"/>
          <w:szCs w:val="24"/>
        </w:rPr>
        <w:t>作為第一線治療。開始治療時病患須同時符合下列I與Ⅱ的條件：（</w:t>
      </w:r>
      <w:r w:rsidRPr="00133CA0">
        <w:rPr>
          <w:rFonts w:ascii="標楷體" w:eastAsia="標楷體" w:hAnsi="標楷體"/>
          <w:color w:val="000000"/>
          <w:szCs w:val="24"/>
        </w:rPr>
        <w:t>109/2/1</w:t>
      </w:r>
      <w:r w:rsidRPr="00133CA0">
        <w:rPr>
          <w:rFonts w:ascii="標楷體" w:eastAsia="標楷體" w:hAnsi="標楷體" w:hint="eastAsia"/>
          <w:color w:val="000000"/>
          <w:szCs w:val="24"/>
        </w:rPr>
        <w:t>、</w:t>
      </w:r>
      <w:r w:rsidRPr="00133CA0">
        <w:rPr>
          <w:rFonts w:ascii="標楷體" w:eastAsia="標楷體" w:hAnsi="標楷體"/>
          <w:color w:val="000000"/>
          <w:szCs w:val="24"/>
        </w:rPr>
        <w:t>109/8/1</w:t>
      </w:r>
      <w:r w:rsidRPr="00133CA0">
        <w:rPr>
          <w:rFonts w:ascii="標楷體" w:eastAsia="標楷體" w:hAnsi="標楷體" w:hint="eastAsia"/>
          <w:color w:val="000000"/>
          <w:szCs w:val="24"/>
        </w:rPr>
        <w:t>、</w:t>
      </w:r>
      <w:r w:rsidRPr="00133CA0">
        <w:rPr>
          <w:rFonts w:ascii="標楷體" w:eastAsia="標楷體" w:hAnsi="標楷體"/>
          <w:color w:val="000000"/>
          <w:szCs w:val="24"/>
        </w:rPr>
        <w:t>112/4/1</w:t>
      </w:r>
      <w:r w:rsidRPr="00133CA0">
        <w:rPr>
          <w:rFonts w:ascii="標楷體" w:eastAsia="標楷體" w:hAnsi="標楷體" w:hint="eastAsia"/>
          <w:color w:val="000000"/>
          <w:szCs w:val="24"/>
        </w:rPr>
        <w:t>）</w:t>
      </w:r>
    </w:p>
    <w:p w:rsidR="00892228" w:rsidRPr="00133CA0" w:rsidRDefault="00892228" w:rsidP="00892228">
      <w:pPr>
        <w:spacing w:line="400" w:lineRule="exact"/>
        <w:ind w:leftChars="263" w:left="991" w:hangingChars="150" w:hanging="360"/>
        <w:rPr>
          <w:rFonts w:ascii="標楷體" w:eastAsia="標楷體" w:hAnsi="標楷體"/>
          <w:color w:val="000000"/>
          <w:szCs w:val="24"/>
        </w:rPr>
      </w:pPr>
      <w:r w:rsidRPr="00133CA0">
        <w:rPr>
          <w:rFonts w:ascii="標楷體" w:eastAsia="標楷體" w:hAnsi="標楷體" w:hint="eastAsia"/>
          <w:color w:val="000000"/>
          <w:szCs w:val="24"/>
        </w:rPr>
        <w:t>Ⅰ.</w:t>
      </w:r>
      <w:r w:rsidRPr="00133CA0">
        <w:rPr>
          <w:rFonts w:ascii="標楷體" w:eastAsia="標楷體" w:hAnsi="標楷體"/>
          <w:szCs w:val="24"/>
        </w:rPr>
        <w:t>骨髓漿細胞(plasma cells)比例≧10%，或是經切片確認且有≧1顆的plasmacytoma。（112/4/1）</w:t>
      </w:r>
    </w:p>
    <w:p w:rsidR="00892228" w:rsidRPr="00133CA0" w:rsidRDefault="00892228" w:rsidP="00892228">
      <w:pPr>
        <w:spacing w:line="400" w:lineRule="exact"/>
        <w:ind w:leftChars="263" w:left="991" w:hangingChars="150" w:hanging="360"/>
        <w:rPr>
          <w:rFonts w:ascii="標楷體" w:eastAsia="標楷體" w:hAnsi="標楷體"/>
          <w:color w:val="000000"/>
          <w:szCs w:val="24"/>
        </w:rPr>
      </w:pPr>
      <w:r w:rsidRPr="00133CA0">
        <w:rPr>
          <w:rFonts w:ascii="標楷體" w:eastAsia="標楷體" w:hAnsi="標楷體" w:hint="eastAsia"/>
          <w:color w:val="000000"/>
          <w:szCs w:val="24"/>
        </w:rPr>
        <w:t>Ⅱ.</w:t>
      </w:r>
      <w:r w:rsidRPr="00133CA0">
        <w:rPr>
          <w:rFonts w:ascii="標楷體" w:eastAsia="標楷體" w:hAnsi="標楷體"/>
          <w:szCs w:val="24"/>
        </w:rPr>
        <w:t>出現下列任一臨床症狀：（112/4/1）</w:t>
      </w:r>
    </w:p>
    <w:p w:rsidR="00892228" w:rsidRPr="00133CA0" w:rsidRDefault="00892228" w:rsidP="00892228">
      <w:pPr>
        <w:spacing w:line="400" w:lineRule="exact"/>
        <w:ind w:leftChars="300" w:left="1080" w:hangingChars="150" w:hanging="360"/>
        <w:rPr>
          <w:rFonts w:ascii="標楷體" w:eastAsia="標楷體" w:hAnsi="標楷體"/>
          <w:color w:val="000000"/>
          <w:szCs w:val="24"/>
        </w:rPr>
      </w:pPr>
      <w:r w:rsidRPr="00133CA0">
        <w:rPr>
          <w:rFonts w:ascii="新細明體" w:hAnsi="新細明體" w:hint="eastAsia"/>
          <w:color w:val="000000"/>
          <w:szCs w:val="24"/>
        </w:rPr>
        <w:t>ⅰ</w:t>
      </w:r>
      <w:r w:rsidRPr="00133CA0">
        <w:rPr>
          <w:rFonts w:ascii="標楷體" w:eastAsia="標楷體" w:hAnsi="標楷體" w:hint="eastAsia"/>
          <w:color w:val="000000"/>
          <w:szCs w:val="24"/>
        </w:rPr>
        <w:t>.</w:t>
      </w:r>
      <w:r w:rsidRPr="00133CA0">
        <w:rPr>
          <w:rFonts w:ascii="標楷體" w:eastAsia="標楷體" w:hAnsi="標楷體"/>
          <w:szCs w:val="24"/>
        </w:rPr>
        <w:t>腎功能不全：serum creatinine＞2.0mg/dL或estimated GFR (eGFR)＜40 ml/min，且無其他原因可以解釋。</w:t>
      </w:r>
    </w:p>
    <w:p w:rsidR="00892228" w:rsidRPr="00133CA0" w:rsidRDefault="00892228" w:rsidP="00892228">
      <w:pPr>
        <w:spacing w:line="400" w:lineRule="exact"/>
        <w:ind w:leftChars="300" w:left="1080" w:hangingChars="150" w:hanging="360"/>
        <w:rPr>
          <w:rFonts w:ascii="標楷體" w:eastAsia="標楷體" w:hAnsi="標楷體"/>
          <w:color w:val="000000"/>
          <w:szCs w:val="24"/>
        </w:rPr>
      </w:pPr>
      <w:r w:rsidRPr="00133CA0">
        <w:rPr>
          <w:rFonts w:ascii="新細明體" w:hAnsi="新細明體" w:hint="eastAsia"/>
          <w:color w:val="000000"/>
          <w:szCs w:val="24"/>
        </w:rPr>
        <w:t>ⅱ.</w:t>
      </w:r>
      <w:r w:rsidRPr="00133CA0">
        <w:rPr>
          <w:rFonts w:ascii="標楷體" w:eastAsia="標楷體" w:hAnsi="標楷體"/>
          <w:szCs w:val="24"/>
        </w:rPr>
        <w:t>高血鈣(corrected serum calcium＞11.0 mg/dL或2.75 mmol/L)。</w:t>
      </w:r>
    </w:p>
    <w:p w:rsidR="00892228" w:rsidRPr="00133CA0" w:rsidRDefault="00892228" w:rsidP="00892228">
      <w:pPr>
        <w:spacing w:line="400" w:lineRule="exact"/>
        <w:ind w:leftChars="300" w:left="1080" w:hangingChars="150" w:hanging="360"/>
        <w:rPr>
          <w:rFonts w:ascii="標楷體" w:eastAsia="標楷體" w:hAnsi="標楷體"/>
          <w:color w:val="000000"/>
          <w:szCs w:val="24"/>
        </w:rPr>
      </w:pPr>
      <w:r w:rsidRPr="00133CA0">
        <w:rPr>
          <w:rFonts w:ascii="新細明體" w:hAnsi="新細明體" w:hint="eastAsia"/>
          <w:color w:val="000000"/>
          <w:szCs w:val="24"/>
        </w:rPr>
        <w:t>ⅲ.</w:t>
      </w:r>
      <w:r w:rsidRPr="00133CA0">
        <w:rPr>
          <w:rFonts w:ascii="標楷體" w:eastAsia="標楷體" w:hAnsi="標楷體"/>
          <w:szCs w:val="24"/>
        </w:rPr>
        <w:t>貧血(Hemoglobin＜10 gm/dL 且無其他原因可以解釋)。</w:t>
      </w:r>
    </w:p>
    <w:p w:rsidR="00892228" w:rsidRPr="00133CA0" w:rsidRDefault="00892228" w:rsidP="00892228">
      <w:pPr>
        <w:spacing w:line="400" w:lineRule="exact"/>
        <w:ind w:leftChars="300" w:left="1080" w:hangingChars="150" w:hanging="360"/>
        <w:rPr>
          <w:rFonts w:ascii="標楷體" w:eastAsia="標楷體" w:hAnsi="標楷體"/>
          <w:color w:val="000000"/>
          <w:szCs w:val="24"/>
        </w:rPr>
      </w:pPr>
      <w:r w:rsidRPr="00133CA0">
        <w:rPr>
          <w:rFonts w:ascii="新細明體" w:hAnsi="新細明體" w:hint="eastAsia"/>
          <w:color w:val="000000"/>
          <w:szCs w:val="24"/>
        </w:rPr>
        <w:t>ⅳ.</w:t>
      </w:r>
      <w:r w:rsidRPr="00133CA0">
        <w:rPr>
          <w:rFonts w:ascii="標楷體" w:eastAsia="標楷體" w:hAnsi="標楷體"/>
          <w:szCs w:val="24"/>
        </w:rPr>
        <w:t>影像檢查確認之osteolytic bone lesion(s)。</w:t>
      </w:r>
    </w:p>
    <w:p w:rsidR="00892228" w:rsidRPr="00133CA0" w:rsidRDefault="00892228" w:rsidP="00892228">
      <w:pPr>
        <w:spacing w:line="400" w:lineRule="exact"/>
        <w:ind w:leftChars="300" w:left="1080" w:hangingChars="150" w:hanging="360"/>
        <w:rPr>
          <w:rFonts w:ascii="標楷體" w:eastAsia="標楷體" w:hAnsi="標楷體"/>
          <w:color w:val="000000"/>
          <w:szCs w:val="24"/>
        </w:rPr>
      </w:pPr>
      <w:r w:rsidRPr="00133CA0">
        <w:rPr>
          <w:rFonts w:ascii="新細明體" w:hAnsi="新細明體" w:hint="eastAsia"/>
          <w:szCs w:val="24"/>
        </w:rPr>
        <w:lastRenderedPageBreak/>
        <w:t>ⅴ</w:t>
      </w:r>
      <w:r w:rsidRPr="00133CA0">
        <w:rPr>
          <w:rFonts w:ascii="標楷體" w:eastAsia="標楷體" w:hAnsi="標楷體" w:hint="eastAsia"/>
          <w:szCs w:val="24"/>
        </w:rPr>
        <w:t>.</w:t>
      </w:r>
      <w:r w:rsidRPr="00133CA0">
        <w:rPr>
          <w:rFonts w:ascii="標楷體" w:eastAsia="標楷體" w:hAnsi="標楷體"/>
          <w:szCs w:val="24"/>
        </w:rPr>
        <w:t>骨髓漿細胞(plasma cells)比例≧60%</w:t>
      </w:r>
    </w:p>
    <w:p w:rsidR="00892228" w:rsidRPr="00133CA0" w:rsidRDefault="00892228" w:rsidP="00892228">
      <w:pPr>
        <w:spacing w:line="400" w:lineRule="exact"/>
        <w:ind w:leftChars="300" w:left="1080" w:hangingChars="150" w:hanging="360"/>
        <w:rPr>
          <w:rFonts w:ascii="標楷體" w:eastAsia="標楷體" w:hAnsi="標楷體"/>
          <w:color w:val="000000"/>
          <w:szCs w:val="24"/>
        </w:rPr>
      </w:pPr>
      <w:r w:rsidRPr="00133CA0">
        <w:rPr>
          <w:rFonts w:ascii="新細明體" w:hAnsi="新細明體" w:hint="eastAsia"/>
          <w:szCs w:val="24"/>
        </w:rPr>
        <w:t>ⅵ.</w:t>
      </w:r>
      <w:r w:rsidRPr="00133CA0">
        <w:rPr>
          <w:rFonts w:ascii="標楷體" w:eastAsia="標楷體" w:hAnsi="標楷體"/>
          <w:szCs w:val="24"/>
        </w:rPr>
        <w:t>Serum free light-chain ratio≧100。</w:t>
      </w:r>
    </w:p>
    <w:p w:rsidR="00892228" w:rsidRPr="00133CA0" w:rsidRDefault="00892228" w:rsidP="00892228">
      <w:pPr>
        <w:spacing w:line="400" w:lineRule="exact"/>
        <w:ind w:leftChars="263" w:left="991" w:hangingChars="150" w:hanging="360"/>
        <w:rPr>
          <w:rFonts w:ascii="標楷體" w:eastAsia="標楷體" w:hAnsi="標楷體"/>
          <w:color w:val="000000"/>
          <w:szCs w:val="24"/>
        </w:rPr>
      </w:pPr>
      <w:r w:rsidRPr="00133CA0">
        <w:rPr>
          <w:rFonts w:ascii="標楷體" w:eastAsia="標楷體" w:hAnsi="標楷體" w:hint="eastAsia"/>
          <w:color w:val="000000"/>
          <w:szCs w:val="24"/>
        </w:rPr>
        <w:t>Ⅲ.</w:t>
      </w:r>
      <w:r w:rsidRPr="00133CA0">
        <w:rPr>
          <w:rFonts w:ascii="標楷體" w:eastAsia="標楷體" w:hAnsi="標楷體"/>
          <w:color w:val="000000"/>
          <w:szCs w:val="24"/>
        </w:rPr>
        <w:t>每4個療程重新申請時，須重新評估是否適合接受造血幹細胞移植。若經重新評估為已適合接受造血幹細胞移植者，即須停止Rd之治療。（112/4/1）</w:t>
      </w:r>
    </w:p>
    <w:p w:rsidR="00892228" w:rsidRPr="00133CA0" w:rsidRDefault="00892228" w:rsidP="00892228">
      <w:pPr>
        <w:spacing w:line="400" w:lineRule="exact"/>
        <w:ind w:leftChars="145" w:left="708" w:hangingChars="150" w:hanging="360"/>
        <w:rPr>
          <w:rFonts w:ascii="標楷體" w:eastAsia="標楷體" w:hAnsi="標楷體"/>
          <w:color w:val="000000"/>
          <w:szCs w:val="24"/>
        </w:rPr>
      </w:pPr>
      <w:r w:rsidRPr="00133CA0">
        <w:rPr>
          <w:rFonts w:ascii="標楷體" w:eastAsia="標楷體" w:hAnsi="標楷體" w:hint="eastAsia"/>
          <w:color w:val="000000"/>
          <w:szCs w:val="24"/>
        </w:rPr>
        <w:t>(2)與</w:t>
      </w:r>
      <w:r w:rsidRPr="00133CA0">
        <w:rPr>
          <w:rFonts w:ascii="標楷體" w:eastAsia="標楷體" w:hAnsi="標楷體"/>
          <w:color w:val="000000"/>
          <w:szCs w:val="24"/>
        </w:rPr>
        <w:t>dexamethasone</w:t>
      </w:r>
      <w:r w:rsidRPr="00133CA0">
        <w:rPr>
          <w:rFonts w:ascii="標楷體" w:eastAsia="標楷體" w:hAnsi="標楷體" w:hint="eastAsia"/>
          <w:color w:val="000000"/>
          <w:szCs w:val="24"/>
        </w:rPr>
        <w:t>合併使用於先前已接受至少一種治療失敗之多發性骨髓瘤患者，且需同時符合下列I與Ⅱ的條件：（</w:t>
      </w:r>
      <w:r w:rsidRPr="00133CA0">
        <w:rPr>
          <w:rFonts w:ascii="標楷體" w:eastAsia="標楷體" w:hAnsi="標楷體"/>
          <w:color w:val="000000"/>
          <w:szCs w:val="24"/>
        </w:rPr>
        <w:t>101/12/1</w:t>
      </w:r>
      <w:r w:rsidRPr="00133CA0">
        <w:rPr>
          <w:rFonts w:ascii="標楷體" w:eastAsia="標楷體" w:hAnsi="標楷體" w:hint="eastAsia"/>
          <w:color w:val="000000"/>
          <w:szCs w:val="24"/>
        </w:rPr>
        <w:t>、</w:t>
      </w:r>
      <w:r w:rsidRPr="00133CA0">
        <w:rPr>
          <w:rFonts w:ascii="標楷體" w:eastAsia="標楷體" w:hAnsi="標楷體"/>
          <w:color w:val="000000"/>
          <w:szCs w:val="24"/>
        </w:rPr>
        <w:t>112/4/1</w:t>
      </w:r>
      <w:r w:rsidRPr="00133CA0">
        <w:rPr>
          <w:rFonts w:ascii="標楷體" w:eastAsia="標楷體" w:hAnsi="標楷體" w:hint="eastAsia"/>
          <w:color w:val="000000"/>
          <w:szCs w:val="24"/>
        </w:rPr>
        <w:t>）</w:t>
      </w:r>
    </w:p>
    <w:p w:rsidR="00892228" w:rsidRPr="00133CA0" w:rsidRDefault="00892228" w:rsidP="00892228">
      <w:pPr>
        <w:spacing w:line="400" w:lineRule="exact"/>
        <w:ind w:leftChars="263" w:left="991" w:hangingChars="150" w:hanging="360"/>
        <w:rPr>
          <w:rFonts w:ascii="標楷體" w:eastAsia="標楷體" w:hAnsi="標楷體"/>
          <w:color w:val="000000"/>
          <w:szCs w:val="24"/>
        </w:rPr>
      </w:pPr>
      <w:r w:rsidRPr="00133CA0">
        <w:rPr>
          <w:rFonts w:ascii="標楷體" w:eastAsia="標楷體" w:hAnsi="標楷體" w:hint="eastAsia"/>
          <w:color w:val="000000"/>
          <w:szCs w:val="24"/>
        </w:rPr>
        <w:t>Ⅰ.</w:t>
      </w:r>
      <w:r w:rsidRPr="00133CA0">
        <w:rPr>
          <w:rFonts w:ascii="標楷體" w:eastAsia="標楷體" w:hAnsi="標楷體"/>
          <w:color w:val="000000"/>
          <w:szCs w:val="24"/>
        </w:rPr>
        <w:t>具有下列任一疾病惡化的指標： 病患開始治療前須在連續2次評估中均符合同一指標 (但若為plamacytoma 體積增加，或是新產生的bone lesion(s)或新plasmacytoma，則僅需1次評估)：（112/4/1）</w:t>
      </w:r>
    </w:p>
    <w:p w:rsidR="00892228" w:rsidRPr="00133CA0" w:rsidRDefault="00892228" w:rsidP="00892228">
      <w:pPr>
        <w:spacing w:line="400" w:lineRule="exact"/>
        <w:ind w:leftChars="381" w:left="1274" w:hangingChars="150" w:hanging="360"/>
        <w:rPr>
          <w:rFonts w:ascii="標楷體" w:eastAsia="標楷體" w:hAnsi="標楷體"/>
          <w:szCs w:val="24"/>
        </w:rPr>
      </w:pPr>
      <w:r w:rsidRPr="00133CA0">
        <w:rPr>
          <w:rFonts w:ascii="新細明體" w:hAnsi="新細明體" w:hint="eastAsia"/>
          <w:szCs w:val="24"/>
        </w:rPr>
        <w:t>ⅰ</w:t>
      </w:r>
      <w:r w:rsidRPr="00133CA0">
        <w:rPr>
          <w:rFonts w:ascii="標楷體" w:eastAsia="標楷體" w:hAnsi="標楷體"/>
          <w:szCs w:val="24"/>
        </w:rPr>
        <w:t>.若前一線治療中M component 最低值≧5 g/dL，血清M蛋白需增加≧1 g/dL；若前一線治療中M component最低值＜5 g/dL，血清M蛋白需增加≧0.5g/dL。</w:t>
      </w:r>
    </w:p>
    <w:p w:rsidR="00892228" w:rsidRPr="00133CA0" w:rsidRDefault="00892228" w:rsidP="00892228">
      <w:pPr>
        <w:spacing w:line="400" w:lineRule="exact"/>
        <w:ind w:leftChars="381" w:left="1274" w:hangingChars="150" w:hanging="360"/>
        <w:rPr>
          <w:rFonts w:ascii="標楷體" w:eastAsia="標楷體" w:hAnsi="標楷體"/>
          <w:szCs w:val="24"/>
        </w:rPr>
      </w:pPr>
      <w:r w:rsidRPr="00133CA0">
        <w:rPr>
          <w:rFonts w:ascii="新細明體" w:hAnsi="新細明體" w:hint="eastAsia"/>
          <w:szCs w:val="24"/>
        </w:rPr>
        <w:t>ⅱ.</w:t>
      </w:r>
      <w:r w:rsidRPr="00133CA0">
        <w:rPr>
          <w:rFonts w:ascii="標楷體" w:eastAsia="標楷體" w:hAnsi="標楷體"/>
          <w:szCs w:val="24"/>
        </w:rPr>
        <w:t>Urine M-protein需增加≧0.2 gm/24Hr，且需較前一線治療中的最低值增加≧25%。</w:t>
      </w:r>
    </w:p>
    <w:p w:rsidR="00892228" w:rsidRPr="00133CA0" w:rsidRDefault="00892228" w:rsidP="00892228">
      <w:pPr>
        <w:spacing w:line="400" w:lineRule="exact"/>
        <w:ind w:leftChars="381" w:left="1274" w:hangingChars="150" w:hanging="360"/>
        <w:rPr>
          <w:rFonts w:ascii="標楷體" w:eastAsia="標楷體" w:hAnsi="標楷體"/>
          <w:szCs w:val="24"/>
        </w:rPr>
      </w:pPr>
      <w:r w:rsidRPr="00133CA0">
        <w:rPr>
          <w:rFonts w:ascii="新細明體" w:hAnsi="新細明體" w:hint="eastAsia"/>
          <w:szCs w:val="24"/>
        </w:rPr>
        <w:t>ⅲ</w:t>
      </w:r>
      <w:r w:rsidRPr="00133CA0">
        <w:rPr>
          <w:rFonts w:ascii="標楷體" w:eastAsia="標楷體" w:hAnsi="標楷體" w:hint="eastAsia"/>
          <w:szCs w:val="24"/>
        </w:rPr>
        <w:t>.</w:t>
      </w:r>
      <w:r w:rsidRPr="00133CA0">
        <w:rPr>
          <w:rFonts w:ascii="標楷體" w:eastAsia="標楷體" w:hAnsi="標楷體"/>
          <w:szCs w:val="24"/>
        </w:rPr>
        <w:t>在non-secretary myeloma 病患，骨髓漿細胞 (plasma cells)之比例絕對值增加≧10%，且需較前一線治療中的最低值增加≧25%。</w:t>
      </w:r>
    </w:p>
    <w:p w:rsidR="00892228" w:rsidRPr="00133CA0" w:rsidRDefault="00892228" w:rsidP="00892228">
      <w:pPr>
        <w:spacing w:line="400" w:lineRule="exact"/>
        <w:ind w:leftChars="381" w:left="1274" w:hangingChars="150" w:hanging="360"/>
        <w:rPr>
          <w:rFonts w:ascii="標楷體" w:eastAsia="標楷體" w:hAnsi="標楷體"/>
          <w:szCs w:val="24"/>
        </w:rPr>
      </w:pPr>
      <w:r w:rsidRPr="00133CA0">
        <w:rPr>
          <w:rFonts w:ascii="新細明體" w:hAnsi="新細明體" w:hint="eastAsia"/>
          <w:szCs w:val="24"/>
        </w:rPr>
        <w:t>ⅳ</w:t>
      </w:r>
      <w:r w:rsidRPr="00133CA0">
        <w:rPr>
          <w:rFonts w:ascii="標楷體" w:eastAsia="標楷體" w:hAnsi="標楷體" w:hint="eastAsia"/>
          <w:szCs w:val="24"/>
        </w:rPr>
        <w:t>.</w:t>
      </w:r>
      <w:r w:rsidRPr="00133CA0">
        <w:rPr>
          <w:rFonts w:ascii="標楷體" w:eastAsia="標楷體" w:hAnsi="標楷體"/>
          <w:szCs w:val="24"/>
        </w:rPr>
        <w:t>新產生的bone lesion(s)或plasmacytoma；且須經病理切片證實。</w:t>
      </w:r>
    </w:p>
    <w:p w:rsidR="00892228" w:rsidRPr="00133CA0" w:rsidRDefault="00892228" w:rsidP="00892228">
      <w:pPr>
        <w:spacing w:line="400" w:lineRule="exact"/>
        <w:ind w:leftChars="381" w:left="1274" w:hangingChars="150" w:hanging="360"/>
        <w:rPr>
          <w:rFonts w:ascii="標楷體" w:eastAsia="標楷體" w:hAnsi="標楷體"/>
          <w:szCs w:val="24"/>
        </w:rPr>
      </w:pPr>
      <w:r w:rsidRPr="00133CA0">
        <w:rPr>
          <w:rFonts w:ascii="新細明體" w:hAnsi="新細明體" w:hint="eastAsia"/>
          <w:szCs w:val="24"/>
        </w:rPr>
        <w:t>ⅴ</w:t>
      </w:r>
      <w:r w:rsidRPr="00133CA0">
        <w:rPr>
          <w:rFonts w:ascii="標楷體" w:eastAsia="標楷體" w:hAnsi="標楷體" w:hint="eastAsia"/>
          <w:szCs w:val="24"/>
        </w:rPr>
        <w:t>.</w:t>
      </w:r>
      <w:r w:rsidRPr="00133CA0">
        <w:rPr>
          <w:rFonts w:ascii="標楷體" w:eastAsia="標楷體" w:hAnsi="標楷體"/>
          <w:szCs w:val="24"/>
        </w:rPr>
        <w:t>Plasmacytoma體積增加≧50%。</w:t>
      </w:r>
    </w:p>
    <w:p w:rsidR="00892228" w:rsidRPr="00133CA0" w:rsidRDefault="00892228" w:rsidP="00892228">
      <w:pPr>
        <w:spacing w:line="400" w:lineRule="exact"/>
        <w:ind w:leftChars="381" w:left="1274" w:hangingChars="150" w:hanging="360"/>
        <w:rPr>
          <w:rFonts w:ascii="標楷體" w:eastAsia="標楷體" w:hAnsi="標楷體"/>
          <w:szCs w:val="24"/>
        </w:rPr>
      </w:pPr>
      <w:r w:rsidRPr="00133CA0">
        <w:rPr>
          <w:rFonts w:ascii="新細明體" w:hAnsi="新細明體" w:hint="eastAsia"/>
          <w:szCs w:val="24"/>
        </w:rPr>
        <w:t>ⅵ</w:t>
      </w:r>
      <w:r w:rsidRPr="00133CA0">
        <w:rPr>
          <w:rFonts w:ascii="標楷體" w:eastAsia="標楷體" w:hAnsi="標楷體" w:hint="eastAsia"/>
          <w:szCs w:val="24"/>
        </w:rPr>
        <w:t>.</w:t>
      </w:r>
      <w:r w:rsidRPr="00133CA0">
        <w:rPr>
          <w:rFonts w:ascii="標楷體" w:eastAsia="標楷體" w:hAnsi="標楷體"/>
          <w:szCs w:val="24"/>
        </w:rPr>
        <w:t>周邊血液中漿細胞比例≧20%或漿細胞絕對值≧2000 cells/μL。</w:t>
      </w:r>
    </w:p>
    <w:p w:rsidR="00892228" w:rsidRPr="00133CA0" w:rsidRDefault="00892228" w:rsidP="00892228">
      <w:pPr>
        <w:spacing w:line="400" w:lineRule="exact"/>
        <w:ind w:leftChars="263" w:left="991" w:hangingChars="150" w:hanging="360"/>
        <w:rPr>
          <w:rFonts w:ascii="標楷體" w:eastAsia="標楷體" w:hAnsi="標楷體"/>
          <w:color w:val="000000"/>
          <w:szCs w:val="24"/>
        </w:rPr>
      </w:pPr>
      <w:r w:rsidRPr="00133CA0">
        <w:rPr>
          <w:rFonts w:ascii="標楷體" w:eastAsia="標楷體" w:hAnsi="標楷體" w:hint="eastAsia"/>
          <w:color w:val="000000"/>
          <w:szCs w:val="24"/>
        </w:rPr>
        <w:t>Ⅱ.</w:t>
      </w:r>
      <w:r w:rsidRPr="00133CA0">
        <w:rPr>
          <w:rFonts w:ascii="標楷體" w:eastAsia="標楷體" w:hAnsi="標楷體"/>
          <w:color w:val="000000"/>
          <w:szCs w:val="24"/>
        </w:rPr>
        <w:t>出現下列任一臨床症狀：（112/4/1）</w:t>
      </w:r>
    </w:p>
    <w:p w:rsidR="00892228" w:rsidRPr="00133CA0" w:rsidRDefault="00892228" w:rsidP="00892228">
      <w:pPr>
        <w:spacing w:line="400" w:lineRule="exact"/>
        <w:ind w:leftChars="381" w:left="1274" w:hangingChars="150" w:hanging="360"/>
        <w:rPr>
          <w:rFonts w:ascii="標楷體" w:eastAsia="標楷體" w:hAnsi="標楷體"/>
          <w:szCs w:val="24"/>
        </w:rPr>
      </w:pPr>
      <w:r w:rsidRPr="00133CA0">
        <w:rPr>
          <w:rFonts w:ascii="新細明體" w:hAnsi="新細明體" w:hint="eastAsia"/>
          <w:szCs w:val="24"/>
        </w:rPr>
        <w:t>ⅰ</w:t>
      </w:r>
      <w:r w:rsidRPr="00133CA0">
        <w:rPr>
          <w:rFonts w:ascii="標楷體" w:eastAsia="標楷體" w:hAnsi="標楷體" w:hint="eastAsia"/>
          <w:szCs w:val="24"/>
        </w:rPr>
        <w:t>.</w:t>
      </w:r>
      <w:r w:rsidRPr="00133CA0">
        <w:rPr>
          <w:rFonts w:ascii="標楷體" w:eastAsia="標楷體" w:hAnsi="標楷體"/>
          <w:szCs w:val="24"/>
        </w:rPr>
        <w:t>新產生的bone lesion(s)或plasmacytoma；且須經病理切片證實。</w:t>
      </w:r>
    </w:p>
    <w:p w:rsidR="00892228" w:rsidRPr="00133CA0" w:rsidRDefault="00892228" w:rsidP="00892228">
      <w:pPr>
        <w:spacing w:line="400" w:lineRule="exact"/>
        <w:ind w:leftChars="381" w:left="1274" w:hangingChars="150" w:hanging="360"/>
        <w:rPr>
          <w:rFonts w:ascii="標楷體" w:eastAsia="標楷體" w:hAnsi="標楷體"/>
          <w:szCs w:val="24"/>
        </w:rPr>
      </w:pPr>
      <w:r w:rsidRPr="00133CA0">
        <w:rPr>
          <w:rFonts w:ascii="新細明體" w:hAnsi="新細明體" w:hint="eastAsia"/>
          <w:szCs w:val="24"/>
        </w:rPr>
        <w:t>ⅱ.</w:t>
      </w:r>
      <w:r w:rsidRPr="00133CA0">
        <w:rPr>
          <w:rFonts w:ascii="標楷體" w:eastAsia="標楷體" w:hAnsi="標楷體"/>
          <w:szCs w:val="24"/>
        </w:rPr>
        <w:t>Plasmacytoma 體積增加≧50%。</w:t>
      </w:r>
    </w:p>
    <w:p w:rsidR="00892228" w:rsidRPr="00133CA0" w:rsidRDefault="00892228" w:rsidP="00892228">
      <w:pPr>
        <w:spacing w:line="400" w:lineRule="exact"/>
        <w:ind w:leftChars="381" w:left="1274" w:hangingChars="150" w:hanging="360"/>
        <w:rPr>
          <w:rFonts w:ascii="標楷體" w:eastAsia="標楷體" w:hAnsi="標楷體"/>
          <w:szCs w:val="24"/>
        </w:rPr>
      </w:pPr>
      <w:r w:rsidRPr="008C204D">
        <w:rPr>
          <w:rFonts w:ascii="新細明體" w:hAnsi="新細明體" w:cs="新細明體" w:hint="eastAsia"/>
          <w:szCs w:val="24"/>
        </w:rPr>
        <w:t>ⅲ</w:t>
      </w:r>
      <w:r w:rsidRPr="00133CA0">
        <w:rPr>
          <w:rFonts w:ascii="標楷體" w:eastAsia="標楷體" w:hAnsi="標楷體" w:hint="eastAsia"/>
          <w:szCs w:val="24"/>
        </w:rPr>
        <w:t>.</w:t>
      </w:r>
      <w:r w:rsidRPr="00133CA0">
        <w:rPr>
          <w:rFonts w:ascii="標楷體" w:eastAsia="標楷體" w:hAnsi="標楷體"/>
          <w:szCs w:val="24"/>
        </w:rPr>
        <w:t>高血鈣(corrected serum calcium＞11.0 mg/dL 或 2.75 mmol/L)。</w:t>
      </w:r>
    </w:p>
    <w:p w:rsidR="00892228" w:rsidRPr="00133CA0" w:rsidRDefault="00892228" w:rsidP="00892228">
      <w:pPr>
        <w:spacing w:line="400" w:lineRule="exact"/>
        <w:ind w:leftChars="381" w:left="1274" w:hangingChars="150" w:hanging="360"/>
        <w:rPr>
          <w:rFonts w:ascii="標楷體" w:eastAsia="標楷體" w:hAnsi="標楷體"/>
          <w:szCs w:val="24"/>
        </w:rPr>
      </w:pPr>
      <w:r w:rsidRPr="008C204D">
        <w:rPr>
          <w:rFonts w:ascii="新細明體" w:hAnsi="新細明體" w:cs="新細明體" w:hint="eastAsia"/>
          <w:szCs w:val="24"/>
        </w:rPr>
        <w:t>ⅳ</w:t>
      </w:r>
      <w:r w:rsidRPr="00133CA0">
        <w:rPr>
          <w:rFonts w:ascii="標楷體" w:eastAsia="標楷體" w:hAnsi="標楷體" w:hint="eastAsia"/>
          <w:szCs w:val="24"/>
        </w:rPr>
        <w:t>.</w:t>
      </w:r>
      <w:r w:rsidRPr="00133CA0">
        <w:rPr>
          <w:rFonts w:ascii="標楷體" w:eastAsia="標楷體" w:hAnsi="標楷體"/>
          <w:szCs w:val="24"/>
        </w:rPr>
        <w:t>貧血(Hemoglobin 下降幅度≧ 2gm/dL且無其他原因可以解釋)。</w:t>
      </w:r>
    </w:p>
    <w:p w:rsidR="00892228" w:rsidRPr="00133CA0" w:rsidRDefault="00892228" w:rsidP="00892228">
      <w:pPr>
        <w:spacing w:line="400" w:lineRule="exact"/>
        <w:ind w:leftChars="381" w:left="1274" w:hangingChars="150" w:hanging="360"/>
        <w:rPr>
          <w:rFonts w:ascii="標楷體" w:eastAsia="標楷體" w:hAnsi="標楷體"/>
          <w:szCs w:val="24"/>
        </w:rPr>
      </w:pPr>
      <w:r w:rsidRPr="008C204D">
        <w:rPr>
          <w:rFonts w:ascii="新細明體" w:hAnsi="新細明體" w:cs="新細明體" w:hint="eastAsia"/>
          <w:szCs w:val="24"/>
        </w:rPr>
        <w:t>ⅴ</w:t>
      </w:r>
      <w:r w:rsidRPr="00133CA0">
        <w:rPr>
          <w:rFonts w:ascii="標楷體" w:eastAsia="標楷體" w:hAnsi="標楷體" w:hint="eastAsia"/>
          <w:szCs w:val="24"/>
        </w:rPr>
        <w:t>.</w:t>
      </w:r>
      <w:r w:rsidRPr="00133CA0">
        <w:rPr>
          <w:rFonts w:ascii="標楷體" w:eastAsia="標楷體" w:hAnsi="標楷體"/>
          <w:szCs w:val="24"/>
        </w:rPr>
        <w:t>腎功能惡化(eGFR需下降幅度≧25%)，且無其他原因可以解釋。</w:t>
      </w:r>
    </w:p>
    <w:p w:rsidR="00892228" w:rsidRPr="00133CA0" w:rsidRDefault="00892228" w:rsidP="00892228">
      <w:pPr>
        <w:spacing w:line="400" w:lineRule="exact"/>
        <w:ind w:leftChars="381" w:left="1274" w:hangingChars="150" w:hanging="360"/>
        <w:rPr>
          <w:rFonts w:ascii="標楷體" w:eastAsia="標楷體" w:hAnsi="標楷體"/>
          <w:szCs w:val="24"/>
        </w:rPr>
      </w:pPr>
      <w:r w:rsidRPr="008C204D">
        <w:rPr>
          <w:rFonts w:ascii="新細明體" w:hAnsi="新細明體" w:cs="新細明體" w:hint="eastAsia"/>
          <w:szCs w:val="24"/>
        </w:rPr>
        <w:t>ⅵ</w:t>
      </w:r>
      <w:r w:rsidRPr="00133CA0">
        <w:rPr>
          <w:rFonts w:ascii="標楷體" w:eastAsia="標楷體" w:hAnsi="標楷體" w:hint="eastAsia"/>
          <w:szCs w:val="24"/>
        </w:rPr>
        <w:t>.</w:t>
      </w:r>
      <w:r w:rsidRPr="00133CA0">
        <w:rPr>
          <w:rFonts w:ascii="標楷體" w:eastAsia="標楷體" w:hAnsi="標楷體"/>
          <w:szCs w:val="24"/>
        </w:rPr>
        <w:t>出現其他 end-organ dysfunctions。</w:t>
      </w:r>
    </w:p>
    <w:p w:rsidR="00892228" w:rsidRPr="00133CA0" w:rsidRDefault="00892228" w:rsidP="00892228">
      <w:pPr>
        <w:spacing w:line="400" w:lineRule="exact"/>
        <w:ind w:leftChars="145" w:left="708" w:hangingChars="150" w:hanging="360"/>
        <w:rPr>
          <w:rFonts w:ascii="標楷體" w:eastAsia="標楷體" w:hAnsi="標楷體"/>
          <w:szCs w:val="24"/>
        </w:rPr>
      </w:pPr>
      <w:r w:rsidRPr="00133CA0">
        <w:rPr>
          <w:rFonts w:ascii="標楷體" w:eastAsia="標楷體" w:hAnsi="標楷體" w:hint="eastAsia"/>
          <w:color w:val="000000"/>
          <w:szCs w:val="24"/>
        </w:rPr>
        <w:t>(3)須經事前審查核准後使用，每次申請事前審查之療程以</w:t>
      </w:r>
      <w:r w:rsidRPr="00133CA0">
        <w:rPr>
          <w:rFonts w:ascii="標楷體" w:eastAsia="標楷體" w:hAnsi="標楷體"/>
          <w:color w:val="000000"/>
          <w:szCs w:val="24"/>
        </w:rPr>
        <w:t>4</w:t>
      </w:r>
      <w:r w:rsidRPr="00133CA0">
        <w:rPr>
          <w:rFonts w:ascii="標楷體" w:eastAsia="標楷體" w:hAnsi="標楷體" w:hint="eastAsia"/>
          <w:color w:val="000000"/>
          <w:szCs w:val="24"/>
        </w:rPr>
        <w:t>個療程為限，每</w:t>
      </w:r>
      <w:r w:rsidRPr="00133CA0">
        <w:rPr>
          <w:rFonts w:ascii="標楷體" w:eastAsia="標楷體" w:hAnsi="標楷體"/>
          <w:color w:val="000000"/>
          <w:szCs w:val="24"/>
        </w:rPr>
        <w:t>4</w:t>
      </w:r>
      <w:r w:rsidRPr="00133CA0">
        <w:rPr>
          <w:rFonts w:ascii="標楷體" w:eastAsia="標楷體" w:hAnsi="標楷體" w:hint="eastAsia"/>
          <w:color w:val="000000"/>
          <w:szCs w:val="24"/>
        </w:rPr>
        <w:t>個療程須再次申請。</w:t>
      </w:r>
    </w:p>
    <w:p w:rsidR="00892228" w:rsidRPr="00133CA0" w:rsidRDefault="00892228" w:rsidP="00892228">
      <w:pPr>
        <w:spacing w:line="400" w:lineRule="exact"/>
        <w:ind w:leftChars="200" w:left="840" w:hangingChars="150" w:hanging="360"/>
        <w:rPr>
          <w:rFonts w:ascii="標楷體" w:eastAsia="標楷體" w:hAnsi="標楷體"/>
          <w:szCs w:val="24"/>
        </w:rPr>
      </w:pPr>
      <w:r w:rsidRPr="00133CA0">
        <w:rPr>
          <w:rFonts w:ascii="標楷體" w:eastAsia="標楷體" w:hAnsi="標楷體" w:hint="eastAsia"/>
          <w:szCs w:val="24"/>
        </w:rPr>
        <w:t>Ⅰ.每天限給付</w:t>
      </w:r>
      <w:r w:rsidRPr="00133CA0">
        <w:rPr>
          <w:rFonts w:ascii="標楷體" w:eastAsia="標楷體" w:hAnsi="標楷體"/>
          <w:szCs w:val="24"/>
        </w:rPr>
        <w:t>1</w:t>
      </w:r>
      <w:r w:rsidRPr="00133CA0">
        <w:rPr>
          <w:rFonts w:ascii="標楷體" w:eastAsia="標楷體" w:hAnsi="標楷體" w:hint="eastAsia"/>
          <w:szCs w:val="24"/>
        </w:rPr>
        <w:t>粒。</w:t>
      </w:r>
    </w:p>
    <w:p w:rsidR="00892228" w:rsidRPr="00133CA0" w:rsidRDefault="00892228" w:rsidP="00892228">
      <w:pPr>
        <w:spacing w:line="400" w:lineRule="exact"/>
        <w:ind w:leftChars="200" w:left="840" w:hangingChars="150" w:hanging="360"/>
        <w:rPr>
          <w:rFonts w:ascii="標楷體" w:eastAsia="標楷體" w:hAnsi="標楷體"/>
          <w:szCs w:val="24"/>
        </w:rPr>
      </w:pPr>
      <w:r w:rsidRPr="00133CA0">
        <w:rPr>
          <w:rFonts w:ascii="標楷體" w:eastAsia="標楷體" w:hAnsi="標楷體" w:hint="eastAsia"/>
          <w:szCs w:val="24"/>
        </w:rPr>
        <w:t>Ⅱ.使用</w:t>
      </w:r>
      <w:r w:rsidRPr="00133CA0">
        <w:rPr>
          <w:rFonts w:ascii="標楷體" w:eastAsia="標楷體" w:hAnsi="標楷體"/>
          <w:szCs w:val="24"/>
        </w:rPr>
        <w:t>4</w:t>
      </w:r>
      <w:r w:rsidRPr="00133CA0">
        <w:rPr>
          <w:rFonts w:ascii="標楷體" w:eastAsia="標楷體" w:hAnsi="標楷體" w:hint="eastAsia"/>
          <w:szCs w:val="24"/>
        </w:rPr>
        <w:t>個療程後，必須確定</w:t>
      </w:r>
      <w:r w:rsidRPr="00133CA0">
        <w:rPr>
          <w:rFonts w:ascii="標楷體" w:eastAsia="標楷體" w:hAnsi="標楷體"/>
          <w:szCs w:val="24"/>
        </w:rPr>
        <w:t>paraprotein(M-protein)</w:t>
      </w:r>
      <w:r w:rsidRPr="00133CA0">
        <w:rPr>
          <w:rFonts w:ascii="標楷體" w:eastAsia="標楷體" w:hAnsi="標楷體" w:hint="eastAsia"/>
          <w:szCs w:val="24"/>
        </w:rPr>
        <w:t>未上升</w:t>
      </w:r>
      <w:r w:rsidRPr="00133CA0">
        <w:rPr>
          <w:rFonts w:ascii="標楷體" w:eastAsia="標楷體" w:hAnsi="標楷體"/>
          <w:szCs w:val="24"/>
        </w:rPr>
        <w:t>(</w:t>
      </w:r>
      <w:r w:rsidRPr="00133CA0">
        <w:rPr>
          <w:rFonts w:ascii="標楷體" w:eastAsia="標楷體" w:hAnsi="標楷體" w:hint="eastAsia"/>
          <w:szCs w:val="24"/>
        </w:rPr>
        <w:t>即表示對藥物有反應或為穩定狀態</w:t>
      </w:r>
      <w:r w:rsidRPr="00133CA0">
        <w:rPr>
          <w:rFonts w:ascii="標楷體" w:eastAsia="標楷體" w:hAnsi="標楷體"/>
          <w:szCs w:val="24"/>
        </w:rPr>
        <w:t>)</w:t>
      </w:r>
      <w:r w:rsidRPr="00133CA0">
        <w:rPr>
          <w:rFonts w:ascii="標楷體" w:eastAsia="標楷體" w:hAnsi="標楷體" w:hint="eastAsia"/>
          <w:szCs w:val="24"/>
        </w:rPr>
        <w:t>或對部分</w:t>
      </w:r>
      <w:r w:rsidRPr="00133CA0">
        <w:rPr>
          <w:rFonts w:ascii="標楷體" w:eastAsia="標楷體" w:hAnsi="標楷體"/>
          <w:szCs w:val="24"/>
        </w:rPr>
        <w:t>non-secretory type MM</w:t>
      </w:r>
      <w:r w:rsidRPr="00133CA0">
        <w:rPr>
          <w:rFonts w:ascii="標楷體" w:eastAsia="標楷體" w:hAnsi="標楷體" w:hint="eastAsia"/>
          <w:szCs w:val="24"/>
        </w:rPr>
        <w:t>病人以骨髓檢查</w:t>
      </w:r>
      <w:r w:rsidRPr="00133CA0">
        <w:rPr>
          <w:rFonts w:ascii="標楷體" w:eastAsia="標楷體" w:hAnsi="標楷體"/>
          <w:szCs w:val="24"/>
        </w:rPr>
        <w:t>plasma cell</w:t>
      </w:r>
      <w:r w:rsidRPr="00133CA0">
        <w:rPr>
          <w:rFonts w:ascii="標楷體" w:eastAsia="標楷體" w:hAnsi="標楷體" w:hint="eastAsia"/>
          <w:szCs w:val="24"/>
        </w:rPr>
        <w:t>為療效依據，方可繼續使用。</w:t>
      </w:r>
    </w:p>
    <w:p w:rsidR="00892228" w:rsidRPr="00133CA0" w:rsidRDefault="00892228" w:rsidP="00892228">
      <w:pPr>
        <w:spacing w:line="400" w:lineRule="exact"/>
        <w:ind w:leftChars="145" w:left="708" w:hangingChars="150" w:hanging="360"/>
        <w:rPr>
          <w:rFonts w:ascii="標楷體" w:eastAsia="標楷體" w:hAnsi="標楷體"/>
          <w:color w:val="000000"/>
          <w:szCs w:val="24"/>
        </w:rPr>
      </w:pPr>
      <w:r w:rsidRPr="00133CA0">
        <w:rPr>
          <w:rFonts w:ascii="標楷體" w:eastAsia="標楷體" w:hAnsi="標楷體" w:hint="eastAsia"/>
          <w:color w:val="000000"/>
          <w:szCs w:val="24"/>
        </w:rPr>
        <w:t>(4)每人終生至多給付</w:t>
      </w:r>
      <w:r w:rsidRPr="00133CA0">
        <w:rPr>
          <w:rFonts w:ascii="標楷體" w:eastAsia="標楷體" w:hAnsi="標楷體"/>
          <w:color w:val="000000"/>
          <w:szCs w:val="24"/>
        </w:rPr>
        <w:t>24</w:t>
      </w:r>
      <w:r w:rsidRPr="00133CA0">
        <w:rPr>
          <w:rFonts w:ascii="標楷體" w:eastAsia="標楷體" w:hAnsi="標楷體" w:hint="eastAsia"/>
          <w:color w:val="000000"/>
          <w:szCs w:val="24"/>
        </w:rPr>
        <w:t>個療程為限（每療程為</w:t>
      </w:r>
      <w:r w:rsidRPr="00133CA0">
        <w:rPr>
          <w:rFonts w:ascii="標楷體" w:eastAsia="標楷體" w:hAnsi="標楷體"/>
          <w:color w:val="000000"/>
          <w:szCs w:val="24"/>
        </w:rPr>
        <w:t>4</w:t>
      </w:r>
      <w:r w:rsidRPr="00133CA0">
        <w:rPr>
          <w:rFonts w:ascii="標楷體" w:eastAsia="標楷體" w:hAnsi="標楷體" w:hint="eastAsia"/>
          <w:color w:val="000000"/>
          <w:szCs w:val="24"/>
        </w:rPr>
        <w:t>週）。（</w:t>
      </w:r>
      <w:r w:rsidRPr="00133CA0">
        <w:rPr>
          <w:rFonts w:ascii="標楷體" w:eastAsia="標楷體" w:hAnsi="標楷體"/>
          <w:color w:val="000000"/>
          <w:szCs w:val="24"/>
        </w:rPr>
        <w:t>106/10/1</w:t>
      </w:r>
      <w:r w:rsidRPr="00133CA0">
        <w:rPr>
          <w:rFonts w:ascii="標楷體" w:eastAsia="標楷體" w:hAnsi="標楷體" w:hint="eastAsia"/>
          <w:color w:val="000000"/>
          <w:szCs w:val="24"/>
        </w:rPr>
        <w:t>、</w:t>
      </w:r>
      <w:r w:rsidRPr="00133CA0">
        <w:rPr>
          <w:rFonts w:ascii="標楷體" w:eastAsia="標楷體" w:hAnsi="標楷體"/>
          <w:color w:val="000000"/>
          <w:szCs w:val="24"/>
        </w:rPr>
        <w:t>109/2/1</w:t>
      </w:r>
      <w:r w:rsidRPr="00133CA0">
        <w:rPr>
          <w:rFonts w:ascii="標楷體" w:eastAsia="標楷體" w:hAnsi="標楷體" w:hint="eastAsia"/>
          <w:color w:val="000000"/>
          <w:szCs w:val="24"/>
        </w:rPr>
        <w:t>、</w:t>
      </w:r>
      <w:r w:rsidRPr="00133CA0">
        <w:rPr>
          <w:rFonts w:ascii="標楷體" w:eastAsia="標楷體" w:hAnsi="標楷體"/>
          <w:color w:val="000000"/>
          <w:szCs w:val="24"/>
        </w:rPr>
        <w:t>109/8/1</w:t>
      </w:r>
      <w:r w:rsidRPr="00133CA0">
        <w:rPr>
          <w:rFonts w:ascii="標楷體" w:eastAsia="標楷體" w:hAnsi="標楷體" w:hint="eastAsia"/>
          <w:color w:val="000000"/>
          <w:szCs w:val="24"/>
        </w:rPr>
        <w:t>、</w:t>
      </w:r>
      <w:r w:rsidRPr="00133CA0">
        <w:rPr>
          <w:rFonts w:ascii="標楷體" w:eastAsia="標楷體" w:hAnsi="標楷體"/>
          <w:color w:val="000000"/>
          <w:szCs w:val="24"/>
        </w:rPr>
        <w:t>112/4/1</w:t>
      </w:r>
      <w:r w:rsidRPr="00133CA0">
        <w:rPr>
          <w:rFonts w:ascii="標楷體" w:eastAsia="標楷體" w:hAnsi="標楷體" w:hint="eastAsia"/>
          <w:color w:val="000000"/>
          <w:szCs w:val="24"/>
        </w:rPr>
        <w:t>）</w:t>
      </w:r>
    </w:p>
    <w:p w:rsidR="00892228" w:rsidRPr="00133CA0" w:rsidRDefault="00892228" w:rsidP="00892228">
      <w:pPr>
        <w:spacing w:line="400" w:lineRule="exact"/>
        <w:ind w:leftChars="145" w:left="708" w:hangingChars="150" w:hanging="360"/>
        <w:rPr>
          <w:rFonts w:ascii="標楷體" w:eastAsia="標楷體" w:hAnsi="標楷體"/>
          <w:color w:val="000000"/>
          <w:szCs w:val="24"/>
        </w:rPr>
      </w:pPr>
      <w:r w:rsidRPr="00133CA0">
        <w:rPr>
          <w:rFonts w:ascii="標楷體" w:eastAsia="標楷體" w:hAnsi="標楷體" w:hint="eastAsia"/>
          <w:color w:val="000000"/>
          <w:szCs w:val="24"/>
        </w:rPr>
        <w:t>(5)</w:t>
      </w:r>
      <w:r w:rsidRPr="00133CA0">
        <w:rPr>
          <w:rFonts w:ascii="標楷體" w:eastAsia="標楷體" w:hAnsi="標楷體"/>
          <w:color w:val="000000"/>
          <w:szCs w:val="24"/>
        </w:rPr>
        <w:t>112</w:t>
      </w:r>
      <w:r w:rsidRPr="00133CA0">
        <w:rPr>
          <w:rFonts w:ascii="標楷體" w:eastAsia="標楷體" w:hAnsi="標楷體" w:hint="eastAsia"/>
          <w:color w:val="000000"/>
          <w:szCs w:val="24"/>
        </w:rPr>
        <w:t>年</w:t>
      </w:r>
      <w:r w:rsidRPr="00133CA0">
        <w:rPr>
          <w:rFonts w:ascii="標楷體" w:eastAsia="標楷體" w:hAnsi="標楷體"/>
          <w:color w:val="000000"/>
          <w:szCs w:val="24"/>
        </w:rPr>
        <w:t>3</w:t>
      </w:r>
      <w:r w:rsidRPr="00133CA0">
        <w:rPr>
          <w:rFonts w:ascii="標楷體" w:eastAsia="標楷體" w:hAnsi="標楷體" w:hint="eastAsia"/>
          <w:color w:val="000000"/>
          <w:szCs w:val="24"/>
        </w:rPr>
        <w:t>月</w:t>
      </w:r>
      <w:r w:rsidRPr="00133CA0">
        <w:rPr>
          <w:rFonts w:ascii="標楷體" w:eastAsia="標楷體" w:hAnsi="標楷體"/>
          <w:color w:val="000000"/>
          <w:szCs w:val="24"/>
        </w:rPr>
        <w:t>31</w:t>
      </w:r>
      <w:r w:rsidRPr="00133CA0">
        <w:rPr>
          <w:rFonts w:ascii="標楷體" w:eastAsia="標楷體" w:hAnsi="標楷體" w:hint="eastAsia"/>
          <w:color w:val="000000"/>
          <w:szCs w:val="24"/>
        </w:rPr>
        <w:t>日以前已核定用藥之病人，得經事前審查核准後，使用至總療程上限（即終生</w:t>
      </w:r>
      <w:r w:rsidRPr="00133CA0">
        <w:rPr>
          <w:rFonts w:ascii="標楷體" w:eastAsia="標楷體" w:hAnsi="標楷體"/>
          <w:color w:val="000000"/>
          <w:szCs w:val="24"/>
        </w:rPr>
        <w:t>24</w:t>
      </w:r>
      <w:r w:rsidRPr="00133CA0">
        <w:rPr>
          <w:rFonts w:ascii="標楷體" w:eastAsia="標楷體" w:hAnsi="標楷體" w:hint="eastAsia"/>
          <w:color w:val="000000"/>
          <w:szCs w:val="24"/>
        </w:rPr>
        <w:t>個療程）或使用期間發生疾病惡化為止。（</w:t>
      </w:r>
      <w:r w:rsidRPr="00133CA0">
        <w:rPr>
          <w:rFonts w:ascii="標楷體" w:eastAsia="標楷體" w:hAnsi="標楷體"/>
          <w:color w:val="000000"/>
          <w:szCs w:val="24"/>
        </w:rPr>
        <w:t>112/4/1</w:t>
      </w:r>
      <w:r w:rsidRPr="00133CA0">
        <w:rPr>
          <w:rFonts w:ascii="標楷體" w:eastAsia="標楷體" w:hAnsi="標楷體" w:hint="eastAsia"/>
          <w:color w:val="000000"/>
          <w:szCs w:val="24"/>
        </w:rPr>
        <w:t>）</w:t>
      </w:r>
    </w:p>
    <w:p w:rsidR="00892228" w:rsidRPr="00133CA0" w:rsidRDefault="00892228" w:rsidP="00892228">
      <w:pPr>
        <w:spacing w:line="400" w:lineRule="exact"/>
        <w:ind w:leftChars="118" w:left="283"/>
        <w:rPr>
          <w:rFonts w:ascii="標楷體" w:eastAsia="標楷體" w:hAnsi="標楷體"/>
          <w:kern w:val="0"/>
          <w:szCs w:val="24"/>
        </w:rPr>
      </w:pPr>
      <w:r w:rsidRPr="00133CA0">
        <w:rPr>
          <w:rFonts w:ascii="標楷體" w:eastAsia="標楷體" w:hAnsi="標楷體" w:hint="eastAsia"/>
          <w:szCs w:val="24"/>
        </w:rPr>
        <w:t>2.瀰漫性大型</w:t>
      </w:r>
      <w:r w:rsidRPr="00133CA0">
        <w:rPr>
          <w:rFonts w:ascii="標楷體" w:eastAsia="標楷體" w:hAnsi="標楷體"/>
          <w:szCs w:val="24"/>
        </w:rPr>
        <w:t>B</w:t>
      </w:r>
      <w:r w:rsidRPr="00133CA0">
        <w:rPr>
          <w:rFonts w:ascii="標楷體" w:eastAsia="標楷體" w:hAnsi="標楷體" w:hint="eastAsia"/>
          <w:szCs w:val="24"/>
        </w:rPr>
        <w:t>細胞淋巴瘤：</w:t>
      </w:r>
      <w:r w:rsidRPr="00133CA0">
        <w:rPr>
          <w:rFonts w:ascii="標楷體" w:eastAsia="標楷體" w:hAnsi="標楷體"/>
          <w:szCs w:val="24"/>
        </w:rPr>
        <w:t>(</w:t>
      </w:r>
      <w:r w:rsidRPr="00133CA0">
        <w:rPr>
          <w:rFonts w:ascii="標楷體" w:eastAsia="標楷體" w:hAnsi="標楷體" w:hint="eastAsia"/>
          <w:szCs w:val="24"/>
        </w:rPr>
        <w:t>114</w:t>
      </w:r>
      <w:r w:rsidRPr="00133CA0">
        <w:rPr>
          <w:rFonts w:ascii="標楷體" w:eastAsia="標楷體" w:hAnsi="標楷體"/>
          <w:szCs w:val="24"/>
        </w:rPr>
        <w:t>/</w:t>
      </w:r>
      <w:r w:rsidRPr="00133CA0">
        <w:rPr>
          <w:rFonts w:ascii="標楷體" w:eastAsia="標楷體" w:hAnsi="標楷體" w:hint="eastAsia"/>
          <w:szCs w:val="24"/>
        </w:rPr>
        <w:t>10</w:t>
      </w:r>
      <w:r w:rsidRPr="00133CA0">
        <w:rPr>
          <w:rFonts w:ascii="標楷體" w:eastAsia="標楷體" w:hAnsi="標楷體"/>
          <w:szCs w:val="24"/>
        </w:rPr>
        <w:t>/1)</w:t>
      </w:r>
    </w:p>
    <w:p w:rsidR="00892228" w:rsidRPr="00133CA0" w:rsidRDefault="00892228" w:rsidP="00892228">
      <w:pPr>
        <w:spacing w:line="400" w:lineRule="exact"/>
        <w:ind w:leftChars="145" w:left="708" w:hangingChars="150" w:hanging="360"/>
        <w:rPr>
          <w:rFonts w:ascii="標楷體" w:eastAsia="標楷體" w:hAnsi="標楷體"/>
          <w:color w:val="000000"/>
          <w:szCs w:val="24"/>
        </w:rPr>
      </w:pPr>
      <w:r w:rsidRPr="00133CA0">
        <w:rPr>
          <w:rFonts w:ascii="標楷體" w:eastAsia="標楷體" w:hAnsi="標楷體" w:hint="eastAsia"/>
          <w:color w:val="000000"/>
          <w:szCs w:val="24"/>
        </w:rPr>
        <w:lastRenderedPageBreak/>
        <w:t>(1)</w:t>
      </w:r>
      <w:r w:rsidRPr="00133CA0">
        <w:rPr>
          <w:rFonts w:ascii="標楷體" w:eastAsia="標楷體" w:hAnsi="標楷體"/>
          <w:color w:val="000000"/>
          <w:szCs w:val="24"/>
        </w:rPr>
        <w:t>Lenalidomide(</w:t>
      </w:r>
      <w:r w:rsidRPr="00133CA0">
        <w:rPr>
          <w:rFonts w:ascii="標楷體" w:eastAsia="標楷體" w:hAnsi="標楷體" w:hint="eastAsia"/>
          <w:color w:val="000000"/>
          <w:szCs w:val="24"/>
        </w:rPr>
        <w:t>限使用L</w:t>
      </w:r>
      <w:r w:rsidRPr="00133CA0">
        <w:rPr>
          <w:rFonts w:ascii="標楷體" w:eastAsia="標楷體" w:hAnsi="標楷體"/>
          <w:color w:val="000000"/>
          <w:szCs w:val="24"/>
        </w:rPr>
        <w:t>eavdo)</w:t>
      </w:r>
      <w:r w:rsidRPr="00133CA0">
        <w:rPr>
          <w:rFonts w:ascii="標楷體" w:eastAsia="標楷體" w:hAnsi="標楷體" w:hint="eastAsia"/>
          <w:color w:val="000000"/>
          <w:szCs w:val="24"/>
        </w:rPr>
        <w:t xml:space="preserve">與 </w:t>
      </w:r>
      <w:r w:rsidRPr="00133CA0">
        <w:rPr>
          <w:rFonts w:ascii="標楷體" w:eastAsia="標楷體" w:hAnsi="標楷體"/>
          <w:color w:val="000000"/>
          <w:szCs w:val="24"/>
        </w:rPr>
        <w:t>tafasitamab</w:t>
      </w:r>
      <w:r w:rsidRPr="00133CA0">
        <w:rPr>
          <w:rFonts w:ascii="標楷體" w:eastAsia="標楷體" w:hAnsi="標楷體" w:hint="eastAsia"/>
          <w:color w:val="000000"/>
          <w:szCs w:val="24"/>
        </w:rPr>
        <w:t>合併使用於經一線全身治療含</w:t>
      </w:r>
      <w:r w:rsidRPr="00133CA0">
        <w:rPr>
          <w:rFonts w:ascii="標楷體" w:eastAsia="標楷體" w:hAnsi="標楷體"/>
          <w:color w:val="000000"/>
          <w:szCs w:val="24"/>
        </w:rPr>
        <w:t>rituximab</w:t>
      </w:r>
      <w:r w:rsidRPr="00133CA0">
        <w:rPr>
          <w:rFonts w:ascii="標楷體" w:eastAsia="標楷體" w:hAnsi="標楷體" w:hint="eastAsia"/>
          <w:color w:val="000000"/>
          <w:szCs w:val="24"/>
        </w:rPr>
        <w:t>治療復發型，不適合接受造血幹細胞移植瀰漫性大型</w:t>
      </w:r>
      <w:r w:rsidRPr="00133CA0">
        <w:rPr>
          <w:rFonts w:ascii="標楷體" w:eastAsia="標楷體" w:hAnsi="標楷體"/>
          <w:color w:val="000000"/>
          <w:szCs w:val="24"/>
        </w:rPr>
        <w:t>B</w:t>
      </w:r>
      <w:r w:rsidRPr="00133CA0">
        <w:rPr>
          <w:rFonts w:ascii="標楷體" w:eastAsia="標楷體" w:hAnsi="標楷體" w:hint="eastAsia"/>
          <w:color w:val="000000"/>
          <w:szCs w:val="24"/>
        </w:rPr>
        <w:t>細胞淋巴瘤</w:t>
      </w:r>
      <w:r w:rsidRPr="00133CA0">
        <w:rPr>
          <w:rFonts w:ascii="標楷體" w:eastAsia="標楷體" w:hAnsi="標楷體"/>
          <w:color w:val="000000"/>
          <w:szCs w:val="24"/>
        </w:rPr>
        <w:t>(DLBCL)</w:t>
      </w:r>
      <w:r w:rsidRPr="00133CA0">
        <w:rPr>
          <w:rFonts w:ascii="標楷體" w:eastAsia="標楷體" w:hAnsi="標楷體" w:hint="eastAsia"/>
          <w:color w:val="000000"/>
          <w:szCs w:val="24"/>
        </w:rPr>
        <w:t>成人病人，病人須符合</w:t>
      </w:r>
      <w:r w:rsidRPr="00133CA0">
        <w:rPr>
          <w:rFonts w:ascii="標楷體" w:eastAsia="標楷體" w:hAnsi="標楷體"/>
          <w:color w:val="000000"/>
          <w:szCs w:val="24"/>
        </w:rPr>
        <w:t>tafasitamab</w:t>
      </w:r>
      <w:r w:rsidRPr="00133CA0">
        <w:rPr>
          <w:rFonts w:ascii="標楷體" w:eastAsia="標楷體" w:hAnsi="標楷體" w:hint="eastAsia"/>
          <w:color w:val="000000"/>
          <w:szCs w:val="24"/>
        </w:rPr>
        <w:t>之藥品給付規定。</w:t>
      </w:r>
    </w:p>
    <w:p w:rsidR="00892228" w:rsidRPr="00133CA0" w:rsidRDefault="00892228" w:rsidP="00892228">
      <w:pPr>
        <w:spacing w:line="400" w:lineRule="exact"/>
        <w:ind w:leftChars="145" w:left="708" w:hangingChars="150" w:hanging="360"/>
        <w:rPr>
          <w:rFonts w:ascii="標楷體" w:eastAsia="標楷體" w:hAnsi="標楷體"/>
          <w:color w:val="000000"/>
          <w:szCs w:val="24"/>
        </w:rPr>
      </w:pPr>
      <w:r w:rsidRPr="00133CA0">
        <w:rPr>
          <w:rFonts w:ascii="標楷體" w:eastAsia="標楷體" w:hAnsi="標楷體" w:hint="eastAsia"/>
          <w:color w:val="000000"/>
          <w:szCs w:val="24"/>
        </w:rPr>
        <w:t>(2)須經事前審查核准後使用。</w:t>
      </w:r>
    </w:p>
    <w:p w:rsidR="00892228" w:rsidRPr="00133CA0" w:rsidRDefault="00892228" w:rsidP="00892228">
      <w:pPr>
        <w:spacing w:line="400" w:lineRule="exact"/>
        <w:ind w:leftChars="145" w:left="708" w:hangingChars="150" w:hanging="360"/>
        <w:rPr>
          <w:rFonts w:ascii="標楷體" w:eastAsia="標楷體" w:hAnsi="標楷體"/>
          <w:szCs w:val="24"/>
        </w:rPr>
      </w:pPr>
      <w:r w:rsidRPr="008C204D">
        <w:rPr>
          <w:rFonts w:ascii="標楷體" w:eastAsia="標楷體" w:hAnsi="標楷體" w:hint="eastAsia"/>
          <w:color w:val="000000"/>
          <w:szCs w:val="24"/>
        </w:rPr>
        <w:t>Ⅰ.每人至多</w:t>
      </w:r>
      <w:r w:rsidRPr="00133CA0">
        <w:rPr>
          <w:rFonts w:ascii="標楷體" w:eastAsia="標楷體" w:hAnsi="標楷體" w:hint="eastAsia"/>
          <w:szCs w:val="24"/>
        </w:rPr>
        <w:t>給付</w:t>
      </w:r>
      <w:r w:rsidRPr="00133CA0">
        <w:rPr>
          <w:rFonts w:ascii="標楷體" w:eastAsia="標楷體" w:hAnsi="標楷體"/>
          <w:szCs w:val="24"/>
        </w:rPr>
        <w:t>12</w:t>
      </w:r>
      <w:r w:rsidRPr="00133CA0">
        <w:rPr>
          <w:rFonts w:ascii="標楷體" w:eastAsia="標楷體" w:hAnsi="標楷體" w:hint="eastAsia"/>
          <w:szCs w:val="24"/>
        </w:rPr>
        <w:t>個療程。</w:t>
      </w:r>
    </w:p>
    <w:p w:rsidR="00B96EA0" w:rsidRDefault="00892228" w:rsidP="00892228">
      <w:pPr>
        <w:spacing w:line="400" w:lineRule="exact"/>
        <w:ind w:left="811" w:hanging="245"/>
      </w:pPr>
      <w:r w:rsidRPr="00133CA0">
        <w:rPr>
          <w:rFonts w:ascii="標楷體" w:eastAsia="標楷體" w:hAnsi="標楷體" w:hint="eastAsia"/>
          <w:szCs w:val="24"/>
        </w:rPr>
        <w:t>Ⅱ.每天限給付1粒。</w:t>
      </w:r>
    </w:p>
    <w:p w:rsidR="00B96EA0" w:rsidRDefault="00336F3D" w:rsidP="00892228">
      <w:pPr>
        <w:spacing w:line="400" w:lineRule="exact"/>
        <w:ind w:left="426" w:hanging="245"/>
        <w:rPr>
          <w:rFonts w:ascii="標楷體" w:eastAsia="標楷體" w:hAnsi="標楷體"/>
          <w:color w:val="000000"/>
        </w:rPr>
      </w:pPr>
      <w:r w:rsidRPr="004C7F93">
        <w:rPr>
          <w:rFonts w:ascii="標楷體" w:eastAsia="標楷體" w:hAnsi="標楷體" w:hint="eastAsia"/>
          <w:color w:val="000000"/>
        </w:rPr>
        <w:t>9.44.Azacitidine：（102/1/1、111/5/1、111/8/1、112/2/1、112/8/1、114/3/1、114/5/1、114/8/1、114/10/1）</w:t>
      </w:r>
    </w:p>
    <w:p w:rsidR="00B07C9A" w:rsidRPr="004C7F93" w:rsidRDefault="00B07C9A" w:rsidP="00B07C9A">
      <w:pPr>
        <w:spacing w:line="400" w:lineRule="exact"/>
        <w:ind w:leftChars="100" w:left="1080" w:hangingChars="350" w:hanging="840"/>
        <w:rPr>
          <w:rFonts w:ascii="標楷體" w:eastAsia="標楷體" w:hAnsi="標楷體"/>
          <w:color w:val="000000"/>
        </w:rPr>
      </w:pPr>
      <w:r w:rsidRPr="004C7F93">
        <w:rPr>
          <w:rFonts w:ascii="標楷體" w:eastAsia="標楷體" w:hAnsi="標楷體" w:hint="eastAsia"/>
          <w:color w:val="000000"/>
        </w:rPr>
        <w:t>9.44.1.Azacitidine 注射劑（如Vidaza）：（102/1/1、111/5/1、111/8/1、112/2/1、112/8/1、114/3/1、114/8/1）</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1.骨髓增生不良症候群高危險性病患：頑固性貧血併有過量芽細胞（RA with excess blasts, RAEB）、轉變中的頑固性貧血併有過量芽細胞（RAEB in transformation, RAEB-T）、及慢性骨髓單核細胞性白血病（chronic myelomonocytic leukemia, CMMoL）。</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(1)需經事前審查核准後使用，申請事前審查時必須確定病患無病情惡化至急性骨髓性白血病，即可繼續使用。</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Ⅰ.第一次申請4個治療療程。</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Ⅱ.第二次開始每3個療程申請一次。</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(2)初次申請時需經事前審查核准後使用，續用不需再事前審查，惟病歷應留存確診之病理或影像診斷證明等報告，並記錄治療相關臨床資料。病患倘病情惡化至急性骨髓性白血病即應停藥。（111/8/1、112/2/1、112/8/1、114/3/1、114/8/1）</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(3)急性骨髓性白血病之定義：骨髓芽細胞（myeloblast）大於30%。</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(4)本藥品與decitabine僅能擇一使用，除因耐受性不良，不得互換。若因無法耐受 decitabine而轉換至本藥品時需事前申請。使用本藥品無效後，不得再申請decitabine。（111/5/1）</w:t>
      </w:r>
    </w:p>
    <w:p w:rsidR="00B07C9A" w:rsidRDefault="00B07C9A" w:rsidP="00B07C9A">
      <w:pPr>
        <w:spacing w:line="400" w:lineRule="exact"/>
        <w:ind w:left="851" w:hanging="284"/>
        <w:rPr>
          <w:rFonts w:ascii="標楷體" w:eastAsia="標楷體" w:hAnsi="標楷體"/>
        </w:rPr>
      </w:pPr>
      <w:r>
        <w:rPr>
          <w:rFonts w:ascii="標楷體" w:eastAsia="標楷體" w:hAnsi="標楷體"/>
        </w:rPr>
        <w:t>2.Azacitidine(除Winduza及Azacitidine Lyophilized Inj 100mg"GBC"以外)併用venetoclax，使用於無法接受高強度化學治療之初診斷急性骨髓性白血病(AML)病人。(114/8/1)</w:t>
      </w:r>
    </w:p>
    <w:p w:rsidR="00B07C9A" w:rsidRDefault="00B07C9A" w:rsidP="00B07C9A">
      <w:pPr>
        <w:spacing w:line="400" w:lineRule="exact"/>
        <w:ind w:left="1134" w:hanging="397"/>
        <w:rPr>
          <w:rFonts w:ascii="標楷體" w:eastAsia="標楷體" w:hAnsi="標楷體"/>
        </w:rPr>
      </w:pPr>
      <w:r>
        <w:rPr>
          <w:rFonts w:ascii="標楷體" w:eastAsia="標楷體" w:hAnsi="標楷體"/>
        </w:rPr>
        <w:t>(1)需具有下列I.或Ⅱ.的條件之一：</w:t>
      </w:r>
    </w:p>
    <w:p w:rsidR="00B07C9A" w:rsidRDefault="00B07C9A" w:rsidP="00B07C9A">
      <w:pPr>
        <w:spacing w:line="400" w:lineRule="exact"/>
        <w:ind w:left="1418" w:hanging="244"/>
        <w:rPr>
          <w:rFonts w:ascii="標楷體" w:eastAsia="標楷體" w:hAnsi="標楷體"/>
        </w:rPr>
      </w:pPr>
      <w:r>
        <w:rPr>
          <w:rFonts w:ascii="標楷體" w:eastAsia="標楷體" w:hAnsi="標楷體"/>
        </w:rPr>
        <w:t>I.75歲以上。</w:t>
      </w:r>
    </w:p>
    <w:p w:rsidR="00B07C9A" w:rsidRDefault="00B07C9A" w:rsidP="00B07C9A">
      <w:pPr>
        <w:spacing w:line="400" w:lineRule="exact"/>
        <w:ind w:left="1418" w:hanging="244"/>
        <w:rPr>
          <w:rFonts w:ascii="標楷體" w:eastAsia="標楷體" w:hAnsi="標楷體"/>
        </w:rPr>
      </w:pPr>
      <w:r>
        <w:rPr>
          <w:rFonts w:ascii="標楷體" w:eastAsia="標楷體" w:hAnsi="標楷體"/>
        </w:rPr>
        <w:t>Ⅱ.18歲以上但未滿75歲時，需ECOG performance status為 2 或 3，且符合下列任一條件者：</w:t>
      </w:r>
    </w:p>
    <w:p w:rsidR="00B07C9A" w:rsidRDefault="00B07C9A" w:rsidP="00B07C9A">
      <w:pPr>
        <w:spacing w:line="400" w:lineRule="exact"/>
        <w:ind w:left="1701" w:hanging="244"/>
      </w:pPr>
      <w:r>
        <w:rPr>
          <w:rFonts w:ascii="新細明體" w:hAnsi="新細明體" w:cs="新細明體"/>
        </w:rPr>
        <w:t>ⅰ</w:t>
      </w:r>
      <w:r>
        <w:rPr>
          <w:rFonts w:ascii="標楷體" w:eastAsia="標楷體" w:hAnsi="標楷體"/>
        </w:rPr>
        <w:t>.具有心臟衰竭治療病史，且left ventricle ejection fraction (LVEF)＜50%。</w:t>
      </w:r>
    </w:p>
    <w:p w:rsidR="00B07C9A" w:rsidRDefault="00B07C9A" w:rsidP="00B07C9A">
      <w:pPr>
        <w:spacing w:line="400" w:lineRule="exact"/>
        <w:ind w:left="1701" w:hanging="244"/>
      </w:pPr>
      <w:r>
        <w:rPr>
          <w:rFonts w:ascii="新細明體" w:hAnsi="新細明體" w:cs="新細明體"/>
        </w:rPr>
        <w:t>ⅱ</w:t>
      </w:r>
      <w:r>
        <w:rPr>
          <w:rFonts w:ascii="標楷體" w:eastAsia="標楷體" w:hAnsi="標楷體"/>
        </w:rPr>
        <w:t>.</w:t>
      </w:r>
      <w:r>
        <w:rPr>
          <w:rFonts w:ascii="標楷體" w:eastAsia="標楷體" w:hAnsi="標楷體" w:cs="新細明體"/>
        </w:rPr>
        <w:t>具慢性肺部疾病史，且 DLCO＜65%。</w:t>
      </w:r>
    </w:p>
    <w:p w:rsidR="00B07C9A" w:rsidRDefault="00B07C9A" w:rsidP="00B07C9A">
      <w:pPr>
        <w:spacing w:line="400" w:lineRule="exact"/>
        <w:ind w:left="1701" w:hanging="244"/>
      </w:pPr>
      <w:r>
        <w:rPr>
          <w:rFonts w:ascii="新細明體" w:hAnsi="新細明體" w:cs="新細明體"/>
        </w:rPr>
        <w:t>ⅲ</w:t>
      </w:r>
      <w:r>
        <w:rPr>
          <w:rFonts w:ascii="標楷體" w:eastAsia="標楷體" w:hAnsi="標楷體" w:cs="新細明體"/>
        </w:rPr>
        <w:t>.具</w:t>
      </w:r>
      <w:r>
        <w:rPr>
          <w:rFonts w:ascii="標楷體" w:eastAsia="標楷體" w:hAnsi="標楷體" w:cs="新細明體"/>
          <w:kern w:val="0"/>
          <w:szCs w:val="24"/>
        </w:rPr>
        <w:t>肝功能異常：Bilirubin level 在1.5-3.0倍正常值間。</w:t>
      </w:r>
    </w:p>
    <w:p w:rsidR="00B07C9A" w:rsidRDefault="00B07C9A" w:rsidP="00B07C9A">
      <w:pPr>
        <w:spacing w:line="400" w:lineRule="exact"/>
        <w:ind w:left="1134" w:hanging="397"/>
        <w:rPr>
          <w:rFonts w:ascii="標楷體" w:eastAsia="標楷體" w:hAnsi="標楷體"/>
        </w:rPr>
      </w:pPr>
      <w:r>
        <w:rPr>
          <w:rFonts w:ascii="標楷體" w:eastAsia="標楷體" w:hAnsi="標楷體"/>
        </w:rPr>
        <w:lastRenderedPageBreak/>
        <w:t>(2)需未曾因骨髓化生不良症候群(myelodysplastic syndrome, MDS)接受過azacitidine或decitabine治療者。</w:t>
      </w:r>
    </w:p>
    <w:p w:rsidR="00B07C9A" w:rsidRDefault="00B07C9A" w:rsidP="00B07C9A">
      <w:pPr>
        <w:spacing w:line="400" w:lineRule="exact"/>
        <w:ind w:left="1134" w:hanging="397"/>
        <w:rPr>
          <w:rFonts w:ascii="標楷體" w:eastAsia="標楷體" w:hAnsi="標楷體"/>
        </w:rPr>
      </w:pPr>
      <w:r>
        <w:rPr>
          <w:rFonts w:ascii="標楷體" w:eastAsia="標楷體" w:hAnsi="標楷體"/>
        </w:rPr>
        <w:t>(3)需經事前審查核准後使用，每2個療程需再次申請；再次申請時需檢附療效評估資料，若病情惡化應即停止使用。</w:t>
      </w:r>
    </w:p>
    <w:p w:rsidR="00B07C9A" w:rsidRDefault="00B07C9A" w:rsidP="00B07C9A">
      <w:pPr>
        <w:spacing w:line="400" w:lineRule="exact"/>
        <w:ind w:left="1134" w:hanging="397"/>
        <w:rPr>
          <w:rFonts w:ascii="標楷體" w:eastAsia="標楷體" w:hAnsi="標楷體"/>
        </w:rPr>
      </w:pPr>
      <w:r>
        <w:rPr>
          <w:rFonts w:ascii="標楷體" w:eastAsia="標楷體" w:hAnsi="標楷體"/>
        </w:rPr>
        <w:t>(4)最多給付6個療程。</w:t>
      </w:r>
    </w:p>
    <w:p w:rsidR="00B07C9A" w:rsidRPr="004C7F93" w:rsidRDefault="00B07C9A" w:rsidP="00B07C9A">
      <w:pPr>
        <w:spacing w:line="400" w:lineRule="exact"/>
        <w:rPr>
          <w:rFonts w:ascii="標楷體" w:eastAsia="標楷體" w:hAnsi="標楷體"/>
          <w:color w:val="000000"/>
        </w:rPr>
      </w:pPr>
      <w:r>
        <w:rPr>
          <w:rFonts w:ascii="標楷體" w:eastAsia="標楷體" w:hAnsi="標楷體" w:hint="eastAsia"/>
          <w:color w:val="000000"/>
        </w:rPr>
        <w:t xml:space="preserve">  </w:t>
      </w:r>
      <w:r w:rsidRPr="004C7F93">
        <w:rPr>
          <w:rFonts w:ascii="標楷體" w:eastAsia="標楷體" w:hAnsi="標楷體" w:hint="eastAsia"/>
          <w:color w:val="000000"/>
        </w:rPr>
        <w:t>9.44.2.Azacitidine 口服製劑（如Onureg）：(114/5/1、114/10/1）</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1.</w:t>
      </w:r>
      <w:r w:rsidRPr="004C7F93">
        <w:rPr>
          <w:rFonts w:ascii="標楷體" w:eastAsia="標楷體" w:hAnsi="標楷體" w:hint="eastAsia"/>
        </w:rPr>
        <w:tab/>
        <w:t>用於不適合接受造血幹細胞移植(HSCT)之急性骨髓性白血病 (AML)成人病人，作為維持治療，且須同時符合下列條件：</w:t>
      </w:r>
    </w:p>
    <w:p w:rsidR="00B07C9A" w:rsidRPr="004C7F93" w:rsidRDefault="00B07C9A" w:rsidP="00B07C9A">
      <w:pPr>
        <w:spacing w:line="400" w:lineRule="exact"/>
        <w:ind w:left="1134" w:hanging="397"/>
        <w:rPr>
          <w:rFonts w:ascii="標楷體" w:eastAsia="標楷體" w:hAnsi="標楷體"/>
        </w:rPr>
      </w:pPr>
      <w:r w:rsidRPr="004C7F93">
        <w:rPr>
          <w:rFonts w:ascii="標楷體" w:eastAsia="標楷體" w:hAnsi="標楷體" w:hint="eastAsia"/>
        </w:rPr>
        <w:t>(1)55歲以上具中度或高度不良風險染色體核型變化(intermediate-risk or poor-risk cytogenetics)之急性骨髓性白血病 (AML)病人。</w:t>
      </w:r>
    </w:p>
    <w:p w:rsidR="00B07C9A" w:rsidRPr="004C7F93" w:rsidRDefault="00B07C9A" w:rsidP="00B07C9A">
      <w:pPr>
        <w:spacing w:line="400" w:lineRule="exact"/>
        <w:ind w:left="1134" w:hanging="397"/>
        <w:rPr>
          <w:rFonts w:ascii="標楷體" w:eastAsia="標楷體" w:hAnsi="標楷體"/>
        </w:rPr>
      </w:pPr>
      <w:r w:rsidRPr="004C7F93">
        <w:rPr>
          <w:rFonts w:ascii="標楷體" w:eastAsia="標楷體" w:hAnsi="標楷體" w:hint="eastAsia"/>
        </w:rPr>
        <w:t>(2)在誘導治療後(不論是否接受鞏固治療)，首次達到完全緩解(CR)或完全緩解但血球計數未完全恢復正常 (CRi)。</w:t>
      </w:r>
    </w:p>
    <w:p w:rsidR="00B07C9A" w:rsidRPr="004C7F93" w:rsidRDefault="00B07C9A" w:rsidP="00B07C9A">
      <w:pPr>
        <w:spacing w:line="400" w:lineRule="exact"/>
        <w:ind w:left="1134" w:hanging="397"/>
        <w:rPr>
          <w:rFonts w:ascii="標楷體" w:eastAsia="標楷體" w:hAnsi="標楷體"/>
        </w:rPr>
      </w:pPr>
      <w:r w:rsidRPr="004C7F93">
        <w:rPr>
          <w:rFonts w:ascii="標楷體" w:eastAsia="標楷體" w:hAnsi="標楷體" w:hint="eastAsia"/>
        </w:rPr>
        <w:t>(3)之前未曾接受azacitidine或decitabine藥物治療。</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2.</w:t>
      </w:r>
      <w:r w:rsidRPr="004C7F93">
        <w:rPr>
          <w:rFonts w:ascii="標楷體" w:eastAsia="標楷體" w:hAnsi="標楷體" w:hint="eastAsia"/>
        </w:rPr>
        <w:tab/>
        <w:t>需經事前審查核准後使用，初次申請為3個療程，需檢附染色體檢測結果報告；每3個療程需再次申請，可治療至疾病復發 (定義為周邊血或骨髓觀察到的芽細胞超過5%或新出現髓外侵犯)或無法耐受藥物毒性為止。</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3.</w:t>
      </w:r>
      <w:r w:rsidRPr="004C7F93">
        <w:rPr>
          <w:rFonts w:ascii="標楷體" w:eastAsia="標楷體" w:hAnsi="標楷體" w:hint="eastAsia"/>
        </w:rPr>
        <w:tab/>
        <w:t>每人以24個療程為上限。</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4.</w:t>
      </w:r>
      <w:r w:rsidRPr="004C7F93">
        <w:rPr>
          <w:rFonts w:ascii="標楷體" w:eastAsia="標楷體" w:hAnsi="標楷體" w:hint="eastAsia"/>
        </w:rPr>
        <w:tab/>
        <w:t>不得與midostaurin、venetoclax及gilteritinib等標靶藥品併用。</w:t>
      </w:r>
    </w:p>
    <w:p w:rsidR="00B07C9A" w:rsidRPr="004C7F93"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5.</w:t>
      </w:r>
      <w:r w:rsidRPr="004C7F93">
        <w:rPr>
          <w:rFonts w:ascii="標楷體" w:eastAsia="標楷體" w:hAnsi="標楷體" w:hint="eastAsia"/>
        </w:rPr>
        <w:tab/>
        <w:t>病人接受本藥物治療後，不再給付造血幹細胞移植。</w:t>
      </w:r>
    </w:p>
    <w:p w:rsidR="00B96EA0" w:rsidRDefault="00B07C9A" w:rsidP="00B07C9A">
      <w:pPr>
        <w:spacing w:line="400" w:lineRule="exact"/>
        <w:ind w:left="851" w:hanging="284"/>
        <w:rPr>
          <w:rFonts w:ascii="標楷體" w:eastAsia="標楷體" w:hAnsi="標楷體"/>
        </w:rPr>
      </w:pPr>
      <w:r w:rsidRPr="004C7F93">
        <w:rPr>
          <w:rFonts w:ascii="標楷體" w:eastAsia="標楷體" w:hAnsi="標楷體" w:hint="eastAsia"/>
        </w:rPr>
        <w:t>6.本藥品與quizartinib僅得擇一使用，除因耐受性不良，不得互換。(114/10/1)</w:t>
      </w:r>
    </w:p>
    <w:p w:rsidR="00B96EA0" w:rsidRDefault="007D66B8" w:rsidP="005142EB">
      <w:pPr>
        <w:spacing w:line="400" w:lineRule="exact"/>
        <w:ind w:left="720" w:hanging="480"/>
      </w:pPr>
      <w:r>
        <w:rPr>
          <w:rFonts w:ascii="標楷體" w:eastAsia="標楷體" w:hAnsi="標楷體"/>
          <w:color w:val="000000"/>
        </w:rPr>
        <w:t>9.45.</w:t>
      </w:r>
      <w:r>
        <w:rPr>
          <w:rFonts w:ascii="標楷體" w:eastAsia="標楷體" w:hAnsi="標楷體"/>
          <w:kern w:val="0"/>
          <w:szCs w:val="24"/>
        </w:rPr>
        <w:t>Afatinib（如Giotrif）：(103/5/1、106/11/1、108/6/1、108/11/1</w:t>
      </w:r>
      <w:r>
        <w:rPr>
          <w:rFonts w:ascii="標楷體" w:eastAsia="標楷體" w:hAnsi="標楷體"/>
          <w:kern w:val="0"/>
        </w:rPr>
        <w:t>、109/4/1</w:t>
      </w:r>
      <w:r>
        <w:rPr>
          <w:rFonts w:ascii="標楷體" w:eastAsia="標楷體" w:hAnsi="標楷體"/>
        </w:rPr>
        <w:t>、109/6/1、109/10/1</w:t>
      </w:r>
      <w:r>
        <w:rPr>
          <w:rFonts w:ascii="新細明體" w:hAnsi="新細明體"/>
        </w:rPr>
        <w:t>、</w:t>
      </w:r>
      <w:r>
        <w:rPr>
          <w:rFonts w:ascii="標楷體" w:eastAsia="標楷體" w:hAnsi="標楷體"/>
        </w:rPr>
        <w:t>111/4/1</w:t>
      </w:r>
      <w:r>
        <w:rPr>
          <w:rFonts w:ascii="標楷體" w:eastAsia="標楷體" w:hAnsi="標楷體"/>
          <w:color w:val="000000"/>
        </w:rPr>
        <w:t>、113/3/1、113/6/1、113/10/1</w:t>
      </w:r>
      <w:r>
        <w:rPr>
          <w:rFonts w:ascii="標楷體" w:eastAsia="標楷體" w:hAnsi="標楷體"/>
          <w:kern w:val="0"/>
          <w:szCs w:val="24"/>
        </w:rPr>
        <w:t>)</w:t>
      </w:r>
    </w:p>
    <w:p w:rsidR="00B96EA0" w:rsidRDefault="007D66B8" w:rsidP="005142EB">
      <w:pPr>
        <w:spacing w:line="400" w:lineRule="exact"/>
        <w:ind w:left="796" w:hanging="230"/>
      </w:pPr>
      <w:r>
        <w:rPr>
          <w:rFonts w:ascii="標楷體" w:eastAsia="標楷體" w:hAnsi="標楷體"/>
          <w:color w:val="000000"/>
        </w:rPr>
        <w:t>1.</w:t>
      </w:r>
      <w:r>
        <w:t xml:space="preserve"> </w:t>
      </w:r>
      <w:r>
        <w:rPr>
          <w:rFonts w:ascii="標楷體" w:eastAsia="標楷體" w:hAnsi="標楷體"/>
          <w:color w:val="000000"/>
        </w:rPr>
        <w:t>限單獨使用於：</w:t>
      </w:r>
    </w:p>
    <w:p w:rsidR="00B96EA0" w:rsidRDefault="007D66B8" w:rsidP="005142EB">
      <w:pPr>
        <w:spacing w:line="400" w:lineRule="exact"/>
        <w:ind w:left="1046" w:hanging="348"/>
        <w:rPr>
          <w:rFonts w:ascii="標楷體" w:eastAsia="標楷體" w:hAnsi="標楷體"/>
          <w:kern w:val="0"/>
          <w:szCs w:val="24"/>
        </w:rPr>
      </w:pPr>
      <w:r>
        <w:rPr>
          <w:rFonts w:ascii="標楷體" w:eastAsia="標楷體" w:hAnsi="標楷體"/>
          <w:kern w:val="0"/>
          <w:szCs w:val="24"/>
        </w:rPr>
        <w:t>(1)具有EGFR-TK基因突變之局部晚期或轉移性(即第ⅢB、ⅢC期或第Ⅳ期)之肺腺癌病患之第一線治療，需檢附EGFR基因檢測結果報告，且需符合全民健康保險藥品給付規定之通則十二。(108/6/1、108/11/1、113/6/1)</w:t>
      </w:r>
    </w:p>
    <w:p w:rsidR="00B96EA0" w:rsidRDefault="007D66B8" w:rsidP="005142EB">
      <w:pPr>
        <w:spacing w:line="400" w:lineRule="exact"/>
        <w:ind w:left="1046" w:hanging="348"/>
        <w:rPr>
          <w:rFonts w:ascii="標楷體" w:eastAsia="標楷體" w:hAnsi="標楷體"/>
          <w:kern w:val="0"/>
          <w:szCs w:val="24"/>
        </w:rPr>
      </w:pPr>
      <w:r>
        <w:rPr>
          <w:rFonts w:ascii="標楷體" w:eastAsia="標楷體" w:hAnsi="標楷體"/>
          <w:kern w:val="0"/>
          <w:szCs w:val="24"/>
        </w:rPr>
        <w:t>(2)先前已使用過第一線含鉑化學治療，但仍惡化的局部晚期或轉移性之鱗狀組織非小細胞肺癌之第二線治療。(108/6/1)</w:t>
      </w:r>
    </w:p>
    <w:p w:rsidR="00B96EA0" w:rsidRDefault="007D66B8" w:rsidP="005142EB">
      <w:pPr>
        <w:spacing w:line="400" w:lineRule="exact"/>
        <w:ind w:left="796" w:hanging="230"/>
      </w:pPr>
      <w:r>
        <w:rPr>
          <w:rFonts w:ascii="標楷體" w:eastAsia="標楷體" w:hAnsi="標楷體"/>
          <w:color w:val="000000"/>
        </w:rPr>
        <w:t>2.使用注意事項(106/11/1、108/6/1</w:t>
      </w:r>
      <w:r>
        <w:rPr>
          <w:rFonts w:ascii="標楷體" w:eastAsia="標楷體" w:hAnsi="標楷體"/>
          <w:kern w:val="0"/>
          <w:szCs w:val="24"/>
        </w:rPr>
        <w:t>、</w:t>
      </w:r>
      <w:r>
        <w:rPr>
          <w:rFonts w:ascii="標楷體" w:eastAsia="標楷體" w:hAnsi="標楷體"/>
          <w:kern w:val="0"/>
        </w:rPr>
        <w:t>109/4/1、109/10/1</w:t>
      </w:r>
      <w:r>
        <w:rPr>
          <w:rFonts w:ascii="新細明體" w:hAnsi="新細明體"/>
          <w:kern w:val="0"/>
        </w:rPr>
        <w:t>、</w:t>
      </w:r>
      <w:r>
        <w:rPr>
          <w:rFonts w:ascii="標楷體" w:eastAsia="標楷體" w:hAnsi="標楷體"/>
          <w:kern w:val="0"/>
        </w:rPr>
        <w:t>111/4/1</w:t>
      </w:r>
      <w:r>
        <w:rPr>
          <w:rFonts w:ascii="新細明體" w:hAnsi="新細明體"/>
          <w:kern w:val="0"/>
        </w:rPr>
        <w:t>、</w:t>
      </w:r>
      <w:r>
        <w:rPr>
          <w:rFonts w:ascii="標楷體" w:eastAsia="標楷體" w:hAnsi="標楷體"/>
          <w:color w:val="000000"/>
        </w:rPr>
        <w:t>113/3/1）</w:t>
      </w:r>
    </w:p>
    <w:p w:rsidR="00B96EA0" w:rsidRDefault="007D66B8" w:rsidP="005142EB">
      <w:pPr>
        <w:spacing w:line="400" w:lineRule="exact"/>
        <w:ind w:left="1046" w:hanging="348"/>
        <w:rPr>
          <w:rFonts w:ascii="標楷體" w:eastAsia="標楷體" w:hAnsi="標楷體"/>
          <w:kern w:val="0"/>
          <w:szCs w:val="24"/>
        </w:rPr>
      </w:pPr>
      <w:r>
        <w:rPr>
          <w:rFonts w:ascii="標楷體" w:eastAsia="標楷體" w:hAnsi="標楷體"/>
          <w:kern w:val="0"/>
          <w:szCs w:val="24"/>
        </w:rPr>
        <w:t>(1)用於具有EGFR-TK基因突變之局部晚期或轉移性肺腺癌之第一線治療：病歷應留存確實患有肺腺癌之病理或細胞檢查報告，及EGFR-TK基因突變檢測報告。</w:t>
      </w:r>
    </w:p>
    <w:p w:rsidR="00B96EA0" w:rsidRDefault="007D66B8" w:rsidP="005142EB">
      <w:pPr>
        <w:spacing w:line="400" w:lineRule="exact"/>
        <w:ind w:left="1046" w:hanging="348"/>
      </w:pPr>
      <w:r>
        <w:rPr>
          <w:rFonts w:ascii="標楷體" w:eastAsia="標楷體" w:hAnsi="標楷體"/>
          <w:kern w:val="0"/>
          <w:szCs w:val="24"/>
        </w:rPr>
        <w:t xml:space="preserve">(2)用於局部晚期或轉移性之鱗狀組織非小細胞肺癌之第二線治療：病歷應留存曾經接受含鉑類化學治療之證明，及目前又有疾病惡化之影像診斷證明(如胸部X光、電腦斷層或其他可作為評估的影像)，此影像證明以可測量(measurable)的病灶為優先，如沒有可以測量的病灶，則可評估(evaluable)的病灶亦可採用。(108/6/1) </w:t>
      </w:r>
      <w:r>
        <w:rPr>
          <w:rFonts w:ascii="標楷體" w:eastAsia="標楷體" w:hAnsi="標楷體"/>
          <w:color w:val="000000"/>
        </w:rPr>
        <w:t xml:space="preserve"> </w:t>
      </w:r>
    </w:p>
    <w:p w:rsidR="00B96EA0" w:rsidRDefault="007D66B8" w:rsidP="005142EB">
      <w:pPr>
        <w:spacing w:line="400" w:lineRule="exact"/>
        <w:ind w:left="1046" w:hanging="348"/>
        <w:rPr>
          <w:rFonts w:ascii="標楷體" w:eastAsia="標楷體" w:hAnsi="標楷體"/>
          <w:color w:val="000000"/>
        </w:rPr>
      </w:pPr>
      <w:r>
        <w:rPr>
          <w:rFonts w:ascii="標楷體" w:eastAsia="標楷體" w:hAnsi="標楷體"/>
          <w:color w:val="000000"/>
        </w:rPr>
        <w:lastRenderedPageBreak/>
        <w:t>(3)每次處方以4週為限，再次處方時需於病歷記錄治療後相關臨床資料，如每4週需追蹤胸部X光或電腦斷層等影像檢查，每8至12週需進行完整療效評估（如胸部X光或電腦斷層）。(106/11/1）</w:t>
      </w:r>
    </w:p>
    <w:p w:rsidR="00B96EA0" w:rsidRDefault="007D66B8" w:rsidP="005142EB">
      <w:pPr>
        <w:spacing w:line="400" w:lineRule="exact"/>
        <w:ind w:left="1046" w:hanging="348"/>
        <w:rPr>
          <w:rFonts w:ascii="標楷體" w:eastAsia="標楷體" w:hAnsi="標楷體"/>
          <w:color w:val="000000"/>
        </w:rPr>
      </w:pPr>
      <w:r>
        <w:rPr>
          <w:rFonts w:ascii="標楷體" w:eastAsia="標楷體" w:hAnsi="標楷體"/>
          <w:color w:val="000000"/>
        </w:rPr>
        <w:t>(4)使用本藥品後，除因耐受性不良，否則不得轉換類似藥理機轉之其他酪胺酸激酶阻斷劑（tyrosine kinase inhibitor, TKI）。</w:t>
      </w:r>
    </w:p>
    <w:p w:rsidR="00B96EA0" w:rsidRDefault="007D66B8" w:rsidP="005142EB">
      <w:pPr>
        <w:spacing w:line="400" w:lineRule="exact"/>
        <w:ind w:left="1046" w:hanging="348"/>
      </w:pPr>
      <w:r>
        <w:rPr>
          <w:rFonts w:ascii="標楷體" w:eastAsia="標楷體" w:hAnsi="標楷體"/>
          <w:color w:val="000000"/>
        </w:rPr>
        <w:t>(5)本藥品與gefitinib及erlotinib不得併用。</w:t>
      </w:r>
      <w:r>
        <w:rPr>
          <w:rFonts w:ascii="標楷體" w:eastAsia="標楷體" w:hAnsi="標楷體"/>
          <w:kern w:val="0"/>
          <w:szCs w:val="24"/>
        </w:rPr>
        <w:t>(</w:t>
      </w:r>
      <w:r>
        <w:rPr>
          <w:rFonts w:ascii="標楷體" w:eastAsia="標楷體" w:hAnsi="標楷體"/>
          <w:kern w:val="0"/>
        </w:rPr>
        <w:t>109/4/1</w:t>
      </w:r>
      <w:r>
        <w:rPr>
          <w:rFonts w:ascii="標楷體" w:eastAsia="標楷體" w:hAnsi="標楷體"/>
          <w:kern w:val="0"/>
          <w:szCs w:val="24"/>
        </w:rPr>
        <w:t>)</w:t>
      </w:r>
    </w:p>
    <w:p w:rsidR="00B96EA0" w:rsidRDefault="007D66B8" w:rsidP="005142EB">
      <w:pPr>
        <w:spacing w:line="400" w:lineRule="exact"/>
        <w:ind w:left="1046" w:hanging="348"/>
      </w:pPr>
      <w:r>
        <w:rPr>
          <w:rFonts w:ascii="標楷體" w:eastAsia="標楷體" w:hAnsi="標楷體"/>
        </w:rPr>
        <w:t>(6)本藥品於第一線使用時，與osimertinib、dacomitinib及bevacizumab併用erlotinib之治療組合僅得擇一使用，除因耐受性不良，不得互換。(109/6/1、109/10/1、111/4/1、113/3/1、113/10/1)</w:t>
      </w:r>
    </w:p>
    <w:p w:rsidR="00B96EA0" w:rsidRDefault="007D66B8" w:rsidP="005142EB">
      <w:pPr>
        <w:spacing w:line="400" w:lineRule="exact"/>
        <w:ind w:left="1414" w:hanging="336"/>
      </w:pPr>
      <w:r>
        <w:rPr>
          <w:rFonts w:ascii="標楷體" w:eastAsia="標楷體" w:hAnsi="標楷體"/>
          <w:color w:val="000000"/>
        </w:rPr>
        <w:t>Ⅰ.如需更換使用osimertinib，必須符合osimertinib第一線使用於具有EGFR Exon 19 Del或Exon 21 L858R基因突變之局部侵犯性或轉移性（即為IIIB、IIIC期或第Ⅳ期）肺腺癌病患之限制。(109/6/1、111/4/1、113/10/1)</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Ⅱ.如需更換使用dacomitinib，必須符合dacomitinib第一線使用於具有EGFR-TK Exon 19 Del或Exon 21 L858R點突變，且無腦轉移(non-CNS)之局部侵犯性或轉移性肺腺癌之限制。(109/10/1）</w:t>
      </w:r>
    </w:p>
    <w:p w:rsidR="00B96EA0" w:rsidRDefault="007D66B8" w:rsidP="005142EB">
      <w:pPr>
        <w:spacing w:line="400" w:lineRule="exact"/>
        <w:ind w:left="1414" w:hanging="336"/>
        <w:rPr>
          <w:rFonts w:ascii="標楷體" w:eastAsia="標楷體" w:hAnsi="標楷體"/>
          <w:color w:val="000000"/>
        </w:rPr>
      </w:pPr>
      <w:r>
        <w:rPr>
          <w:rFonts w:ascii="標楷體" w:eastAsia="標楷體" w:hAnsi="標楷體"/>
          <w:color w:val="000000"/>
        </w:rPr>
        <w:t>Ⅲ.如需更換使用bevacizumab併用erlotinib之治療組合，必須符合bevacizumab第一線使用於具有EGFR Exon 21 L858R突變且腦轉移之無法手術切除的轉移性（第Ⅳ期）非鱗狀非小細胞肺癌肺腺癌之限制。(113/3/1)</w:t>
      </w:r>
    </w:p>
    <w:p w:rsidR="00B96EA0" w:rsidRDefault="007D66B8" w:rsidP="005142EB">
      <w:pPr>
        <w:spacing w:line="400" w:lineRule="exact"/>
        <w:ind w:left="566" w:hanging="283"/>
      </w:pPr>
      <w:r>
        <w:rPr>
          <w:rFonts w:ascii="標楷體" w:eastAsia="標楷體" w:hAnsi="標楷體"/>
          <w:color w:val="000000"/>
        </w:rPr>
        <w:t>9.46.Tegafur/gimeracil/oteracil複方製劑(如TS-1）：(103/6/1、105/12/1、109/2/1</w:t>
      </w:r>
      <w:r>
        <w:rPr>
          <w:rFonts w:ascii="標楷體" w:eastAsia="標楷體" w:hAnsi="標楷體"/>
        </w:rPr>
        <w:t>、113/2/1</w:t>
      </w:r>
      <w:r>
        <w:rPr>
          <w:rFonts w:ascii="標楷體" w:eastAsia="標楷體" w:hAnsi="標楷體"/>
          <w:color w:val="000000"/>
        </w:rPr>
        <w:t xml:space="preserve">) </w:t>
      </w:r>
    </w:p>
    <w:p w:rsidR="00B96EA0" w:rsidRDefault="007D66B8" w:rsidP="005142EB">
      <w:pPr>
        <w:spacing w:line="400" w:lineRule="exact"/>
        <w:ind w:left="849" w:hanging="283"/>
        <w:rPr>
          <w:rFonts w:ascii="標楷體" w:eastAsia="標楷體" w:hAnsi="標楷體"/>
          <w:color w:val="000000"/>
        </w:rPr>
      </w:pPr>
      <w:r>
        <w:rPr>
          <w:rFonts w:ascii="標楷體" w:eastAsia="標楷體" w:hAnsi="標楷體"/>
          <w:color w:val="000000"/>
        </w:rPr>
        <w:t>1.治療局部晚期無法手術切除或轉移性胰臟癌病人。</w:t>
      </w:r>
    </w:p>
    <w:p w:rsidR="00B96EA0" w:rsidRDefault="007D66B8" w:rsidP="005142EB">
      <w:pPr>
        <w:spacing w:line="400" w:lineRule="exact"/>
        <w:ind w:left="849" w:hanging="283"/>
        <w:rPr>
          <w:rFonts w:ascii="標楷體" w:eastAsia="標楷體" w:hAnsi="標楷體"/>
          <w:color w:val="000000"/>
        </w:rPr>
      </w:pPr>
      <w:r>
        <w:rPr>
          <w:rFonts w:ascii="標楷體" w:eastAsia="標楷體" w:hAnsi="標楷體"/>
          <w:color w:val="000000"/>
        </w:rPr>
        <w:t>2.胃癌(105/12/1)</w:t>
      </w:r>
    </w:p>
    <w:p w:rsidR="00B96EA0" w:rsidRDefault="007D66B8" w:rsidP="005142EB">
      <w:pPr>
        <w:spacing w:line="400" w:lineRule="exact"/>
        <w:ind w:left="1092" w:hanging="382"/>
        <w:rPr>
          <w:rFonts w:ascii="標楷體" w:eastAsia="標楷體" w:hAnsi="標楷體"/>
          <w:color w:val="000000"/>
        </w:rPr>
      </w:pPr>
      <w:r>
        <w:rPr>
          <w:rFonts w:ascii="標楷體" w:eastAsia="標楷體" w:hAnsi="標楷體"/>
          <w:color w:val="000000"/>
        </w:rPr>
        <w:t>(1)胃癌術後輔助性化療，用於罹患TNMS tageⅡ(排除T1)、ⅢA或ⅢB胃癌且接受過胃癌根除性手術的成年患者，限用1年。</w:t>
      </w:r>
    </w:p>
    <w:p w:rsidR="00B96EA0" w:rsidRDefault="007D66B8" w:rsidP="005142EB">
      <w:pPr>
        <w:spacing w:line="400" w:lineRule="exact"/>
        <w:ind w:left="1092" w:hanging="382"/>
        <w:rPr>
          <w:rFonts w:ascii="標楷體" w:eastAsia="標楷體" w:hAnsi="標楷體"/>
          <w:color w:val="000000"/>
        </w:rPr>
      </w:pPr>
      <w:r>
        <w:rPr>
          <w:rFonts w:ascii="標楷體" w:eastAsia="標楷體" w:hAnsi="標楷體"/>
          <w:color w:val="000000"/>
        </w:rPr>
        <w:t>(2)需經事前審查核准後使用。</w:t>
      </w:r>
    </w:p>
    <w:p w:rsidR="00B96EA0" w:rsidRDefault="007D66B8" w:rsidP="005142EB">
      <w:pPr>
        <w:spacing w:line="400" w:lineRule="exact"/>
        <w:ind w:left="849" w:hanging="283"/>
        <w:rPr>
          <w:rFonts w:ascii="標楷體" w:eastAsia="標楷體" w:hAnsi="標楷體"/>
          <w:color w:val="000000"/>
        </w:rPr>
      </w:pPr>
      <w:r>
        <w:rPr>
          <w:rFonts w:ascii="標楷體" w:eastAsia="標楷體" w:hAnsi="標楷體"/>
          <w:color w:val="000000"/>
        </w:rPr>
        <w:t>3.非小細胞肺癌(109/2/1)</w:t>
      </w:r>
    </w:p>
    <w:p w:rsidR="00B96EA0" w:rsidRDefault="007D66B8" w:rsidP="005142EB">
      <w:pPr>
        <w:spacing w:line="400" w:lineRule="exact"/>
        <w:ind w:left="1092" w:hanging="382"/>
        <w:rPr>
          <w:rFonts w:ascii="標楷體" w:eastAsia="標楷體" w:hAnsi="標楷體"/>
          <w:color w:val="000000"/>
        </w:rPr>
      </w:pPr>
      <w:r>
        <w:rPr>
          <w:rFonts w:ascii="標楷體" w:eastAsia="標楷體" w:hAnsi="標楷體"/>
          <w:color w:val="000000"/>
        </w:rPr>
        <w:t>(1)曾使用含鉑之化學藥物治療失敗的局部晚期或轉移性之非小細胞肺癌。</w:t>
      </w:r>
    </w:p>
    <w:p w:rsidR="00B96EA0" w:rsidRDefault="007D66B8" w:rsidP="005142EB">
      <w:pPr>
        <w:spacing w:line="400" w:lineRule="exact"/>
        <w:ind w:left="1092" w:hanging="382"/>
        <w:rPr>
          <w:rFonts w:ascii="標楷體" w:eastAsia="標楷體" w:hAnsi="標楷體"/>
          <w:color w:val="000000"/>
        </w:rPr>
      </w:pPr>
      <w:r>
        <w:rPr>
          <w:rFonts w:ascii="標楷體" w:eastAsia="標楷體" w:hAnsi="標楷體"/>
          <w:color w:val="000000"/>
        </w:rPr>
        <w:t>(2)不得與標靶治療、其他化療或免疫檢查點抑制劑併用。</w:t>
      </w:r>
    </w:p>
    <w:p w:rsidR="00B96EA0" w:rsidRDefault="007D66B8" w:rsidP="005142EB">
      <w:pPr>
        <w:spacing w:line="400" w:lineRule="exact"/>
        <w:ind w:left="1092" w:hanging="525"/>
      </w:pPr>
      <w:r>
        <w:rPr>
          <w:rFonts w:ascii="標楷體" w:eastAsia="標楷體" w:hAnsi="標楷體"/>
          <w:color w:val="000000"/>
          <w:szCs w:val="24"/>
        </w:rPr>
        <w:t>4.與gemcitabine合併使用作為晚期或復發之膽道癌第一線治療。(</w:t>
      </w:r>
      <w:r>
        <w:rPr>
          <w:rFonts w:ascii="標楷體" w:eastAsia="標楷體" w:hAnsi="標楷體"/>
          <w:szCs w:val="24"/>
        </w:rPr>
        <w:t>113/2/1</w:t>
      </w:r>
      <w:r>
        <w:rPr>
          <w:rFonts w:ascii="標楷體" w:eastAsia="標楷體" w:hAnsi="標楷體"/>
          <w:color w:val="000000"/>
          <w:szCs w:val="24"/>
        </w:rPr>
        <w:t>)</w:t>
      </w:r>
    </w:p>
    <w:p w:rsidR="00B96EA0" w:rsidRDefault="007D66B8" w:rsidP="005142EB">
      <w:pPr>
        <w:spacing w:line="400" w:lineRule="exact"/>
        <w:ind w:left="566" w:hanging="230"/>
        <w:rPr>
          <w:rFonts w:ascii="標楷體" w:eastAsia="標楷體" w:hAnsi="標楷體"/>
          <w:color w:val="000000"/>
        </w:rPr>
      </w:pPr>
      <w:r>
        <w:rPr>
          <w:rFonts w:ascii="標楷體" w:eastAsia="標楷體" w:hAnsi="標楷體"/>
          <w:color w:val="000000"/>
        </w:rPr>
        <w:t>9.47.Lapatinib（如Tykerb）：（103/9/1、106/11/1、110/2/1、114/2/1）</w:t>
      </w:r>
    </w:p>
    <w:p w:rsidR="00B96EA0" w:rsidRDefault="007D66B8" w:rsidP="005142EB">
      <w:pPr>
        <w:spacing w:line="400" w:lineRule="exact"/>
        <w:ind w:left="796" w:hanging="230"/>
        <w:rPr>
          <w:rFonts w:ascii="標楷體" w:eastAsia="標楷體" w:hAnsi="標楷體"/>
          <w:color w:val="000000"/>
        </w:rPr>
      </w:pPr>
      <w:r>
        <w:rPr>
          <w:rFonts w:ascii="標楷體" w:eastAsia="標楷體" w:hAnsi="標楷體"/>
          <w:color w:val="000000"/>
        </w:rPr>
        <w:t>1.與capecitabine併用，使用於曾接受anthracycline, taxane以及trastuzumab治療後病況惡化之轉移性乳癌併有腦部轉移，且為HER2過度表現(IHC3+或FISH+)病人。</w:t>
      </w:r>
    </w:p>
    <w:p w:rsidR="00B96EA0" w:rsidRDefault="007D66B8" w:rsidP="005142EB">
      <w:pPr>
        <w:spacing w:line="400" w:lineRule="exact"/>
        <w:ind w:left="796" w:hanging="230"/>
        <w:rPr>
          <w:rFonts w:ascii="標楷體" w:eastAsia="標楷體" w:hAnsi="標楷體"/>
          <w:color w:val="000000"/>
        </w:rPr>
      </w:pPr>
      <w:r>
        <w:rPr>
          <w:rFonts w:ascii="標楷體" w:eastAsia="標楷體" w:hAnsi="標楷體"/>
          <w:color w:val="000000"/>
        </w:rPr>
        <w:t>2.每3個月需進行療效評估，病歷應留存評估紀錄，無疾病惡化方可繼續使用。(106/11/1)</w:t>
      </w:r>
    </w:p>
    <w:p w:rsidR="00B96EA0" w:rsidRDefault="007D66B8" w:rsidP="005142EB">
      <w:pPr>
        <w:spacing w:line="400" w:lineRule="exact"/>
        <w:ind w:left="796" w:hanging="230"/>
      </w:pPr>
      <w:r>
        <w:rPr>
          <w:rFonts w:ascii="標楷體" w:eastAsia="標楷體" w:hAnsi="標楷體"/>
          <w:color w:val="000000"/>
        </w:rPr>
        <w:t>3.</w:t>
      </w:r>
      <w:r>
        <w:t xml:space="preserve"> </w:t>
      </w:r>
      <w:r>
        <w:rPr>
          <w:rFonts w:ascii="標楷體" w:eastAsia="標楷體" w:hAnsi="標楷體"/>
          <w:color w:val="000000"/>
        </w:rPr>
        <w:t>Lapatinib、trastuzumab emtansine和trastuzumab deruxtecan僅能擇一給付，</w:t>
      </w:r>
      <w:r>
        <w:rPr>
          <w:rFonts w:ascii="標楷體" w:eastAsia="標楷體" w:hAnsi="標楷體"/>
          <w:color w:val="000000"/>
        </w:rPr>
        <w:lastRenderedPageBreak/>
        <w:t>不得互換。(110/2/1、114/2/1)</w:t>
      </w:r>
    </w:p>
    <w:p w:rsidR="00B96EA0" w:rsidRDefault="007D66B8" w:rsidP="005142EB">
      <w:pPr>
        <w:spacing w:line="400" w:lineRule="exact"/>
        <w:ind w:left="708" w:hanging="338"/>
        <w:rPr>
          <w:rFonts w:ascii="標楷體" w:eastAsia="標楷體" w:hAnsi="標楷體"/>
          <w:color w:val="000000"/>
        </w:rPr>
      </w:pPr>
      <w:r>
        <w:rPr>
          <w:rFonts w:ascii="標楷體" w:eastAsia="標楷體" w:hAnsi="標楷體"/>
          <w:color w:val="000000"/>
        </w:rPr>
        <w:t>9.48.Eribulin（如Halaven）：（103/12/1、106/11/1、108/12/1、110/2/1）</w:t>
      </w:r>
    </w:p>
    <w:p w:rsidR="00B96EA0" w:rsidRDefault="007D66B8" w:rsidP="005142EB">
      <w:pPr>
        <w:spacing w:line="400" w:lineRule="exact"/>
        <w:ind w:left="849" w:hanging="338"/>
        <w:rPr>
          <w:rFonts w:ascii="標楷體" w:eastAsia="標楷體" w:hAnsi="標楷體"/>
          <w:color w:val="000000"/>
        </w:rPr>
      </w:pPr>
      <w:r>
        <w:rPr>
          <w:rFonts w:ascii="標楷體" w:eastAsia="標楷體" w:hAnsi="標楷體"/>
          <w:color w:val="000000"/>
        </w:rPr>
        <w:t>1.轉移性乳癌：</w:t>
      </w:r>
    </w:p>
    <w:p w:rsidR="00B96EA0" w:rsidRDefault="007D66B8" w:rsidP="005142EB">
      <w:pPr>
        <w:spacing w:line="400" w:lineRule="exact"/>
        <w:ind w:left="1232" w:hanging="382"/>
        <w:rPr>
          <w:rFonts w:ascii="標楷體" w:eastAsia="標楷體" w:hAnsi="標楷體"/>
          <w:color w:val="000000"/>
        </w:rPr>
      </w:pPr>
      <w:r>
        <w:rPr>
          <w:rFonts w:ascii="標楷體" w:eastAsia="標楷體" w:hAnsi="標楷體"/>
          <w:color w:val="000000"/>
        </w:rPr>
        <w:t>(1)用於治療轉移性乳癌患者且先前曾接受過anthracycline和taxane兩種針對轉移性乳癌之化學治療輔助性治療。</w:t>
      </w:r>
    </w:p>
    <w:p w:rsidR="00B96EA0" w:rsidRDefault="007D66B8" w:rsidP="005142EB">
      <w:pPr>
        <w:spacing w:line="400" w:lineRule="exact"/>
        <w:ind w:left="1232" w:hanging="382"/>
        <w:rPr>
          <w:rFonts w:ascii="標楷體" w:eastAsia="標楷體" w:hAnsi="標楷體"/>
          <w:color w:val="000000"/>
        </w:rPr>
      </w:pPr>
      <w:r>
        <w:rPr>
          <w:rFonts w:ascii="標楷體" w:eastAsia="標楷體" w:hAnsi="標楷體"/>
          <w:color w:val="000000"/>
        </w:rPr>
        <w:t>(2)每3個療程需進行療效評估，病歷應留存評估紀錄，無疾病惡化方可繼續使用。(106/11/1)</w:t>
      </w:r>
    </w:p>
    <w:p w:rsidR="00B96EA0" w:rsidRDefault="007D66B8" w:rsidP="005142EB">
      <w:pPr>
        <w:spacing w:line="400" w:lineRule="exact"/>
        <w:ind w:left="1200" w:hanging="353"/>
        <w:rPr>
          <w:rFonts w:ascii="標楷體" w:eastAsia="標楷體" w:hAnsi="標楷體"/>
          <w:color w:val="000000"/>
        </w:rPr>
      </w:pPr>
      <w:r>
        <w:rPr>
          <w:rFonts w:ascii="標楷體" w:eastAsia="標楷體" w:hAnsi="標楷體"/>
          <w:color w:val="000000"/>
        </w:rPr>
        <w:t>(3)Eribulin與ixabepilone用於治療上述之轉移性乳癌患者時，僅得擇一使用，且不得互換（eribulin限用於未曾使用過ixabepilone之病患）。(110/2/1)</w:t>
      </w:r>
    </w:p>
    <w:p w:rsidR="00B96EA0" w:rsidRDefault="007D66B8" w:rsidP="005142EB">
      <w:pPr>
        <w:spacing w:line="400" w:lineRule="exact"/>
        <w:ind w:left="849" w:hanging="338"/>
        <w:rPr>
          <w:rFonts w:ascii="標楷體" w:eastAsia="標楷體" w:hAnsi="標楷體"/>
          <w:color w:val="000000"/>
        </w:rPr>
      </w:pPr>
      <w:r>
        <w:rPr>
          <w:rFonts w:ascii="標楷體" w:eastAsia="標楷體" w:hAnsi="標楷體"/>
          <w:color w:val="000000"/>
        </w:rPr>
        <w:t>2.脂肪肉瘤：(108/12/1)</w:t>
      </w:r>
    </w:p>
    <w:p w:rsidR="00B96EA0" w:rsidRDefault="007D66B8" w:rsidP="005142EB">
      <w:pPr>
        <w:spacing w:line="400" w:lineRule="exact"/>
        <w:ind w:left="1188" w:hanging="338"/>
        <w:rPr>
          <w:rFonts w:ascii="標楷體" w:eastAsia="標楷體" w:hAnsi="標楷體"/>
          <w:color w:val="000000"/>
        </w:rPr>
      </w:pPr>
      <w:r>
        <w:rPr>
          <w:rFonts w:ascii="標楷體" w:eastAsia="標楷體" w:hAnsi="標楷體"/>
          <w:color w:val="000000"/>
        </w:rPr>
        <w:t>(1)限單獨使用於治療無法手術切除或轉移性脂肪肉瘤成人患者，且先前應至少接受一次含anthracycline之全身化療。</w:t>
      </w:r>
    </w:p>
    <w:p w:rsidR="00B96EA0" w:rsidRDefault="007D66B8" w:rsidP="005142EB">
      <w:pPr>
        <w:spacing w:line="400" w:lineRule="exact"/>
        <w:ind w:left="1188" w:hanging="338"/>
        <w:rPr>
          <w:rFonts w:ascii="標楷體" w:eastAsia="標楷體" w:hAnsi="標楷體"/>
          <w:color w:val="000000"/>
        </w:rPr>
      </w:pPr>
      <w:r>
        <w:rPr>
          <w:rFonts w:ascii="標楷體" w:eastAsia="標楷體" w:hAnsi="標楷體"/>
          <w:color w:val="000000"/>
        </w:rPr>
        <w:t>(2)須經事前審查核准後使用，每次申請以3個療程為限，再次申請時應檢附前次治療結果評估資料證實無惡化，才可繼續使用。</w:t>
      </w:r>
    </w:p>
    <w:p w:rsidR="00B96EA0" w:rsidRDefault="007D66B8" w:rsidP="005142EB">
      <w:pPr>
        <w:snapToGrid w:val="0"/>
        <w:spacing w:line="400" w:lineRule="exact"/>
        <w:ind w:left="425"/>
      </w:pPr>
      <w:bookmarkStart w:id="9" w:name="_Hlk96441645"/>
      <w:r>
        <w:rPr>
          <w:rFonts w:ascii="標楷體" w:eastAsia="標楷體" w:hAnsi="標楷體"/>
          <w:color w:val="000000"/>
          <w:szCs w:val="24"/>
        </w:rPr>
        <w:t>9.49.</w:t>
      </w:r>
      <w:r>
        <w:t xml:space="preserve"> </w:t>
      </w:r>
      <w:r>
        <w:rPr>
          <w:rFonts w:ascii="標楷體" w:eastAsia="標楷體" w:hAnsi="標楷體"/>
          <w:color w:val="000000"/>
          <w:szCs w:val="24"/>
        </w:rPr>
        <w:t>Abiraterone(如Zytiga）：（103/12/1、105/9/1、106/9/1、108/3/1、109/5/1、109/10/1、110/2/1、110/3/1、110/11/1、111/3/1、112/9/1、113/8/1、113/9/1、114/6/1）</w:t>
      </w:r>
    </w:p>
    <w:bookmarkEnd w:id="9"/>
    <w:p w:rsidR="00B96EA0" w:rsidRDefault="007D66B8" w:rsidP="005142EB">
      <w:pPr>
        <w:snapToGrid w:val="0"/>
        <w:spacing w:line="400" w:lineRule="exact"/>
        <w:ind w:left="851" w:hanging="280"/>
      </w:pPr>
      <w:r>
        <w:rPr>
          <w:rFonts w:ascii="標楷體" w:eastAsia="標楷體" w:hAnsi="標楷體"/>
          <w:color w:val="000000"/>
          <w:szCs w:val="24"/>
        </w:rPr>
        <w:t>1.與雄性素去除療法及prednisone或prednisolone併用，治療新診斷高風險轉移性的去勢敏感性前列腺癌(mCSPC)的成年男性(ECOG分數須</w:t>
      </w:r>
      <w:r>
        <w:rPr>
          <w:rFonts w:ascii="標楷體" w:eastAsia="標楷體" w:hAnsi="標楷體" w:cs="新細明體"/>
          <w:color w:val="000000"/>
          <w:szCs w:val="24"/>
        </w:rPr>
        <w:t>≦</w:t>
      </w:r>
      <w:r>
        <w:rPr>
          <w:rFonts w:ascii="標楷體" w:eastAsia="標楷體" w:hAnsi="標楷體"/>
          <w:color w:val="000000"/>
          <w:szCs w:val="24"/>
        </w:rPr>
        <w:t>1)。高風險需符合下列三項條件中至少兩項：(109/5/1</w:t>
      </w:r>
      <w:r>
        <w:rPr>
          <w:rFonts w:ascii="標楷體" w:eastAsia="標楷體" w:hAnsi="標楷體"/>
          <w:szCs w:val="24"/>
        </w:rPr>
        <w:t>、110/2/1、113/8/1）</w:t>
      </w:r>
    </w:p>
    <w:p w:rsidR="00B96EA0" w:rsidRDefault="007D66B8" w:rsidP="005142EB">
      <w:pPr>
        <w:snapToGrid w:val="0"/>
        <w:spacing w:line="400" w:lineRule="exact"/>
        <w:ind w:left="851"/>
      </w:pPr>
      <w:r>
        <w:rPr>
          <w:rFonts w:ascii="標楷體" w:eastAsia="標楷體" w:hAnsi="標楷體"/>
          <w:color w:val="000000"/>
          <w:szCs w:val="24"/>
        </w:rPr>
        <w:t>(1)葛里森分數(Gleason score)</w:t>
      </w:r>
      <w:r>
        <w:rPr>
          <w:rFonts w:ascii="標楷體" w:eastAsia="標楷體" w:hAnsi="標楷體" w:cs="新細明體"/>
          <w:color w:val="000000"/>
          <w:szCs w:val="24"/>
        </w:rPr>
        <w:t>≧</w:t>
      </w:r>
      <w:r>
        <w:rPr>
          <w:rFonts w:ascii="標楷體" w:eastAsia="標楷體" w:hAnsi="標楷體"/>
          <w:color w:val="000000"/>
          <w:szCs w:val="24"/>
        </w:rPr>
        <w:t>8；</w:t>
      </w:r>
    </w:p>
    <w:p w:rsidR="00B96EA0" w:rsidRDefault="007D66B8" w:rsidP="005142EB">
      <w:pPr>
        <w:snapToGrid w:val="0"/>
        <w:spacing w:line="400" w:lineRule="exact"/>
        <w:ind w:left="851"/>
        <w:rPr>
          <w:rFonts w:ascii="標楷體" w:eastAsia="標楷體" w:hAnsi="標楷體"/>
          <w:color w:val="000000"/>
          <w:szCs w:val="24"/>
        </w:rPr>
      </w:pPr>
      <w:r>
        <w:rPr>
          <w:rFonts w:ascii="標楷體" w:eastAsia="標楷體" w:hAnsi="標楷體"/>
          <w:color w:val="000000"/>
          <w:szCs w:val="24"/>
        </w:rPr>
        <w:t>(2)骨骼掃描出現三個(含)以上病灶且至少其中一處以上為非脊柱及非骨盆腔轉移；(109/5/1、113/8/1）</w:t>
      </w:r>
    </w:p>
    <w:p w:rsidR="00B96EA0" w:rsidRDefault="007D66B8" w:rsidP="005142EB">
      <w:pPr>
        <w:snapToGrid w:val="0"/>
        <w:spacing w:line="400" w:lineRule="exact"/>
        <w:ind w:left="851"/>
        <w:rPr>
          <w:rFonts w:ascii="標楷體" w:eastAsia="標楷體" w:hAnsi="標楷體"/>
          <w:color w:val="000000"/>
          <w:szCs w:val="24"/>
        </w:rPr>
      </w:pPr>
      <w:r>
        <w:rPr>
          <w:rFonts w:ascii="標楷體" w:eastAsia="標楷體" w:hAnsi="標楷體"/>
          <w:color w:val="000000"/>
          <w:szCs w:val="24"/>
        </w:rPr>
        <w:t>(3)出現內臟轉移。</w:t>
      </w:r>
    </w:p>
    <w:p w:rsidR="00B96EA0" w:rsidRDefault="007D66B8" w:rsidP="005142EB">
      <w:pPr>
        <w:snapToGrid w:val="0"/>
        <w:spacing w:line="400" w:lineRule="exact"/>
        <w:ind w:left="851" w:hanging="280"/>
        <w:rPr>
          <w:rFonts w:ascii="標楷體" w:eastAsia="標楷體" w:hAnsi="標楷體"/>
          <w:color w:val="000000"/>
          <w:szCs w:val="24"/>
        </w:rPr>
      </w:pPr>
      <w:r>
        <w:rPr>
          <w:rFonts w:ascii="標楷體" w:eastAsia="標楷體" w:hAnsi="標楷體"/>
          <w:color w:val="000000"/>
          <w:szCs w:val="24"/>
        </w:rPr>
        <w:t>2.與prednisone或prednisolone併用，治療藥物或手術去勢抗性的轉移性前列腺癌(mCRPC)，且在雄性素去除療法失敗後屬無症狀或輕度症狀(ECOG分數0或1)，未曾接受化學治療者：（106/9/1）</w:t>
      </w:r>
    </w:p>
    <w:p w:rsidR="00B96EA0" w:rsidRDefault="007D66B8" w:rsidP="005142EB">
      <w:pPr>
        <w:snapToGrid w:val="0"/>
        <w:spacing w:line="400" w:lineRule="exact"/>
        <w:ind w:left="1276" w:hanging="420"/>
      </w:pPr>
      <w:r>
        <w:rPr>
          <w:rFonts w:ascii="標楷體" w:eastAsia="標楷體" w:hAnsi="標楷體"/>
          <w:color w:val="000000"/>
          <w:szCs w:val="24"/>
        </w:rPr>
        <w:t>(1)若病患先前接受雄性素去除療法時，在小於12個月的時間內演化成去勢抗性前列腺癌(CRPC)，且葛里森分數(Gleason score)</w:t>
      </w:r>
      <w:r>
        <w:rPr>
          <w:rFonts w:ascii="標楷體" w:eastAsia="標楷體" w:hAnsi="標楷體" w:cs="新細明體"/>
          <w:color w:val="000000"/>
          <w:szCs w:val="24"/>
        </w:rPr>
        <w:t>≧</w:t>
      </w:r>
      <w:r>
        <w:rPr>
          <w:rFonts w:ascii="標楷體" w:eastAsia="標楷體" w:hAnsi="標楷體"/>
          <w:color w:val="000000"/>
          <w:szCs w:val="24"/>
        </w:rPr>
        <w:t>8時，不得於使用化學治療前使用abiraterone。（106/9/1）</w:t>
      </w:r>
    </w:p>
    <w:p w:rsidR="00B96EA0" w:rsidRDefault="007D66B8" w:rsidP="005142EB">
      <w:pPr>
        <w:snapToGrid w:val="0"/>
        <w:spacing w:line="400" w:lineRule="exact"/>
        <w:ind w:left="851"/>
        <w:rPr>
          <w:rFonts w:ascii="標楷體" w:eastAsia="標楷體" w:hAnsi="標楷體"/>
          <w:color w:val="000000"/>
          <w:szCs w:val="24"/>
        </w:rPr>
      </w:pPr>
      <w:r>
        <w:rPr>
          <w:rFonts w:ascii="標楷體" w:eastAsia="標楷體" w:hAnsi="標楷體"/>
          <w:color w:val="000000"/>
          <w:szCs w:val="24"/>
        </w:rPr>
        <w:t>(2)申請時需另檢附：</w:t>
      </w:r>
    </w:p>
    <w:p w:rsidR="00B96EA0" w:rsidRDefault="007D66B8" w:rsidP="005142EB">
      <w:pPr>
        <w:tabs>
          <w:tab w:val="left" w:pos="1701"/>
        </w:tabs>
        <w:snapToGrid w:val="0"/>
        <w:spacing w:line="400" w:lineRule="exact"/>
        <w:ind w:left="1560" w:hanging="280"/>
        <w:rPr>
          <w:rFonts w:ascii="標楷體" w:eastAsia="標楷體" w:hAnsi="標楷體"/>
          <w:color w:val="000000"/>
          <w:szCs w:val="24"/>
        </w:rPr>
      </w:pPr>
      <w:r>
        <w:rPr>
          <w:rFonts w:ascii="標楷體" w:eastAsia="標楷體" w:hAnsi="標楷體"/>
          <w:color w:val="000000"/>
          <w:szCs w:val="24"/>
        </w:rPr>
        <w:t>I.用藥紀錄(證明未常規使用止痛藥物，屬無症狀或輕度症狀)。</w:t>
      </w:r>
    </w:p>
    <w:p w:rsidR="00B96EA0" w:rsidRDefault="007D66B8" w:rsidP="005142EB">
      <w:pPr>
        <w:tabs>
          <w:tab w:val="left" w:pos="1701"/>
        </w:tabs>
        <w:snapToGrid w:val="0"/>
        <w:spacing w:line="400" w:lineRule="exact"/>
        <w:ind w:left="1560" w:hanging="420"/>
        <w:rPr>
          <w:rFonts w:ascii="標楷體" w:eastAsia="標楷體" w:hAnsi="標楷體"/>
          <w:color w:val="000000"/>
          <w:szCs w:val="24"/>
        </w:rPr>
      </w:pPr>
      <w:r>
        <w:rPr>
          <w:rFonts w:ascii="標楷體" w:eastAsia="標楷體" w:hAnsi="標楷體"/>
          <w:color w:val="000000"/>
          <w:szCs w:val="24"/>
        </w:rPr>
        <w:t>II.三個月內影像報告證明無臟器轉移。（106/9/1）</w:t>
      </w:r>
    </w:p>
    <w:p w:rsidR="00B96EA0" w:rsidRDefault="007D66B8" w:rsidP="005142EB">
      <w:pPr>
        <w:tabs>
          <w:tab w:val="left" w:pos="851"/>
        </w:tabs>
        <w:snapToGrid w:val="0"/>
        <w:spacing w:line="400" w:lineRule="exact"/>
        <w:ind w:left="851" w:hanging="280"/>
      </w:pPr>
      <w:r>
        <w:rPr>
          <w:rFonts w:ascii="標楷體" w:eastAsia="標楷體" w:hAnsi="標楷體"/>
          <w:color w:val="000000"/>
          <w:szCs w:val="24"/>
        </w:rPr>
        <w:t>3.與prednisone或prednisolone併用，治療藥物或手術去勢抗性的轉移性前列腺癌(ECOG分數須</w:t>
      </w:r>
      <w:r>
        <w:rPr>
          <w:rFonts w:ascii="標楷體" w:eastAsia="標楷體" w:hAnsi="標楷體" w:cs="新細明體"/>
          <w:color w:val="000000"/>
          <w:szCs w:val="24"/>
        </w:rPr>
        <w:t>≦</w:t>
      </w:r>
      <w:r>
        <w:rPr>
          <w:rFonts w:ascii="標楷體" w:eastAsia="標楷體" w:hAnsi="標楷體"/>
          <w:color w:val="000000"/>
          <w:szCs w:val="24"/>
        </w:rPr>
        <w:t>2)且已使用過docetaxel 2個療程以上治療無效者。</w:t>
      </w:r>
    </w:p>
    <w:p w:rsidR="00B96EA0" w:rsidRDefault="007D66B8" w:rsidP="005142EB">
      <w:pPr>
        <w:tabs>
          <w:tab w:val="left" w:pos="851"/>
        </w:tabs>
        <w:snapToGrid w:val="0"/>
        <w:spacing w:line="400" w:lineRule="exact"/>
        <w:ind w:left="851" w:hanging="280"/>
        <w:rPr>
          <w:rFonts w:ascii="標楷體" w:eastAsia="標楷體" w:hAnsi="標楷體"/>
          <w:color w:val="000000"/>
          <w:szCs w:val="24"/>
        </w:rPr>
      </w:pPr>
      <w:r>
        <w:rPr>
          <w:rFonts w:ascii="標楷體" w:eastAsia="標楷體" w:hAnsi="標楷體"/>
          <w:color w:val="000000"/>
          <w:szCs w:val="24"/>
        </w:rPr>
        <w:t xml:space="preserve">4.與olaparib及prednisone或prednisolone，用於具germline或 somatic BRCA </w:t>
      </w:r>
      <w:r>
        <w:rPr>
          <w:rFonts w:ascii="標楷體" w:eastAsia="標楷體" w:hAnsi="標楷體"/>
          <w:color w:val="000000"/>
          <w:szCs w:val="24"/>
        </w:rPr>
        <w:lastRenderedPageBreak/>
        <w:t>1/2致病性或疑似致病性突變之成人病人，患者需符合olaparib藥品給付規定。(114/6/1)</w:t>
      </w:r>
    </w:p>
    <w:p w:rsidR="00B96EA0" w:rsidRDefault="007D66B8" w:rsidP="005142EB">
      <w:pPr>
        <w:tabs>
          <w:tab w:val="left" w:pos="851"/>
        </w:tabs>
        <w:snapToGrid w:val="0"/>
        <w:spacing w:line="400" w:lineRule="exact"/>
        <w:ind w:left="851" w:hanging="280"/>
      </w:pPr>
      <w:r>
        <w:rPr>
          <w:rFonts w:ascii="標楷體" w:eastAsia="標楷體" w:hAnsi="標楷體"/>
          <w:color w:val="000000"/>
          <w:szCs w:val="24"/>
        </w:rPr>
        <w:t>5.前述1、2、3項須經事前審查核准後使用，每3個月需再次申請。（111/3/1）</w:t>
      </w:r>
    </w:p>
    <w:p w:rsidR="00B96EA0" w:rsidRDefault="007D66B8" w:rsidP="005142EB">
      <w:pPr>
        <w:tabs>
          <w:tab w:val="left" w:pos="851"/>
        </w:tabs>
        <w:snapToGrid w:val="0"/>
        <w:spacing w:line="400" w:lineRule="exact"/>
        <w:ind w:left="1276" w:hanging="420"/>
        <w:rPr>
          <w:rFonts w:ascii="標楷體" w:eastAsia="標楷體" w:hAnsi="標楷體"/>
          <w:color w:val="000000"/>
          <w:szCs w:val="24"/>
        </w:rPr>
      </w:pPr>
      <w:r>
        <w:rPr>
          <w:rFonts w:ascii="標楷體" w:eastAsia="標楷體" w:hAnsi="標楷體"/>
          <w:color w:val="000000"/>
          <w:szCs w:val="24"/>
        </w:rPr>
        <w:t>(1)申請時需檢附病理報告、使用雄性素去除療法紀錄及系列PSA和睪固酮數據。（106/9/1）</w:t>
      </w:r>
    </w:p>
    <w:p w:rsidR="00B96EA0" w:rsidRDefault="007D66B8" w:rsidP="005142EB">
      <w:pPr>
        <w:tabs>
          <w:tab w:val="left" w:pos="851"/>
        </w:tabs>
        <w:snapToGrid w:val="0"/>
        <w:spacing w:line="400" w:lineRule="exact"/>
        <w:ind w:left="1276" w:hanging="420"/>
        <w:rPr>
          <w:rFonts w:ascii="標楷體" w:eastAsia="標楷體" w:hAnsi="標楷體"/>
          <w:color w:val="000000"/>
          <w:szCs w:val="24"/>
        </w:rPr>
      </w:pPr>
      <w:r>
        <w:rPr>
          <w:rFonts w:ascii="標楷體" w:eastAsia="標楷體" w:hAnsi="標楷體"/>
          <w:color w:val="000000"/>
          <w:szCs w:val="24"/>
        </w:rPr>
        <w:t>(2)再申請時若PSA值下降未超過治療前的50%以上，則需停藥。(106/9/1、109/10/1)</w:t>
      </w:r>
    </w:p>
    <w:p w:rsidR="00B96EA0" w:rsidRDefault="007D66B8" w:rsidP="005142EB">
      <w:pPr>
        <w:tabs>
          <w:tab w:val="left" w:pos="851"/>
        </w:tabs>
        <w:snapToGrid w:val="0"/>
        <w:spacing w:line="400" w:lineRule="exact"/>
        <w:ind w:left="1276" w:hanging="420"/>
      </w:pPr>
      <w:r>
        <w:rPr>
          <w:rFonts w:ascii="標楷體" w:eastAsia="標楷體" w:hAnsi="標楷體"/>
          <w:color w:val="000000"/>
          <w:szCs w:val="24"/>
        </w:rPr>
        <w:t>(3)下降達最低值後之持續追蹤出現PSA較最低值上升50%以上且PSA</w:t>
      </w:r>
      <w:r>
        <w:rPr>
          <w:rFonts w:ascii="標楷體" w:eastAsia="標楷體" w:hAnsi="標楷體" w:cs="新細明體"/>
          <w:color w:val="000000"/>
          <w:szCs w:val="24"/>
        </w:rPr>
        <w:t>≧</w:t>
      </w:r>
      <w:r>
        <w:rPr>
          <w:rFonts w:ascii="標楷體" w:eastAsia="標楷體" w:hAnsi="標楷體"/>
          <w:color w:val="000000"/>
          <w:szCs w:val="24"/>
        </w:rPr>
        <w:t>2ng/ml，則需停藥，但影像學證據尚無疾病進展者，可以繼續使用。（106/9/1、109/10/1）</w:t>
      </w:r>
    </w:p>
    <w:p w:rsidR="00B96EA0" w:rsidRDefault="007D66B8" w:rsidP="005142EB">
      <w:pPr>
        <w:tabs>
          <w:tab w:val="left" w:pos="851"/>
        </w:tabs>
        <w:snapToGrid w:val="0"/>
        <w:spacing w:line="400" w:lineRule="exact"/>
        <w:ind w:left="1276" w:hanging="420"/>
      </w:pPr>
      <w:r>
        <w:rPr>
          <w:rFonts w:ascii="標楷體" w:eastAsia="標楷體" w:hAnsi="標楷體"/>
          <w:color w:val="000000"/>
          <w:szCs w:val="24"/>
        </w:rPr>
        <w:t>(4)用於治療新診斷高風險轉移性的去勢敏感性前列腺癌(mCSPC)的成年男性，總療程以36個月為上限（惟Ateron總療程以24個月為上限）。(109/5/1、110/2/1、113/8/1、113/9/1）</w:t>
      </w:r>
    </w:p>
    <w:p w:rsidR="00B96EA0" w:rsidRDefault="007D66B8" w:rsidP="005142EB">
      <w:pPr>
        <w:tabs>
          <w:tab w:val="left" w:pos="851"/>
        </w:tabs>
        <w:snapToGrid w:val="0"/>
        <w:spacing w:line="400" w:lineRule="exact"/>
        <w:ind w:left="1276" w:hanging="420"/>
        <w:rPr>
          <w:rFonts w:ascii="標楷體" w:eastAsia="標楷體" w:hAnsi="標楷體"/>
          <w:color w:val="000000"/>
          <w:szCs w:val="24"/>
        </w:rPr>
      </w:pPr>
      <w:r>
        <w:rPr>
          <w:rFonts w:ascii="標楷體" w:eastAsia="標楷體" w:hAnsi="標楷體"/>
          <w:color w:val="000000"/>
          <w:szCs w:val="24"/>
        </w:rPr>
        <w:t>(5)去勢抗性前列腺癌(CRPC)病患若於化學治療前先使用過abiraterone，當化學治療失敗後不得再申請使用abiraterone。（106/9/1）</w:t>
      </w:r>
    </w:p>
    <w:p w:rsidR="00B96EA0" w:rsidRDefault="007D66B8" w:rsidP="005142EB">
      <w:pPr>
        <w:tabs>
          <w:tab w:val="left" w:pos="851"/>
        </w:tabs>
        <w:snapToGrid w:val="0"/>
        <w:spacing w:line="400" w:lineRule="exact"/>
        <w:ind w:left="851" w:hanging="280"/>
      </w:pPr>
      <w:r>
        <w:rPr>
          <w:rFonts w:ascii="標楷體" w:eastAsia="標楷體" w:hAnsi="標楷體"/>
          <w:color w:val="000000"/>
          <w:szCs w:val="24"/>
        </w:rPr>
        <w:t>6.不論病人處於轉移或非轉移的狀態下，新型荷爾蒙藥品(abiraterone、apalutamide、darolutamide和enzalutamide) 及olaparib 與 abiraterone併用，終生僅給付一種治療，且除非出現嚴重不耐受反應導致必須永久停止治療，不得互換。(112/9/1、114/6/1)</w:t>
      </w:r>
    </w:p>
    <w:p w:rsidR="00B96EA0" w:rsidRDefault="007D66B8" w:rsidP="005142EB">
      <w:pPr>
        <w:tabs>
          <w:tab w:val="left" w:pos="851"/>
        </w:tabs>
        <w:snapToGrid w:val="0"/>
        <w:spacing w:line="400" w:lineRule="exact"/>
        <w:ind w:left="851" w:hanging="280"/>
      </w:pPr>
      <w:r>
        <w:rPr>
          <w:rFonts w:ascii="標楷體" w:eastAsia="標楷體" w:hAnsi="標楷體"/>
          <w:color w:val="000000"/>
          <w:szCs w:val="24"/>
        </w:rPr>
        <w:t>7.本品與radium-223 dichloride不得合併使用。(108/3/1)</w:t>
      </w:r>
    </w:p>
    <w:p w:rsidR="00B96EA0" w:rsidRDefault="007D66B8" w:rsidP="005142EB">
      <w:pPr>
        <w:spacing w:line="400" w:lineRule="exact"/>
        <w:ind w:left="283"/>
        <w:rPr>
          <w:rFonts w:ascii="標楷體" w:eastAsia="標楷體" w:hAnsi="標楷體"/>
        </w:rPr>
      </w:pPr>
      <w:r>
        <w:rPr>
          <w:rFonts w:ascii="標楷體" w:eastAsia="標楷體" w:hAnsi="標楷體"/>
        </w:rPr>
        <w:t>9.50.Crizotinib (如Xalkori)：(104/9/1、106/11/1、107/5/1、108/7/1、108/9/1、108/12/1、110/7/1、111/2/1、111/8/1、112/11/1、113/6/1、113/9/1)</w:t>
      </w:r>
    </w:p>
    <w:p w:rsidR="00B96EA0" w:rsidRDefault="007D66B8" w:rsidP="005142EB">
      <w:pPr>
        <w:pStyle w:val="a9"/>
        <w:numPr>
          <w:ilvl w:val="0"/>
          <w:numId w:val="1"/>
        </w:numPr>
        <w:suppressAutoHyphens w:val="0"/>
        <w:spacing w:line="400" w:lineRule="exact"/>
        <w:ind w:left="991"/>
        <w:textAlignment w:val="auto"/>
        <w:rPr>
          <w:rFonts w:ascii="標楷體" w:eastAsia="標楷體" w:hAnsi="標楷體"/>
        </w:rPr>
      </w:pPr>
      <w:r>
        <w:rPr>
          <w:rFonts w:ascii="標楷體" w:eastAsia="標楷體" w:hAnsi="標楷體"/>
        </w:rPr>
        <w:t>適用於ALK陽性之晚期非小細胞肺癌第一線治療，且於113年9月1日前經審核同意用藥，後續評估符合續用申請條件者。(106/11/1、111/8/1、113/9/1)</w:t>
      </w:r>
    </w:p>
    <w:p w:rsidR="00B96EA0" w:rsidRDefault="007D66B8" w:rsidP="005142EB">
      <w:pPr>
        <w:pStyle w:val="a9"/>
        <w:numPr>
          <w:ilvl w:val="0"/>
          <w:numId w:val="1"/>
        </w:numPr>
        <w:suppressAutoHyphens w:val="0"/>
        <w:spacing w:line="400" w:lineRule="exact"/>
        <w:ind w:left="991"/>
        <w:textAlignment w:val="auto"/>
        <w:rPr>
          <w:rFonts w:ascii="標楷體" w:eastAsia="標楷體" w:hAnsi="標楷體"/>
        </w:rPr>
      </w:pPr>
      <w:r>
        <w:rPr>
          <w:rFonts w:ascii="標楷體" w:eastAsia="標楷體" w:hAnsi="標楷體"/>
        </w:rPr>
        <w:t>單獨使用於ROS-1陽性之晚期非小細胞肺癌患者。(108/9/1)</w:t>
      </w:r>
    </w:p>
    <w:p w:rsidR="00B96EA0" w:rsidRDefault="007D66B8" w:rsidP="005142EB">
      <w:pPr>
        <w:pStyle w:val="a9"/>
        <w:numPr>
          <w:ilvl w:val="0"/>
          <w:numId w:val="1"/>
        </w:numPr>
        <w:suppressAutoHyphens w:val="0"/>
        <w:spacing w:line="400" w:lineRule="exact"/>
        <w:ind w:left="991"/>
        <w:textAlignment w:val="auto"/>
        <w:rPr>
          <w:rFonts w:ascii="標楷體" w:eastAsia="標楷體" w:hAnsi="標楷體"/>
        </w:rPr>
      </w:pPr>
      <w:r>
        <w:rPr>
          <w:rFonts w:ascii="標楷體" w:eastAsia="標楷體" w:hAnsi="標楷體"/>
        </w:rPr>
        <w:t>須經事前審查核准後使用:</w:t>
      </w:r>
    </w:p>
    <w:p w:rsidR="00B96EA0" w:rsidRDefault="007D66B8" w:rsidP="005142EB">
      <w:pPr>
        <w:pStyle w:val="a9"/>
        <w:numPr>
          <w:ilvl w:val="1"/>
          <w:numId w:val="1"/>
        </w:numPr>
        <w:suppressAutoHyphens w:val="0"/>
        <w:spacing w:line="400" w:lineRule="exact"/>
        <w:ind w:left="991"/>
        <w:textAlignment w:val="auto"/>
        <w:rPr>
          <w:rFonts w:ascii="標楷體" w:eastAsia="標楷體" w:hAnsi="標楷體"/>
        </w:rPr>
      </w:pPr>
      <w:r>
        <w:rPr>
          <w:rFonts w:ascii="標楷體" w:eastAsia="標楷體" w:hAnsi="標楷體"/>
        </w:rPr>
        <w:t>每次申請事前審查之療程以三個月為限，每三個月需再次申請。</w:t>
      </w:r>
    </w:p>
    <w:p w:rsidR="00B96EA0" w:rsidRDefault="007D66B8" w:rsidP="005142EB">
      <w:pPr>
        <w:pStyle w:val="a9"/>
        <w:numPr>
          <w:ilvl w:val="1"/>
          <w:numId w:val="1"/>
        </w:numPr>
        <w:suppressAutoHyphens w:val="0"/>
        <w:spacing w:line="400" w:lineRule="exact"/>
        <w:ind w:left="991"/>
        <w:textAlignment w:val="auto"/>
        <w:rPr>
          <w:rFonts w:ascii="標楷體" w:eastAsia="標楷體" w:hAnsi="標楷體"/>
        </w:rPr>
      </w:pPr>
      <w:r>
        <w:rPr>
          <w:rFonts w:ascii="標楷體" w:eastAsia="標楷體" w:hAnsi="標楷體"/>
        </w:rPr>
        <w:t>初次申請時需檢具確實患有非小細胞肺癌之病理或細胞檢查報告，及ALK突變檢測報告，或ROS-1突變檢測報告，且需符合全民健康保險藥品給付規定之通則十二。(107/5/1、108/9/1、111/2/1、113/6/1)</w:t>
      </w:r>
    </w:p>
    <w:p w:rsidR="00B96EA0" w:rsidRDefault="007D66B8" w:rsidP="005142EB">
      <w:pPr>
        <w:pStyle w:val="a9"/>
        <w:numPr>
          <w:ilvl w:val="1"/>
          <w:numId w:val="1"/>
        </w:numPr>
        <w:suppressAutoHyphens w:val="0"/>
        <w:spacing w:line="400" w:lineRule="exact"/>
        <w:ind w:left="991"/>
        <w:textAlignment w:val="auto"/>
        <w:rPr>
          <w:rFonts w:ascii="標楷體" w:eastAsia="標楷體" w:hAnsi="標楷體"/>
        </w:rPr>
      </w:pPr>
      <w:r>
        <w:rPr>
          <w:rFonts w:ascii="標楷體" w:eastAsia="標楷體" w:hAnsi="標楷體"/>
        </w:rPr>
        <w:t>再次申請時需附上治療後相關臨床資料，如給藥4週後，需追蹤胸部X光或電腦斷層等影像檢查評估療效，往後每4週做胸部X光檢查，每3個月需追蹤其作為評估藥效的影像(如胸部X光或電腦斷層)，若病情惡化即不得再次申請。(108/12/1、112/11/1)</w:t>
      </w:r>
    </w:p>
    <w:p w:rsidR="00B96EA0" w:rsidRDefault="007D66B8" w:rsidP="005142EB">
      <w:pPr>
        <w:pStyle w:val="a9"/>
        <w:numPr>
          <w:ilvl w:val="0"/>
          <w:numId w:val="1"/>
        </w:numPr>
        <w:suppressAutoHyphens w:val="0"/>
        <w:spacing w:line="400" w:lineRule="exact"/>
        <w:ind w:left="991"/>
        <w:textAlignment w:val="auto"/>
        <w:rPr>
          <w:rFonts w:ascii="標楷體" w:eastAsia="標楷體" w:hAnsi="標楷體"/>
        </w:rPr>
      </w:pPr>
      <w:r>
        <w:rPr>
          <w:rFonts w:ascii="標楷體" w:eastAsia="標楷體" w:hAnsi="標楷體"/>
        </w:rPr>
        <w:t>Crizotinib與ceritinib、alectinib、brigatinib、lorlatinib用於ALK陽性之晚期非小細胞肺癌第一線治療時，僅得擇一使用，除因病人使用後，發生嚴重不良</w:t>
      </w:r>
      <w:r>
        <w:rPr>
          <w:rFonts w:ascii="標楷體" w:eastAsia="標楷體" w:hAnsi="標楷體"/>
        </w:rPr>
        <w:lastRenderedPageBreak/>
        <w:t>反應或耐受不良之情形外，不得互換。(108/7/1、108/12/1、111/8/1、112/11/1)</w:t>
      </w:r>
    </w:p>
    <w:p w:rsidR="00B96EA0" w:rsidRDefault="007D66B8" w:rsidP="005142EB">
      <w:pPr>
        <w:pStyle w:val="a9"/>
        <w:numPr>
          <w:ilvl w:val="0"/>
          <w:numId w:val="1"/>
        </w:numPr>
        <w:suppressAutoHyphens w:val="0"/>
        <w:spacing w:line="400" w:lineRule="exact"/>
        <w:ind w:left="991"/>
        <w:textAlignment w:val="auto"/>
        <w:rPr>
          <w:rFonts w:ascii="標楷體" w:eastAsia="標楷體" w:hAnsi="標楷體"/>
        </w:rPr>
      </w:pPr>
      <w:r>
        <w:rPr>
          <w:rFonts w:ascii="標楷體" w:eastAsia="標楷體" w:hAnsi="標楷體"/>
        </w:rPr>
        <w:t>Crizotinib與entrectinib用於ROS-1陽性之晚期非小細胞肺癌時，僅得擇一使用，除因病人使用後，發生嚴重不良反應或耐受不良之情形外，不得互換。(110/7/1)</w:t>
      </w:r>
    </w:p>
    <w:p w:rsidR="00B96EA0" w:rsidRDefault="007D66B8" w:rsidP="005142EB">
      <w:pPr>
        <w:pStyle w:val="a9"/>
        <w:numPr>
          <w:ilvl w:val="0"/>
          <w:numId w:val="1"/>
        </w:numPr>
        <w:suppressAutoHyphens w:val="0"/>
        <w:spacing w:line="400" w:lineRule="exact"/>
        <w:ind w:left="991"/>
        <w:textAlignment w:val="auto"/>
        <w:rPr>
          <w:rFonts w:ascii="標楷體" w:eastAsia="標楷體" w:hAnsi="標楷體"/>
        </w:rPr>
      </w:pPr>
      <w:r>
        <w:rPr>
          <w:rFonts w:ascii="標楷體" w:eastAsia="標楷體" w:hAnsi="標楷體"/>
        </w:rPr>
        <w:t>每日最大劑量限500mg。(108/9/1)</w:t>
      </w:r>
    </w:p>
    <w:p w:rsidR="00B96EA0" w:rsidRDefault="007D66B8" w:rsidP="005142EB">
      <w:pPr>
        <w:spacing w:line="400" w:lineRule="exact"/>
        <w:ind w:left="851" w:hanging="635"/>
        <w:rPr>
          <w:rFonts w:ascii="標楷體" w:eastAsia="標楷體" w:hAnsi="標楷體"/>
          <w:color w:val="000000"/>
        </w:rPr>
      </w:pPr>
      <w:bookmarkStart w:id="10" w:name="_Hlk75427389"/>
      <w:r>
        <w:rPr>
          <w:rFonts w:ascii="標楷體" w:eastAsia="標楷體" w:hAnsi="標楷體"/>
          <w:color w:val="000000"/>
        </w:rPr>
        <w:t>9.51.Regorafenib（如Stivarga）：（104/9/1、105/8/1、107/12/1、108/6/1、110/5/1、110/6/1、113/6/1）</w:t>
      </w:r>
    </w:p>
    <w:p w:rsidR="00B96EA0" w:rsidRDefault="007D66B8" w:rsidP="005142EB">
      <w:pPr>
        <w:spacing w:line="400" w:lineRule="exact"/>
        <w:ind w:left="966" w:hanging="351"/>
        <w:rPr>
          <w:rFonts w:ascii="標楷體" w:eastAsia="標楷體" w:hAnsi="標楷體"/>
          <w:color w:val="000000"/>
        </w:rPr>
      </w:pPr>
      <w:r>
        <w:rPr>
          <w:rFonts w:ascii="標楷體" w:eastAsia="標楷體" w:hAnsi="標楷體"/>
          <w:color w:val="000000"/>
        </w:rPr>
        <w:t>1.轉移性大腸直腸癌(mCRC)：</w:t>
      </w:r>
    </w:p>
    <w:p w:rsidR="00B96EA0" w:rsidRDefault="007D66B8" w:rsidP="005142EB">
      <w:pPr>
        <w:spacing w:line="400" w:lineRule="exact"/>
        <w:ind w:left="1134" w:hanging="351"/>
        <w:rPr>
          <w:rFonts w:ascii="標楷體" w:eastAsia="標楷體" w:hAnsi="標楷體"/>
          <w:color w:val="000000"/>
        </w:rPr>
      </w:pPr>
      <w:r>
        <w:rPr>
          <w:rFonts w:ascii="標楷體" w:eastAsia="標楷體" w:hAnsi="標楷體"/>
          <w:color w:val="000000"/>
        </w:rPr>
        <w:t>(1)用於治療先前曾接受下列療法的轉移性大腸直腸癌(mCRC)患者，療法包括fluoropyrimidine、oxaliplatin、irinotecan為基礎的化療，和抗血管內皮生長因子(anti-VEGF)等療法；若K-ras為原生型(wild type)，則需再加上接受過抗表皮生長因子受體(anti-EGFR)療法。需檢附All-RAS基因突變分析檢測結果報告，且需符合全民健康保險藥品給付規定之通則十二。（110/6/1、113/6/1）</w:t>
      </w:r>
    </w:p>
    <w:p w:rsidR="00B96EA0" w:rsidRDefault="007D66B8" w:rsidP="005142EB">
      <w:pPr>
        <w:spacing w:line="400" w:lineRule="exact"/>
        <w:ind w:left="1134" w:hanging="351"/>
        <w:rPr>
          <w:rFonts w:ascii="標楷體" w:eastAsia="標楷體" w:hAnsi="標楷體"/>
          <w:color w:val="000000"/>
        </w:rPr>
      </w:pPr>
      <w:r>
        <w:rPr>
          <w:rFonts w:ascii="標楷體" w:eastAsia="標楷體" w:hAnsi="標楷體"/>
          <w:color w:val="000000"/>
        </w:rPr>
        <w:t>(2)須經事前審查核准後使用，每次申請事前審查之療程以8週為限，再次申請必須提出客觀證據（如：影像學）證實無惡化，才可繼續使用。</w:t>
      </w:r>
    </w:p>
    <w:p w:rsidR="00B96EA0" w:rsidRDefault="007D66B8" w:rsidP="005142EB">
      <w:pPr>
        <w:spacing w:line="400" w:lineRule="exact"/>
        <w:ind w:left="966" w:hanging="351"/>
        <w:rPr>
          <w:rFonts w:ascii="標楷體" w:eastAsia="標楷體" w:hAnsi="標楷體"/>
          <w:color w:val="000000"/>
        </w:rPr>
      </w:pPr>
      <w:r>
        <w:rPr>
          <w:rFonts w:ascii="標楷體" w:eastAsia="標楷體" w:hAnsi="標楷體"/>
          <w:color w:val="000000"/>
        </w:rPr>
        <w:t>2.胃腸道間質瘤(GIST) (105/8/1）</w:t>
      </w:r>
    </w:p>
    <w:p w:rsidR="00B96EA0" w:rsidRDefault="007D66B8" w:rsidP="005142EB">
      <w:pPr>
        <w:spacing w:line="400" w:lineRule="exact"/>
        <w:ind w:left="1134" w:hanging="351"/>
        <w:rPr>
          <w:rFonts w:ascii="標楷體" w:eastAsia="標楷體" w:hAnsi="標楷體"/>
          <w:color w:val="000000"/>
        </w:rPr>
      </w:pPr>
      <w:r>
        <w:rPr>
          <w:rFonts w:ascii="標楷體" w:eastAsia="標楷體" w:hAnsi="標楷體"/>
          <w:color w:val="000000"/>
        </w:rPr>
        <w:t>(1)先前曾接受imatinib與sunitinib治療的局部晚期、無法切除或轉移性的胃腸道間質瘤患者。</w:t>
      </w:r>
    </w:p>
    <w:p w:rsidR="00B96EA0" w:rsidRDefault="007D66B8" w:rsidP="005142EB">
      <w:pPr>
        <w:spacing w:line="400" w:lineRule="exact"/>
        <w:ind w:left="1134" w:hanging="351"/>
        <w:rPr>
          <w:rFonts w:ascii="標楷體" w:eastAsia="標楷體" w:hAnsi="標楷體"/>
          <w:color w:val="000000"/>
        </w:rPr>
      </w:pPr>
      <w:r>
        <w:rPr>
          <w:rFonts w:ascii="標楷體" w:eastAsia="標楷體" w:hAnsi="標楷體"/>
          <w:color w:val="000000"/>
        </w:rPr>
        <w:t>(2)需經事前審查核准後使用，每次申請之療程以3個月為限，送審時需檢送影像資料，每3個月評估一次。</w:t>
      </w:r>
    </w:p>
    <w:p w:rsidR="00B96EA0" w:rsidRDefault="007D66B8" w:rsidP="005142EB">
      <w:pPr>
        <w:spacing w:line="400" w:lineRule="exact"/>
        <w:ind w:left="966" w:hanging="351"/>
        <w:rPr>
          <w:rFonts w:ascii="標楷體" w:eastAsia="標楷體" w:hAnsi="標楷體"/>
          <w:color w:val="000000"/>
        </w:rPr>
      </w:pPr>
      <w:r>
        <w:rPr>
          <w:rFonts w:ascii="標楷體" w:eastAsia="標楷體" w:hAnsi="標楷體"/>
          <w:color w:val="000000"/>
        </w:rPr>
        <w:t>3.肝細胞癌(HCC)：(108/6/1、110/5/1)</w:t>
      </w:r>
    </w:p>
    <w:p w:rsidR="00B96EA0" w:rsidRDefault="007D66B8" w:rsidP="005142EB">
      <w:pPr>
        <w:spacing w:line="400" w:lineRule="exact"/>
        <w:ind w:left="1134" w:hanging="351"/>
        <w:rPr>
          <w:rFonts w:ascii="標楷體" w:eastAsia="標楷體" w:hAnsi="標楷體"/>
          <w:color w:val="000000"/>
        </w:rPr>
      </w:pPr>
      <w:r>
        <w:rPr>
          <w:rFonts w:ascii="標楷體" w:eastAsia="標楷體" w:hAnsi="標楷體"/>
          <w:color w:val="000000"/>
        </w:rPr>
        <w:t>(1)適用於曾接受sorafenib治療失敗後之轉移性或無法手術切除且不適合局部治療或局部治療失敗之Child-Pugh A class晚期肝細胞癌成人患者。</w:t>
      </w:r>
    </w:p>
    <w:p w:rsidR="00B96EA0" w:rsidRDefault="007D66B8" w:rsidP="005142EB">
      <w:pPr>
        <w:spacing w:line="400" w:lineRule="exact"/>
        <w:ind w:left="1134" w:hanging="351"/>
        <w:rPr>
          <w:rFonts w:ascii="標楷體" w:eastAsia="標楷體" w:hAnsi="標楷體"/>
          <w:color w:val="000000"/>
        </w:rPr>
      </w:pPr>
      <w:r>
        <w:rPr>
          <w:rFonts w:ascii="標楷體" w:eastAsia="標楷體" w:hAnsi="標楷體"/>
          <w:color w:val="000000"/>
        </w:rPr>
        <w:t>(2)需經事前審查核准後使用，初次申請之療程以12週為限，之後每8週評估一次。送審時需檢送影像資料，無疾病惡化方可繼續使用。</w:t>
      </w:r>
    </w:p>
    <w:p w:rsidR="00B96EA0" w:rsidRDefault="007D66B8" w:rsidP="005142EB">
      <w:pPr>
        <w:spacing w:line="400" w:lineRule="exact"/>
        <w:ind w:left="1134" w:hanging="351"/>
        <w:rPr>
          <w:rFonts w:ascii="標楷體" w:eastAsia="標楷體" w:hAnsi="標楷體"/>
          <w:color w:val="000000"/>
        </w:rPr>
      </w:pPr>
      <w:r>
        <w:rPr>
          <w:rFonts w:ascii="標楷體" w:eastAsia="標楷體" w:hAnsi="標楷體"/>
          <w:color w:val="000000"/>
        </w:rPr>
        <w:t>(3)每日至多處方4粒。</w:t>
      </w:r>
    </w:p>
    <w:p w:rsidR="00B96EA0" w:rsidRDefault="007D66B8" w:rsidP="005142EB">
      <w:pPr>
        <w:spacing w:line="400" w:lineRule="exact"/>
        <w:ind w:left="1134" w:hanging="351"/>
        <w:rPr>
          <w:rFonts w:ascii="標楷體" w:eastAsia="標楷體" w:hAnsi="標楷體"/>
          <w:color w:val="000000"/>
        </w:rPr>
      </w:pPr>
      <w:r>
        <w:rPr>
          <w:rFonts w:ascii="標楷體" w:eastAsia="標楷體" w:hAnsi="標楷體"/>
          <w:color w:val="000000"/>
        </w:rPr>
        <w:t>(4)Regorafenib與ramucirumab、nivolumab僅能擇一使用，不得互換。(110/5/1)</w:t>
      </w:r>
      <w:bookmarkEnd w:id="10"/>
    </w:p>
    <w:p w:rsidR="00B96EA0" w:rsidRDefault="007D66B8" w:rsidP="005142EB">
      <w:pPr>
        <w:tabs>
          <w:tab w:val="left" w:pos="1418"/>
        </w:tabs>
        <w:spacing w:line="400" w:lineRule="exact"/>
        <w:ind w:left="849" w:hanging="566"/>
        <w:rPr>
          <w:rFonts w:ascii="標楷體" w:eastAsia="標楷體" w:hAnsi="標楷體"/>
          <w:color w:val="000000"/>
        </w:rPr>
      </w:pPr>
      <w:r>
        <w:rPr>
          <w:rFonts w:ascii="標楷體" w:eastAsia="標楷體" w:hAnsi="標楷體"/>
          <w:color w:val="000000"/>
        </w:rPr>
        <w:t>9.52.Vemurafenib(如Zelboraf)：(104/11/1、110/3/1、113/6/1）</w:t>
      </w:r>
    </w:p>
    <w:p w:rsidR="00B96EA0" w:rsidRDefault="007D66B8" w:rsidP="005142EB">
      <w:pPr>
        <w:spacing w:line="400" w:lineRule="exact"/>
        <w:ind w:left="849" w:hanging="283"/>
      </w:pPr>
      <w:r>
        <w:rPr>
          <w:rFonts w:ascii="標楷體" w:eastAsia="標楷體" w:hAnsi="標楷體"/>
          <w:color w:val="000000"/>
        </w:rPr>
        <w:t>1.</w:t>
      </w:r>
      <w:r>
        <w:t xml:space="preserve"> </w:t>
      </w:r>
      <w:r>
        <w:rPr>
          <w:rFonts w:ascii="標楷體" w:eastAsia="標楷體" w:hAnsi="標楷體"/>
          <w:color w:val="000000"/>
        </w:rPr>
        <w:t>用於治療BRAF V600突變陽性ECOG</w:t>
      </w:r>
      <w:r>
        <w:rPr>
          <w:rFonts w:ascii="Times New Roman" w:eastAsia="標楷體" w:hAnsi="Times New Roman"/>
          <w:color w:val="000000"/>
        </w:rPr>
        <w:t>≤</w:t>
      </w:r>
      <w:r>
        <w:rPr>
          <w:rFonts w:ascii="標楷體" w:eastAsia="標楷體" w:hAnsi="標楷體"/>
          <w:color w:val="000000"/>
        </w:rPr>
        <w:t>2且罹患無法切除(第ⅢC期)或轉移性(第Ⅳ期)黑色素瘤之病人。需檢附BRAF V600基因突變分析檢測報告，且需符合全民健康保險藥品給付規定之通則十二。(113/6/1)</w:t>
      </w:r>
    </w:p>
    <w:p w:rsidR="00B96EA0" w:rsidRDefault="007D66B8" w:rsidP="005142EB">
      <w:pPr>
        <w:tabs>
          <w:tab w:val="left" w:pos="1418"/>
        </w:tabs>
        <w:spacing w:line="400" w:lineRule="exact"/>
        <w:ind w:left="849" w:hanging="283"/>
        <w:rPr>
          <w:rFonts w:ascii="標楷體" w:eastAsia="標楷體" w:hAnsi="標楷體"/>
          <w:color w:val="000000"/>
        </w:rPr>
      </w:pPr>
      <w:r>
        <w:rPr>
          <w:rFonts w:ascii="標楷體" w:eastAsia="標楷體" w:hAnsi="標楷體"/>
          <w:color w:val="000000"/>
        </w:rPr>
        <w:t>2.需經事前審查核准後使用，每次申請療程以三個月為限，如發現病情惡化應停止使用。再申請應檢附前次治療結果評估資料。</w:t>
      </w:r>
    </w:p>
    <w:p w:rsidR="00B96EA0" w:rsidRDefault="007D66B8" w:rsidP="005142EB">
      <w:pPr>
        <w:tabs>
          <w:tab w:val="left" w:pos="1418"/>
        </w:tabs>
        <w:spacing w:line="400" w:lineRule="exact"/>
        <w:ind w:left="849" w:hanging="283"/>
        <w:rPr>
          <w:rFonts w:ascii="標楷體" w:eastAsia="標楷體" w:hAnsi="標楷體"/>
          <w:color w:val="000000"/>
        </w:rPr>
      </w:pPr>
      <w:r>
        <w:rPr>
          <w:rFonts w:ascii="標楷體" w:eastAsia="標楷體" w:hAnsi="標楷體"/>
          <w:color w:val="000000"/>
        </w:rPr>
        <w:t>3.本品與dabrafenib (併用trametinib) 僅能擇一使用，除因耐受性不良，不得互換。(110/3/1）</w:t>
      </w:r>
    </w:p>
    <w:p w:rsidR="00B96EA0" w:rsidRDefault="007D66B8" w:rsidP="005142EB">
      <w:pPr>
        <w:spacing w:line="400" w:lineRule="exact"/>
        <w:ind w:left="283"/>
        <w:rPr>
          <w:rFonts w:ascii="標楷體" w:eastAsia="標楷體" w:hAnsi="標楷體"/>
          <w:color w:val="000000"/>
        </w:rPr>
      </w:pPr>
      <w:bookmarkStart w:id="11" w:name="_Hlk70328576"/>
      <w:r>
        <w:rPr>
          <w:rFonts w:ascii="標楷體" w:eastAsia="標楷體" w:hAnsi="標楷體"/>
          <w:color w:val="000000"/>
        </w:rPr>
        <w:t>9.53.Panitumumab（如Vectibix）：(105/4/1、107/6/1、110/6/1、113/6/1)</w:t>
      </w:r>
    </w:p>
    <w:p w:rsidR="00B96EA0" w:rsidRDefault="007D66B8" w:rsidP="005142EB">
      <w:pPr>
        <w:tabs>
          <w:tab w:val="left" w:pos="1418"/>
        </w:tabs>
        <w:spacing w:line="400" w:lineRule="exact"/>
        <w:ind w:left="849" w:hanging="283"/>
        <w:rPr>
          <w:rFonts w:ascii="標楷體" w:eastAsia="標楷體" w:hAnsi="標楷體"/>
          <w:color w:val="000000"/>
        </w:rPr>
      </w:pPr>
      <w:r>
        <w:rPr>
          <w:rFonts w:ascii="標楷體" w:eastAsia="標楷體" w:hAnsi="標楷體"/>
          <w:color w:val="000000"/>
        </w:rPr>
        <w:lastRenderedPageBreak/>
        <w:t>1.與FOLFOX（folinicacid/ 5-fluorouracil/oxaliplatin）或FOLFIRI（folinic acid/ 5-fluorouracil/irinotecan）合併使用於治療K-RAS基因及N-RAS基因沒有突變之轉移性直腸結腸癌病患之第一線治療。需檢附All-RAS基因突變分析檢測報告，且需符合全民健康保險藥品給付規定之通則十二。(98/8/1、110/6/1、113/6/1)</w:t>
      </w:r>
    </w:p>
    <w:p w:rsidR="00B96EA0" w:rsidRDefault="007D66B8" w:rsidP="005142EB">
      <w:pPr>
        <w:tabs>
          <w:tab w:val="left" w:pos="1418"/>
        </w:tabs>
        <w:spacing w:line="400" w:lineRule="exact"/>
        <w:ind w:left="849" w:hanging="283"/>
        <w:rPr>
          <w:rFonts w:ascii="標楷體" w:eastAsia="標楷體" w:hAnsi="標楷體"/>
          <w:color w:val="000000"/>
        </w:rPr>
      </w:pPr>
      <w:r>
        <w:rPr>
          <w:rFonts w:ascii="標楷體" w:eastAsia="標楷體" w:hAnsi="標楷體"/>
          <w:color w:val="000000"/>
        </w:rPr>
        <w:t>2.本藥品需經事前審查核准後使用，每次申請事前審查之療程以18週為限，再次申請必須提出客觀證據(如：影像學)證實無惡化，才可繼續使用。</w:t>
      </w:r>
    </w:p>
    <w:p w:rsidR="00B96EA0" w:rsidRDefault="007D66B8" w:rsidP="005142EB">
      <w:pPr>
        <w:tabs>
          <w:tab w:val="left" w:pos="1418"/>
        </w:tabs>
        <w:spacing w:line="400" w:lineRule="exact"/>
        <w:ind w:left="849" w:hanging="283"/>
        <w:rPr>
          <w:rFonts w:ascii="標楷體" w:eastAsia="標楷體" w:hAnsi="標楷體"/>
          <w:color w:val="000000"/>
        </w:rPr>
      </w:pPr>
      <w:r>
        <w:rPr>
          <w:rFonts w:ascii="標楷體" w:eastAsia="標楷體" w:hAnsi="標楷體"/>
          <w:color w:val="000000"/>
        </w:rPr>
        <w:t>3.Panitumumab與cetuximab二者僅能擇一使用，唯有在無法忍受化療(其副作用)時方可互換。二者使用總療程合併計算，以全部36週為上限。(107/6/1)</w:t>
      </w:r>
    </w:p>
    <w:p w:rsidR="00B96EA0" w:rsidRDefault="007D66B8" w:rsidP="005142EB">
      <w:pPr>
        <w:tabs>
          <w:tab w:val="left" w:pos="1418"/>
        </w:tabs>
        <w:spacing w:line="400" w:lineRule="exact"/>
        <w:ind w:left="849" w:hanging="283"/>
        <w:rPr>
          <w:rFonts w:ascii="標楷體" w:eastAsia="標楷體" w:hAnsi="標楷體"/>
          <w:color w:val="000000"/>
        </w:rPr>
      </w:pPr>
      <w:r>
        <w:rPr>
          <w:rFonts w:ascii="標楷體" w:eastAsia="標楷體" w:hAnsi="標楷體"/>
          <w:color w:val="000000"/>
        </w:rPr>
        <w:t>4.本藥品不得與bevacizumab併用。(107/6/1)</w:t>
      </w:r>
      <w:bookmarkEnd w:id="11"/>
    </w:p>
    <w:p w:rsidR="002203D3" w:rsidRDefault="002203D3" w:rsidP="002203D3">
      <w:pPr>
        <w:tabs>
          <w:tab w:val="left" w:pos="1418"/>
        </w:tabs>
        <w:snapToGrid w:val="0"/>
        <w:spacing w:line="400" w:lineRule="exact"/>
        <w:ind w:left="763" w:hanging="480"/>
      </w:pPr>
      <w:bookmarkStart w:id="12" w:name="_Hlk209192279"/>
      <w:r>
        <w:rPr>
          <w:rFonts w:ascii="標楷體" w:eastAsia="標楷體" w:hAnsi="標楷體"/>
          <w:color w:val="000000"/>
          <w:szCs w:val="24"/>
        </w:rPr>
        <w:t>9.54.</w:t>
      </w:r>
      <w:r>
        <w:t xml:space="preserve"> </w:t>
      </w:r>
      <w:r>
        <w:rPr>
          <w:rFonts w:ascii="標楷體" w:eastAsia="標楷體" w:hAnsi="標楷體"/>
          <w:color w:val="000000"/>
          <w:szCs w:val="24"/>
        </w:rPr>
        <w:t>Enzalutamide（如Xtandi）：（105/9/1、106/9/1、108/3/1、109/10/1、110/3/1、110/11/1、111/3/1、112/9/1、113/8/1、114/6/1</w:t>
      </w:r>
      <w:r>
        <w:rPr>
          <w:rFonts w:ascii="標楷體" w:eastAsia="標楷體" w:hAnsi="標楷體" w:hint="eastAsia"/>
          <w:color w:val="000000"/>
          <w:szCs w:val="24"/>
        </w:rPr>
        <w:t>、</w:t>
      </w:r>
      <w:r w:rsidRPr="007F3316">
        <w:rPr>
          <w:rFonts w:ascii="標楷體" w:eastAsia="標楷體" w:hAnsi="標楷體" w:hint="eastAsia"/>
          <w:color w:val="000000"/>
          <w:szCs w:val="24"/>
        </w:rPr>
        <w:t>114/10/1</w:t>
      </w:r>
      <w:r>
        <w:rPr>
          <w:rFonts w:ascii="標楷體" w:eastAsia="標楷體" w:hAnsi="標楷體"/>
          <w:color w:val="000000"/>
          <w:szCs w:val="24"/>
        </w:rPr>
        <w:t>）</w:t>
      </w:r>
    </w:p>
    <w:p w:rsidR="002203D3" w:rsidRDefault="002203D3" w:rsidP="002203D3">
      <w:pPr>
        <w:snapToGrid w:val="0"/>
        <w:spacing w:line="400" w:lineRule="exact"/>
        <w:ind w:left="851" w:hanging="278"/>
        <w:rPr>
          <w:rFonts w:ascii="標楷體" w:eastAsia="標楷體" w:hAnsi="標楷體"/>
          <w:color w:val="000000"/>
          <w:szCs w:val="24"/>
        </w:rPr>
      </w:pPr>
      <w:r>
        <w:rPr>
          <w:rFonts w:ascii="標楷體" w:eastAsia="標楷體" w:hAnsi="標楷體"/>
          <w:color w:val="000000"/>
          <w:szCs w:val="24"/>
        </w:rPr>
        <w:t>1.治療高風險非轉移性去勢抗性前列腺癌(high risk nmCRPC)的成年男性。(112/9/1)</w:t>
      </w:r>
    </w:p>
    <w:p w:rsidR="002203D3" w:rsidRDefault="002203D3" w:rsidP="002203D3">
      <w:pPr>
        <w:snapToGrid w:val="0"/>
        <w:spacing w:line="400" w:lineRule="exact"/>
        <w:ind w:left="851"/>
        <w:rPr>
          <w:rFonts w:ascii="標楷體" w:eastAsia="標楷體" w:hAnsi="標楷體"/>
          <w:color w:val="000000"/>
          <w:szCs w:val="24"/>
        </w:rPr>
      </w:pPr>
      <w:r>
        <w:rPr>
          <w:rFonts w:ascii="標楷體" w:eastAsia="標楷體" w:hAnsi="標楷體"/>
          <w:color w:val="000000"/>
          <w:szCs w:val="24"/>
        </w:rPr>
        <w:t>(1)須經事前審查核准後使用。</w:t>
      </w:r>
    </w:p>
    <w:p w:rsidR="002203D3" w:rsidRDefault="002203D3" w:rsidP="002203D3">
      <w:pPr>
        <w:snapToGrid w:val="0"/>
        <w:spacing w:line="400" w:lineRule="exact"/>
        <w:ind w:left="1320" w:hanging="480"/>
        <w:rPr>
          <w:rFonts w:ascii="標楷體" w:eastAsia="標楷體" w:hAnsi="標楷體"/>
          <w:color w:val="000000"/>
          <w:szCs w:val="24"/>
        </w:rPr>
      </w:pPr>
      <w:r>
        <w:rPr>
          <w:rFonts w:ascii="標楷體" w:eastAsia="標楷體" w:hAnsi="標楷體"/>
          <w:color w:val="000000"/>
          <w:szCs w:val="24"/>
        </w:rPr>
        <w:t>(2)初次申請時需檢附病理報告、使用雄性素去除療法紀錄，系列PSA和睪固酮數據，三個月內影像報告證明無遠端轉移。</w:t>
      </w:r>
    </w:p>
    <w:p w:rsidR="002203D3" w:rsidRDefault="002203D3" w:rsidP="002203D3">
      <w:pPr>
        <w:snapToGrid w:val="0"/>
        <w:spacing w:line="400" w:lineRule="exact"/>
        <w:ind w:left="851"/>
        <w:rPr>
          <w:rFonts w:ascii="標楷體" w:eastAsia="標楷體" w:hAnsi="標楷體"/>
          <w:color w:val="000000"/>
          <w:szCs w:val="24"/>
        </w:rPr>
      </w:pPr>
      <w:r>
        <w:rPr>
          <w:rFonts w:ascii="標楷體" w:eastAsia="標楷體" w:hAnsi="標楷體"/>
          <w:color w:val="000000"/>
          <w:szCs w:val="24"/>
        </w:rPr>
        <w:t>(3)ECOG分數須≦1。</w:t>
      </w:r>
    </w:p>
    <w:p w:rsidR="002203D3" w:rsidRDefault="002203D3" w:rsidP="002203D3">
      <w:pPr>
        <w:snapToGrid w:val="0"/>
        <w:spacing w:line="400" w:lineRule="exact"/>
        <w:ind w:left="1200" w:hanging="360"/>
        <w:rPr>
          <w:rFonts w:ascii="標楷體" w:eastAsia="標楷體" w:hAnsi="標楷體"/>
          <w:color w:val="000000"/>
          <w:szCs w:val="24"/>
        </w:rPr>
      </w:pPr>
      <w:r>
        <w:rPr>
          <w:rFonts w:ascii="標楷體" w:eastAsia="標楷體" w:hAnsi="標楷體"/>
          <w:color w:val="000000"/>
          <w:szCs w:val="24"/>
        </w:rPr>
        <w:t>(4)PSA doubling time≦10個月，PSA倍增之時間，應依線性回歸模型計算，且其參數取得需基於下列原則：</w:t>
      </w:r>
    </w:p>
    <w:p w:rsidR="002203D3" w:rsidRDefault="002203D3" w:rsidP="002203D3">
      <w:pPr>
        <w:tabs>
          <w:tab w:val="left" w:pos="1701"/>
        </w:tabs>
        <w:snapToGrid w:val="0"/>
        <w:spacing w:line="400" w:lineRule="exact"/>
        <w:ind w:left="1560" w:hanging="280"/>
        <w:rPr>
          <w:rFonts w:ascii="標楷體" w:eastAsia="標楷體" w:hAnsi="標楷體"/>
          <w:color w:val="000000"/>
          <w:szCs w:val="24"/>
        </w:rPr>
      </w:pPr>
      <w:r>
        <w:rPr>
          <w:rFonts w:ascii="標楷體" w:eastAsia="標楷體" w:hAnsi="標楷體"/>
          <w:color w:val="000000"/>
          <w:szCs w:val="24"/>
        </w:rPr>
        <w:t>Ⅰ.至少三個連續PSA測量值，且各測量值皆≧0.2 ng/mL（最高的PSA值必須&gt;1.0ng/ml）。</w:t>
      </w:r>
    </w:p>
    <w:p w:rsidR="002203D3" w:rsidRDefault="002203D3" w:rsidP="002203D3">
      <w:pPr>
        <w:tabs>
          <w:tab w:val="left" w:pos="1701"/>
        </w:tabs>
        <w:snapToGrid w:val="0"/>
        <w:spacing w:line="400" w:lineRule="exact"/>
        <w:ind w:left="1560" w:hanging="280"/>
        <w:rPr>
          <w:rFonts w:ascii="標楷體" w:eastAsia="標楷體" w:hAnsi="標楷體"/>
          <w:color w:val="000000"/>
          <w:szCs w:val="24"/>
        </w:rPr>
      </w:pPr>
      <w:r>
        <w:rPr>
          <w:rFonts w:ascii="標楷體" w:eastAsia="標楷體" w:hAnsi="標楷體"/>
          <w:color w:val="000000"/>
          <w:szCs w:val="24"/>
        </w:rPr>
        <w:t>Ⅱ.應包含先前ADT治療期間的測量值，且最少一測量值為最近3個月內測得之PSA數值。</w:t>
      </w:r>
    </w:p>
    <w:p w:rsidR="002203D3" w:rsidRDefault="002203D3" w:rsidP="002203D3">
      <w:pPr>
        <w:tabs>
          <w:tab w:val="left" w:pos="1701"/>
        </w:tabs>
        <w:snapToGrid w:val="0"/>
        <w:spacing w:line="400" w:lineRule="exact"/>
        <w:ind w:left="1560" w:hanging="280"/>
        <w:rPr>
          <w:rFonts w:ascii="標楷體" w:eastAsia="標楷體" w:hAnsi="標楷體"/>
          <w:color w:val="000000"/>
          <w:szCs w:val="24"/>
        </w:rPr>
      </w:pPr>
      <w:r>
        <w:rPr>
          <w:rFonts w:ascii="標楷體" w:eastAsia="標楷體" w:hAnsi="標楷體"/>
          <w:color w:val="000000"/>
          <w:szCs w:val="24"/>
        </w:rPr>
        <w:t>Ⅲ.第一個和最後一個PSA測量值間隔需≧8週，但≦12個月。</w:t>
      </w:r>
    </w:p>
    <w:p w:rsidR="002203D3" w:rsidRDefault="002203D3" w:rsidP="002203D3">
      <w:pPr>
        <w:snapToGrid w:val="0"/>
        <w:spacing w:line="400" w:lineRule="exact"/>
        <w:ind w:left="1200" w:hanging="360"/>
        <w:rPr>
          <w:rFonts w:ascii="標楷體" w:eastAsia="標楷體" w:hAnsi="標楷體"/>
          <w:color w:val="000000"/>
          <w:szCs w:val="24"/>
        </w:rPr>
      </w:pPr>
      <w:r>
        <w:rPr>
          <w:rFonts w:ascii="標楷體" w:eastAsia="標楷體" w:hAnsi="標楷體"/>
          <w:color w:val="000000"/>
          <w:szCs w:val="24"/>
        </w:rPr>
        <w:t>(5)每3個月需再次申請，申請之療程以3個月為限。再次申請時，有 PSA progression 者，需檢附影像學報告，若影像學報告證實轉移，則需停藥;無PSA progression 者，則每6個月需檢附影像學報告，若影像學報告證實轉移，則需停藥。</w:t>
      </w:r>
    </w:p>
    <w:p w:rsidR="002203D3" w:rsidRDefault="002203D3" w:rsidP="002203D3">
      <w:pPr>
        <w:tabs>
          <w:tab w:val="left" w:leader="underscore" w:pos="567"/>
        </w:tabs>
        <w:snapToGrid w:val="0"/>
        <w:spacing w:line="400" w:lineRule="exact"/>
        <w:ind w:left="960"/>
        <w:rPr>
          <w:rFonts w:ascii="標楷體" w:eastAsia="標楷體" w:hAnsi="標楷體"/>
          <w:szCs w:val="24"/>
        </w:rPr>
      </w:pPr>
      <w:r>
        <w:rPr>
          <w:rFonts w:ascii="標楷體" w:eastAsia="標楷體" w:hAnsi="標楷體"/>
          <w:szCs w:val="24"/>
        </w:rPr>
        <w:t>註：</w:t>
      </w:r>
    </w:p>
    <w:p w:rsidR="002203D3" w:rsidRDefault="002203D3" w:rsidP="002203D3">
      <w:pPr>
        <w:tabs>
          <w:tab w:val="left" w:leader="underscore" w:pos="567"/>
        </w:tabs>
        <w:snapToGrid w:val="0"/>
        <w:spacing w:line="400" w:lineRule="exact"/>
        <w:ind w:left="960"/>
        <w:rPr>
          <w:rFonts w:ascii="標楷體" w:eastAsia="標楷體" w:hAnsi="標楷體"/>
          <w:szCs w:val="24"/>
        </w:rPr>
      </w:pPr>
      <w:r>
        <w:rPr>
          <w:rFonts w:ascii="標楷體" w:eastAsia="標楷體" w:hAnsi="標楷體"/>
          <w:szCs w:val="24"/>
        </w:rPr>
        <w:t>PSA progression 定義為:PSA下降達最低值(nadir)後，出現 PSA 值上升較 nadir≧25%，且PSA≧2 ng/mL，並於至少3週後，再次抽血確認PSA值有上升趨勢。</w:t>
      </w:r>
    </w:p>
    <w:p w:rsidR="002203D3" w:rsidRDefault="002203D3" w:rsidP="002203D3">
      <w:pPr>
        <w:tabs>
          <w:tab w:val="left" w:pos="851"/>
        </w:tabs>
        <w:snapToGrid w:val="0"/>
        <w:spacing w:line="400" w:lineRule="exact"/>
        <w:ind w:left="846" w:hanging="280"/>
      </w:pPr>
      <w:r>
        <w:rPr>
          <w:rFonts w:ascii="標楷體" w:eastAsia="標楷體" w:hAnsi="標楷體"/>
          <w:color w:val="000000"/>
          <w:szCs w:val="24"/>
        </w:rPr>
        <w:t>2.治療高風險轉移性的去勢敏感性前列腺癌(mCSPC)，且與雄性素去除療法併用，總療程以36個月為上限。高</w:t>
      </w:r>
      <w:r>
        <w:rPr>
          <w:rFonts w:ascii="標楷體" w:eastAsia="標楷體" w:hAnsi="標楷體"/>
          <w:szCs w:val="24"/>
        </w:rPr>
        <w:t>風險需符合下列三項條件中至少兩項：（111/3/1、113/8/1</w:t>
      </w:r>
      <w:r>
        <w:rPr>
          <w:rFonts w:ascii="標楷體" w:eastAsia="標楷體" w:hAnsi="標楷體" w:hint="eastAsia"/>
          <w:color w:val="000000"/>
          <w:szCs w:val="24"/>
        </w:rPr>
        <w:t>、</w:t>
      </w:r>
      <w:r w:rsidRPr="007F3316">
        <w:rPr>
          <w:rFonts w:ascii="標楷體" w:eastAsia="標楷體" w:hAnsi="標楷體" w:hint="eastAsia"/>
          <w:color w:val="000000"/>
          <w:szCs w:val="24"/>
        </w:rPr>
        <w:t>114/10/1</w:t>
      </w:r>
      <w:r>
        <w:rPr>
          <w:rFonts w:ascii="標楷體" w:eastAsia="標楷體" w:hAnsi="標楷體"/>
          <w:szCs w:val="24"/>
        </w:rPr>
        <w:t>）</w:t>
      </w:r>
    </w:p>
    <w:p w:rsidR="002203D3" w:rsidRDefault="002203D3" w:rsidP="002203D3">
      <w:pPr>
        <w:tabs>
          <w:tab w:val="left" w:pos="567"/>
        </w:tabs>
        <w:snapToGrid w:val="0"/>
        <w:spacing w:line="400" w:lineRule="exact"/>
        <w:ind w:left="1274" w:hanging="420"/>
      </w:pPr>
      <w:r>
        <w:rPr>
          <w:rFonts w:ascii="標楷體" w:eastAsia="標楷體" w:hAnsi="標楷體"/>
          <w:szCs w:val="24"/>
        </w:rPr>
        <w:t>(1)葛里森分數(Gleason score)</w:t>
      </w:r>
      <w:r>
        <w:rPr>
          <w:rFonts w:ascii="標楷體" w:eastAsia="標楷體" w:hAnsi="標楷體" w:cs="新細明體"/>
          <w:szCs w:val="24"/>
        </w:rPr>
        <w:t>≧</w:t>
      </w:r>
      <w:r>
        <w:rPr>
          <w:rFonts w:ascii="標楷體" w:eastAsia="標楷體" w:hAnsi="標楷體"/>
          <w:szCs w:val="24"/>
        </w:rPr>
        <w:t>8。</w:t>
      </w:r>
    </w:p>
    <w:p w:rsidR="002203D3" w:rsidRDefault="002203D3" w:rsidP="002203D3">
      <w:pPr>
        <w:tabs>
          <w:tab w:val="left" w:pos="567"/>
        </w:tabs>
        <w:snapToGrid w:val="0"/>
        <w:spacing w:line="400" w:lineRule="exact"/>
        <w:ind w:left="1274" w:hanging="420"/>
      </w:pPr>
      <w:r>
        <w:rPr>
          <w:rFonts w:ascii="標楷體" w:eastAsia="標楷體" w:hAnsi="標楷體"/>
          <w:szCs w:val="24"/>
        </w:rPr>
        <w:lastRenderedPageBreak/>
        <w:t>(2)骨骼掃描出現三個(含)以上病灶且至少其中一處以上為非脊柱及非骨盆腔轉移。（111/3/1、113/8/1）</w:t>
      </w:r>
    </w:p>
    <w:p w:rsidR="002203D3" w:rsidRDefault="002203D3" w:rsidP="002203D3">
      <w:pPr>
        <w:tabs>
          <w:tab w:val="left" w:pos="567"/>
        </w:tabs>
        <w:snapToGrid w:val="0"/>
        <w:spacing w:line="400" w:lineRule="exact"/>
        <w:ind w:left="1274" w:hanging="420"/>
      </w:pPr>
      <w:r>
        <w:rPr>
          <w:rFonts w:ascii="標楷體" w:eastAsia="標楷體" w:hAnsi="標楷體"/>
          <w:color w:val="000000"/>
          <w:szCs w:val="24"/>
        </w:rPr>
        <w:t>(3)出現內臟轉移。</w:t>
      </w:r>
    </w:p>
    <w:p w:rsidR="002203D3" w:rsidRDefault="002203D3" w:rsidP="002203D3">
      <w:pPr>
        <w:tabs>
          <w:tab w:val="left" w:pos="851"/>
        </w:tabs>
        <w:snapToGrid w:val="0"/>
        <w:spacing w:line="400" w:lineRule="exact"/>
        <w:ind w:left="846" w:hanging="280"/>
      </w:pPr>
      <w:r>
        <w:rPr>
          <w:rFonts w:ascii="標楷體" w:eastAsia="標楷體" w:hAnsi="標楷體"/>
          <w:color w:val="000000"/>
          <w:szCs w:val="24"/>
        </w:rPr>
        <w:t>3.治療藥物或手術去勢抗性的轉移性前列腺癌(mCRPC)，且在雄性素去除療法失敗後屬無症狀或輕度症狀(ECOG分數0或1)，未曾接受化學治療者：(106/9/1)</w:t>
      </w:r>
    </w:p>
    <w:p w:rsidR="002203D3" w:rsidRDefault="002203D3" w:rsidP="002203D3">
      <w:pPr>
        <w:tabs>
          <w:tab w:val="left" w:pos="567"/>
        </w:tabs>
        <w:snapToGrid w:val="0"/>
        <w:spacing w:line="400" w:lineRule="exact"/>
        <w:ind w:left="1274" w:hanging="420"/>
      </w:pPr>
      <w:r>
        <w:rPr>
          <w:rFonts w:ascii="標楷體" w:eastAsia="標楷體" w:hAnsi="標楷體"/>
          <w:color w:val="000000"/>
          <w:szCs w:val="24"/>
        </w:rPr>
        <w:t>(1)若病患先前接受雄性素去除療法時，在小於12個月的時間內演化成去勢抗性前列腺癌(CRPC)，且葛里森分數(Gleason score)</w:t>
      </w:r>
      <w:r>
        <w:rPr>
          <w:rFonts w:ascii="標楷體" w:eastAsia="標楷體" w:hAnsi="標楷體" w:cs="新細明體"/>
          <w:color w:val="000000"/>
          <w:szCs w:val="24"/>
        </w:rPr>
        <w:t>≧</w:t>
      </w:r>
      <w:r>
        <w:rPr>
          <w:rFonts w:ascii="標楷體" w:eastAsia="標楷體" w:hAnsi="標楷體"/>
          <w:color w:val="000000"/>
          <w:szCs w:val="24"/>
        </w:rPr>
        <w:t>8時，不得於使用化學治療前使用enzalutamide。(106/9/1)</w:t>
      </w:r>
    </w:p>
    <w:p w:rsidR="002203D3" w:rsidRDefault="002203D3" w:rsidP="002203D3">
      <w:pPr>
        <w:tabs>
          <w:tab w:val="left" w:pos="567"/>
        </w:tabs>
        <w:snapToGrid w:val="0"/>
        <w:spacing w:line="400" w:lineRule="exact"/>
        <w:ind w:left="1274" w:hanging="420"/>
        <w:rPr>
          <w:rFonts w:ascii="標楷體" w:eastAsia="標楷體" w:hAnsi="標楷體"/>
          <w:color w:val="000000"/>
          <w:szCs w:val="24"/>
        </w:rPr>
      </w:pPr>
      <w:r>
        <w:rPr>
          <w:rFonts w:ascii="標楷體" w:eastAsia="標楷體" w:hAnsi="標楷體"/>
          <w:color w:val="000000"/>
          <w:szCs w:val="24"/>
        </w:rPr>
        <w:t>(2)申請時需另檢附：(106/9/1)</w:t>
      </w:r>
    </w:p>
    <w:p w:rsidR="002203D3" w:rsidRDefault="002203D3" w:rsidP="002203D3">
      <w:pPr>
        <w:tabs>
          <w:tab w:val="left" w:pos="567"/>
        </w:tabs>
        <w:snapToGrid w:val="0"/>
        <w:spacing w:line="400" w:lineRule="exact"/>
        <w:ind w:left="1559" w:hanging="280"/>
        <w:rPr>
          <w:rFonts w:ascii="標楷體" w:eastAsia="標楷體" w:hAnsi="標楷體"/>
          <w:color w:val="000000"/>
          <w:szCs w:val="24"/>
        </w:rPr>
      </w:pPr>
      <w:r>
        <w:rPr>
          <w:rFonts w:ascii="標楷體" w:eastAsia="標楷體" w:hAnsi="標楷體"/>
          <w:color w:val="000000"/>
          <w:szCs w:val="24"/>
        </w:rPr>
        <w:t>I.用藥紀錄(證明未常規使用止痛藥物，屬無症狀或輕度症狀)。</w:t>
      </w:r>
    </w:p>
    <w:p w:rsidR="002203D3" w:rsidRDefault="002203D3" w:rsidP="002203D3">
      <w:pPr>
        <w:tabs>
          <w:tab w:val="left" w:pos="567"/>
        </w:tabs>
        <w:snapToGrid w:val="0"/>
        <w:spacing w:line="400" w:lineRule="exact"/>
        <w:ind w:left="1559" w:hanging="280"/>
        <w:rPr>
          <w:rFonts w:ascii="標楷體" w:eastAsia="標楷體" w:hAnsi="標楷體"/>
          <w:color w:val="000000"/>
          <w:szCs w:val="24"/>
        </w:rPr>
      </w:pPr>
      <w:r>
        <w:rPr>
          <w:rFonts w:ascii="標楷體" w:eastAsia="標楷體" w:hAnsi="標楷體"/>
          <w:color w:val="000000"/>
          <w:szCs w:val="24"/>
        </w:rPr>
        <w:t>II.三個月內影像報告證明無臟器轉移。</w:t>
      </w:r>
    </w:p>
    <w:p w:rsidR="002203D3" w:rsidRDefault="002203D3" w:rsidP="002203D3">
      <w:pPr>
        <w:tabs>
          <w:tab w:val="left" w:pos="851"/>
        </w:tabs>
        <w:snapToGrid w:val="0"/>
        <w:spacing w:line="400" w:lineRule="exact"/>
        <w:ind w:left="846" w:hanging="280"/>
      </w:pPr>
      <w:r>
        <w:rPr>
          <w:rFonts w:ascii="標楷體" w:eastAsia="標楷體" w:hAnsi="標楷體"/>
          <w:color w:val="000000"/>
          <w:szCs w:val="24"/>
        </w:rPr>
        <w:t>4.治療藥物或手術去勢抗性的轉移性前列腺癌(ECOG分數須</w:t>
      </w:r>
      <w:r>
        <w:rPr>
          <w:rFonts w:ascii="標楷體" w:eastAsia="標楷體" w:hAnsi="標楷體" w:cs="新細明體"/>
          <w:color w:val="000000"/>
          <w:szCs w:val="24"/>
        </w:rPr>
        <w:t>≦</w:t>
      </w:r>
      <w:r>
        <w:rPr>
          <w:rFonts w:ascii="標楷體" w:eastAsia="標楷體" w:hAnsi="標楷體"/>
          <w:color w:val="000000"/>
          <w:szCs w:val="24"/>
        </w:rPr>
        <w:t>2)且已使用過docetaxel 2個療程以上治療無效者。</w:t>
      </w:r>
    </w:p>
    <w:p w:rsidR="002203D3" w:rsidRDefault="002203D3" w:rsidP="002203D3">
      <w:pPr>
        <w:tabs>
          <w:tab w:val="left" w:pos="851"/>
        </w:tabs>
        <w:snapToGrid w:val="0"/>
        <w:spacing w:line="400" w:lineRule="exact"/>
        <w:ind w:left="846" w:hanging="280"/>
      </w:pPr>
      <w:r>
        <w:rPr>
          <w:rFonts w:ascii="標楷體" w:eastAsia="標楷體" w:hAnsi="標楷體"/>
          <w:color w:val="000000"/>
          <w:szCs w:val="24"/>
        </w:rPr>
        <w:t>5.前述2、3</w:t>
      </w:r>
      <w:r>
        <w:rPr>
          <w:rFonts w:ascii="標楷體" w:eastAsia="標楷體" w:hAnsi="標楷體"/>
          <w:szCs w:val="24"/>
        </w:rPr>
        <w:t>、4</w:t>
      </w:r>
      <w:r>
        <w:rPr>
          <w:rFonts w:ascii="標楷體" w:eastAsia="標楷體" w:hAnsi="標楷體"/>
          <w:color w:val="000000"/>
          <w:szCs w:val="24"/>
        </w:rPr>
        <w:t>項須經事前審查核准後使用，每3個月需再次申請。（111/3/1、112/9/1）</w:t>
      </w:r>
    </w:p>
    <w:p w:rsidR="002203D3" w:rsidRDefault="002203D3" w:rsidP="002203D3">
      <w:pPr>
        <w:tabs>
          <w:tab w:val="left" w:pos="567"/>
        </w:tabs>
        <w:snapToGrid w:val="0"/>
        <w:spacing w:line="400" w:lineRule="exact"/>
        <w:ind w:left="1274" w:hanging="420"/>
        <w:rPr>
          <w:rFonts w:ascii="標楷體" w:eastAsia="標楷體" w:hAnsi="標楷體"/>
          <w:color w:val="000000"/>
          <w:szCs w:val="24"/>
        </w:rPr>
      </w:pPr>
      <w:r>
        <w:rPr>
          <w:rFonts w:ascii="標楷體" w:eastAsia="標楷體" w:hAnsi="標楷體"/>
          <w:color w:val="000000"/>
          <w:szCs w:val="24"/>
        </w:rPr>
        <w:t>(1)申請時需檢附病理報告、使用雄性素去除療法紀錄及系列PSA和睪固酮數據。(106/9/1)</w:t>
      </w:r>
    </w:p>
    <w:p w:rsidR="002203D3" w:rsidRDefault="002203D3" w:rsidP="002203D3">
      <w:pPr>
        <w:tabs>
          <w:tab w:val="left" w:pos="567"/>
        </w:tabs>
        <w:snapToGrid w:val="0"/>
        <w:spacing w:line="400" w:lineRule="exact"/>
        <w:ind w:left="1274" w:hanging="420"/>
        <w:rPr>
          <w:rFonts w:ascii="標楷體" w:eastAsia="標楷體" w:hAnsi="標楷體"/>
          <w:color w:val="000000"/>
          <w:szCs w:val="24"/>
        </w:rPr>
      </w:pPr>
      <w:r>
        <w:rPr>
          <w:rFonts w:ascii="標楷體" w:eastAsia="標楷體" w:hAnsi="標楷體"/>
          <w:color w:val="000000"/>
          <w:szCs w:val="24"/>
        </w:rPr>
        <w:t>(2)再申請時若PSA值下降未超過治療前的50%以上，則需停藥。(106/9/1、109/10/1)</w:t>
      </w:r>
    </w:p>
    <w:p w:rsidR="002203D3" w:rsidRDefault="002203D3" w:rsidP="002203D3">
      <w:pPr>
        <w:tabs>
          <w:tab w:val="left" w:pos="567"/>
        </w:tabs>
        <w:snapToGrid w:val="0"/>
        <w:spacing w:line="400" w:lineRule="exact"/>
        <w:ind w:left="1274" w:hanging="420"/>
      </w:pPr>
      <w:r>
        <w:rPr>
          <w:rFonts w:ascii="標楷體" w:eastAsia="標楷體" w:hAnsi="標楷體"/>
          <w:color w:val="000000"/>
          <w:szCs w:val="24"/>
        </w:rPr>
        <w:t>(3)下降達最低值後之持續追蹤出現PSA較最低值上升50%以上且PSA</w:t>
      </w:r>
      <w:r>
        <w:rPr>
          <w:rFonts w:ascii="標楷體" w:eastAsia="標楷體" w:hAnsi="標楷體" w:cs="新細明體"/>
          <w:color w:val="000000"/>
          <w:szCs w:val="24"/>
        </w:rPr>
        <w:t>≧</w:t>
      </w:r>
      <w:r>
        <w:rPr>
          <w:rFonts w:ascii="標楷體" w:eastAsia="標楷體" w:hAnsi="標楷體"/>
          <w:color w:val="000000"/>
          <w:szCs w:val="24"/>
        </w:rPr>
        <w:t>2ng/ml，則需停藥，但影像學證據尚無疾病進展者，可以繼續使用。(106/9/1、109/10/1)</w:t>
      </w:r>
    </w:p>
    <w:p w:rsidR="002203D3" w:rsidRDefault="002203D3" w:rsidP="002203D3">
      <w:pPr>
        <w:tabs>
          <w:tab w:val="left" w:pos="851"/>
        </w:tabs>
        <w:snapToGrid w:val="0"/>
        <w:spacing w:line="400" w:lineRule="exact"/>
        <w:ind w:left="846" w:hanging="280"/>
      </w:pPr>
      <w:r>
        <w:rPr>
          <w:rFonts w:ascii="標楷體" w:eastAsia="標楷體" w:hAnsi="標楷體"/>
          <w:color w:val="000000"/>
          <w:szCs w:val="24"/>
        </w:rPr>
        <w:t>6.去勢抗性前列腺癌(CRPC)病患若於化學治療前先使用過enzalutamide，當化學治療失敗後不得再申請使用enzalutamide。(106/9/1)</w:t>
      </w:r>
    </w:p>
    <w:p w:rsidR="002203D3" w:rsidRDefault="002203D3" w:rsidP="002203D3">
      <w:pPr>
        <w:tabs>
          <w:tab w:val="left" w:pos="851"/>
        </w:tabs>
        <w:snapToGrid w:val="0"/>
        <w:spacing w:line="400" w:lineRule="exact"/>
        <w:ind w:left="846" w:hanging="280"/>
      </w:pPr>
      <w:r>
        <w:rPr>
          <w:rFonts w:ascii="標楷體" w:eastAsia="標楷體" w:hAnsi="標楷體"/>
          <w:color w:val="000000"/>
          <w:szCs w:val="24"/>
        </w:rPr>
        <w:t>7.不論病人處於轉移或非轉移的狀態下，新型荷爾蒙藥品(abiraterone、apalutamide、darolutamide和enzalutamide) 及olaparib 與 abiraterone併用，終生僅給付一種治療，且除非出現嚴重不耐受反應導致必須永久停止治療，不得互換。(112/9/1、114/6/1)</w:t>
      </w:r>
    </w:p>
    <w:p w:rsidR="00B96EA0" w:rsidRDefault="002203D3" w:rsidP="002203D3">
      <w:pPr>
        <w:tabs>
          <w:tab w:val="left" w:pos="851"/>
        </w:tabs>
        <w:snapToGrid w:val="0"/>
        <w:spacing w:line="400" w:lineRule="exact"/>
        <w:ind w:left="846" w:hanging="280"/>
      </w:pPr>
      <w:r>
        <w:rPr>
          <w:rFonts w:ascii="標楷體" w:eastAsia="標楷體" w:hAnsi="標楷體"/>
          <w:color w:val="000000"/>
          <w:szCs w:val="24"/>
        </w:rPr>
        <w:t>8.本品與radium-223 dichloride不得合併使用。(108/3/1)</w:t>
      </w:r>
      <w:bookmarkEnd w:id="12"/>
    </w:p>
    <w:p w:rsidR="0007073E" w:rsidRPr="001A2DB7" w:rsidRDefault="0007073E" w:rsidP="0007073E">
      <w:pPr>
        <w:autoSpaceDE w:val="0"/>
        <w:adjustRightInd w:val="0"/>
        <w:spacing w:line="400" w:lineRule="exact"/>
        <w:ind w:left="554" w:hangingChars="231" w:hanging="554"/>
        <w:rPr>
          <w:rFonts w:ascii="標楷體" w:eastAsia="標楷體" w:hAnsi="標楷體"/>
          <w:szCs w:val="24"/>
          <w:u w:val="single"/>
        </w:rPr>
      </w:pPr>
      <w:bookmarkStart w:id="13" w:name="_Hlk209192352"/>
      <w:r w:rsidRPr="001A2DB7">
        <w:rPr>
          <w:rFonts w:ascii="標楷體" w:eastAsia="標楷體" w:hAnsi="標楷體"/>
          <w:color w:val="000000"/>
          <w:kern w:val="0"/>
          <w:szCs w:val="24"/>
        </w:rPr>
        <w:t>9.55.Ruxolitinib(</w:t>
      </w:r>
      <w:r w:rsidRPr="001A2DB7">
        <w:rPr>
          <w:rFonts w:ascii="標楷體" w:eastAsia="標楷體" w:hAnsi="標楷體" w:hint="eastAsia"/>
          <w:color w:val="000000"/>
          <w:kern w:val="0"/>
          <w:szCs w:val="24"/>
        </w:rPr>
        <w:t>如</w:t>
      </w:r>
      <w:r w:rsidRPr="001A2DB7">
        <w:rPr>
          <w:rFonts w:ascii="標楷體" w:eastAsia="標楷體" w:hAnsi="標楷體"/>
          <w:color w:val="000000"/>
          <w:kern w:val="0"/>
          <w:szCs w:val="24"/>
        </w:rPr>
        <w:t>Jakavi)</w:t>
      </w:r>
      <w:r w:rsidRPr="001A2DB7">
        <w:rPr>
          <w:rFonts w:ascii="標楷體" w:eastAsia="標楷體" w:hAnsi="標楷體" w:hint="eastAsia"/>
          <w:kern w:val="0"/>
          <w:szCs w:val="24"/>
        </w:rPr>
        <w:t>：</w:t>
      </w:r>
      <w:r w:rsidRPr="001A2DB7">
        <w:rPr>
          <w:rFonts w:ascii="標楷體" w:eastAsia="標楷體" w:hAnsi="標楷體"/>
          <w:kern w:val="0"/>
          <w:szCs w:val="24"/>
        </w:rPr>
        <w:t>(105/10/1</w:t>
      </w:r>
      <w:r w:rsidRPr="001A2DB7">
        <w:rPr>
          <w:rFonts w:ascii="標楷體" w:eastAsia="標楷體" w:hAnsi="標楷體" w:hint="eastAsia"/>
          <w:kern w:val="0"/>
          <w:szCs w:val="24"/>
        </w:rPr>
        <w:t>、</w:t>
      </w:r>
      <w:r w:rsidRPr="001A2DB7">
        <w:rPr>
          <w:rFonts w:ascii="標楷體" w:eastAsia="標楷體" w:hAnsi="標楷體"/>
          <w:kern w:val="0"/>
          <w:szCs w:val="24"/>
        </w:rPr>
        <w:t>113/3/1</w:t>
      </w:r>
      <w:r w:rsidRPr="001A2DB7">
        <w:rPr>
          <w:rFonts w:ascii="標楷體" w:eastAsia="標楷體" w:hAnsi="標楷體" w:hint="eastAsia"/>
          <w:kern w:val="0"/>
          <w:szCs w:val="24"/>
        </w:rPr>
        <w:t>、</w:t>
      </w:r>
      <w:r w:rsidRPr="001A2DB7">
        <w:rPr>
          <w:rFonts w:ascii="標楷體" w:eastAsia="標楷體" w:hAnsi="標楷體"/>
          <w:kern w:val="0"/>
          <w:szCs w:val="24"/>
        </w:rPr>
        <w:t>113/6/1</w:t>
      </w:r>
      <w:r w:rsidRPr="001A2DB7">
        <w:rPr>
          <w:rFonts w:ascii="標楷體" w:eastAsia="標楷體" w:hAnsi="標楷體" w:hint="eastAsia"/>
          <w:kern w:val="0"/>
          <w:szCs w:val="24"/>
        </w:rPr>
        <w:t>、</w:t>
      </w:r>
      <w:r w:rsidRPr="001A2DB7">
        <w:rPr>
          <w:rFonts w:ascii="標楷體" w:eastAsia="標楷體" w:hAnsi="標楷體"/>
          <w:kern w:val="0"/>
          <w:szCs w:val="24"/>
        </w:rPr>
        <w:t>114/1/1</w:t>
      </w:r>
      <w:r w:rsidRPr="00EB5347">
        <w:rPr>
          <w:rFonts w:ascii="標楷體" w:eastAsia="標楷體" w:hAnsi="標楷體" w:hint="eastAsia"/>
          <w:kern w:val="0"/>
          <w:szCs w:val="24"/>
        </w:rPr>
        <w:t>、114</w:t>
      </w:r>
      <w:r w:rsidRPr="00EB5347">
        <w:rPr>
          <w:rFonts w:ascii="標楷體" w:eastAsia="標楷體" w:hAnsi="標楷體"/>
          <w:szCs w:val="24"/>
        </w:rPr>
        <w:t>/</w:t>
      </w:r>
      <w:r w:rsidRPr="00EB5347">
        <w:rPr>
          <w:rFonts w:ascii="標楷體" w:eastAsia="標楷體" w:hAnsi="標楷體" w:hint="eastAsia"/>
          <w:szCs w:val="24"/>
        </w:rPr>
        <w:t>10</w:t>
      </w:r>
      <w:r w:rsidRPr="00EB5347">
        <w:rPr>
          <w:rFonts w:ascii="標楷體" w:eastAsia="標楷體" w:hAnsi="標楷體"/>
          <w:szCs w:val="24"/>
        </w:rPr>
        <w:t>/1</w:t>
      </w:r>
      <w:r w:rsidRPr="001A2DB7">
        <w:rPr>
          <w:rFonts w:ascii="標楷體" w:eastAsia="標楷體" w:hAnsi="標楷體"/>
          <w:kern w:val="0"/>
          <w:szCs w:val="24"/>
        </w:rPr>
        <w:t>)</w:t>
      </w:r>
    </w:p>
    <w:p w:rsidR="0007073E" w:rsidRPr="001A2DB7" w:rsidRDefault="0007073E" w:rsidP="0007073E">
      <w:pPr>
        <w:autoSpaceDE w:val="0"/>
        <w:adjustRightInd w:val="0"/>
        <w:spacing w:line="400" w:lineRule="exact"/>
        <w:ind w:leftChars="146" w:left="566" w:hangingChars="90" w:hanging="216"/>
        <w:rPr>
          <w:rFonts w:ascii="標楷體" w:eastAsia="標楷體" w:hAnsi="標楷體"/>
          <w:kern w:val="0"/>
          <w:szCs w:val="24"/>
        </w:rPr>
      </w:pPr>
      <w:r w:rsidRPr="001A2DB7">
        <w:rPr>
          <w:rFonts w:ascii="標楷體" w:eastAsia="標楷體" w:hAnsi="標楷體"/>
          <w:kern w:val="0"/>
          <w:szCs w:val="24"/>
        </w:rPr>
        <w:t>1.</w:t>
      </w:r>
      <w:r w:rsidRPr="001A2DB7">
        <w:rPr>
          <w:rFonts w:ascii="標楷體" w:eastAsia="標楷體" w:hAnsi="標楷體" w:hint="eastAsia"/>
          <w:kern w:val="0"/>
          <w:szCs w:val="24"/>
        </w:rPr>
        <w:t>用於治療</w:t>
      </w:r>
      <w:r w:rsidRPr="001A2DB7">
        <w:rPr>
          <w:rFonts w:ascii="標楷體" w:eastAsia="標楷體" w:hAnsi="標楷體"/>
          <w:kern w:val="0"/>
          <w:szCs w:val="24"/>
        </w:rPr>
        <w:t xml:space="preserve">International Working </w:t>
      </w:r>
      <w:r w:rsidRPr="001A2DB7">
        <w:rPr>
          <w:rFonts w:ascii="標楷體" w:eastAsia="標楷體" w:hAnsi="標楷體" w:hint="eastAsia"/>
          <w:kern w:val="0"/>
          <w:szCs w:val="24"/>
        </w:rPr>
        <w:t xml:space="preserve"> </w:t>
      </w:r>
      <w:r w:rsidRPr="001A2DB7">
        <w:rPr>
          <w:rFonts w:ascii="標楷體" w:eastAsia="標楷體" w:hAnsi="標楷體"/>
          <w:kern w:val="0"/>
          <w:szCs w:val="24"/>
        </w:rPr>
        <w:t>Group(IWG) Consensus Criteria</w:t>
      </w:r>
      <w:r w:rsidRPr="001A2DB7">
        <w:rPr>
          <w:rFonts w:ascii="標楷體" w:eastAsia="標楷體" w:hAnsi="標楷體" w:hint="eastAsia"/>
          <w:kern w:val="0"/>
          <w:szCs w:val="24"/>
        </w:rPr>
        <w:t>中度風險</w:t>
      </w:r>
      <w:r w:rsidRPr="001A2DB7">
        <w:rPr>
          <w:rFonts w:ascii="標楷體" w:eastAsia="標楷體" w:hAnsi="標楷體"/>
          <w:kern w:val="0"/>
          <w:szCs w:val="24"/>
        </w:rPr>
        <w:t>-2</w:t>
      </w:r>
      <w:r w:rsidRPr="001A2DB7">
        <w:rPr>
          <w:rFonts w:ascii="標楷體" w:eastAsia="標楷體" w:hAnsi="標楷體" w:hint="eastAsia"/>
          <w:kern w:val="0"/>
          <w:szCs w:val="24"/>
        </w:rPr>
        <w:t>或高風險之骨髓纖維化，包括原發性骨髓纖維化、真性紅血球增多症後骨髓纖維化、或血小板增多症後骨髓纖維化等疾病所造成脾臟腫大</w:t>
      </w:r>
      <w:r w:rsidRPr="001A2DB7">
        <w:rPr>
          <w:rFonts w:ascii="標楷體" w:eastAsia="標楷體" w:hAnsi="標楷體"/>
          <w:kern w:val="0"/>
          <w:szCs w:val="24"/>
        </w:rPr>
        <w:t>(symptomatic splenomegaly)</w:t>
      </w:r>
      <w:r w:rsidRPr="001A2DB7">
        <w:rPr>
          <w:rFonts w:ascii="標楷體" w:eastAsia="標楷體" w:hAnsi="標楷體" w:hint="eastAsia"/>
          <w:kern w:val="0"/>
          <w:szCs w:val="24"/>
        </w:rPr>
        <w:t>及</w:t>
      </w:r>
      <w:r w:rsidRPr="001A2DB7">
        <w:rPr>
          <w:rFonts w:ascii="標楷體" w:eastAsia="標楷體" w:hAnsi="標楷體"/>
          <w:kern w:val="0"/>
          <w:szCs w:val="24"/>
        </w:rPr>
        <w:t>/</w:t>
      </w:r>
      <w:r w:rsidRPr="001A2DB7">
        <w:rPr>
          <w:rFonts w:ascii="標楷體" w:eastAsia="標楷體" w:hAnsi="標楷體" w:hint="eastAsia"/>
          <w:kern w:val="0"/>
          <w:szCs w:val="24"/>
        </w:rPr>
        <w:t>或其他相關全身症狀且不適於接受幹細胞移植</w:t>
      </w:r>
      <w:r w:rsidRPr="001A2DB7">
        <w:rPr>
          <w:rFonts w:ascii="標楷體" w:eastAsia="標楷體" w:hAnsi="標楷體" w:hint="eastAsia"/>
          <w:color w:val="000000"/>
          <w:kern w:val="0"/>
          <w:szCs w:val="24"/>
        </w:rPr>
        <w:t>的病人</w:t>
      </w:r>
      <w:r w:rsidRPr="001A2DB7">
        <w:rPr>
          <w:rFonts w:ascii="標楷體" w:eastAsia="標楷體" w:hAnsi="標楷體"/>
          <w:kern w:val="0"/>
          <w:szCs w:val="24"/>
        </w:rPr>
        <w:t>(stem cell transplantation)</w:t>
      </w:r>
      <w:r w:rsidRPr="001A2DB7">
        <w:rPr>
          <w:rFonts w:ascii="標楷體" w:eastAsia="標楷體" w:hAnsi="標楷體" w:hint="eastAsia"/>
          <w:kern w:val="0"/>
          <w:szCs w:val="24"/>
        </w:rPr>
        <w:t>。</w:t>
      </w:r>
    </w:p>
    <w:p w:rsidR="0007073E" w:rsidRPr="001A2DB7" w:rsidRDefault="0007073E" w:rsidP="0007073E">
      <w:pPr>
        <w:pStyle w:val="Default"/>
        <w:spacing w:line="400" w:lineRule="exact"/>
        <w:ind w:leftChars="262" w:left="991" w:hangingChars="151" w:hanging="362"/>
        <w:rPr>
          <w:rFonts w:ascii="標楷體" w:eastAsia="標楷體" w:hAnsi="標楷體"/>
        </w:rPr>
      </w:pPr>
      <w:r w:rsidRPr="001A2DB7">
        <w:rPr>
          <w:rFonts w:ascii="標楷體" w:eastAsia="標楷體" w:hAnsi="標楷體"/>
        </w:rPr>
        <w:t>(1)</w:t>
      </w:r>
      <w:r w:rsidRPr="001A2DB7">
        <w:rPr>
          <w:rFonts w:ascii="標楷體" w:eastAsia="標楷體" w:hAnsi="標楷體" w:hint="eastAsia"/>
        </w:rPr>
        <w:t>需經事前審查核准後使用，每次申請之療程以</w:t>
      </w:r>
      <w:r w:rsidRPr="001A2DB7">
        <w:rPr>
          <w:rFonts w:ascii="標楷體" w:eastAsia="標楷體" w:hAnsi="標楷體"/>
        </w:rPr>
        <w:t>6</w:t>
      </w:r>
      <w:r w:rsidRPr="001A2DB7">
        <w:rPr>
          <w:rFonts w:ascii="標楷體" w:eastAsia="標楷體" w:hAnsi="標楷體" w:hint="eastAsia"/>
        </w:rPr>
        <w:t>個月為限，送審時需檢送影像資料及症狀改善之病歷紀錄，每</w:t>
      </w:r>
      <w:r w:rsidRPr="001A2DB7">
        <w:rPr>
          <w:rFonts w:ascii="標楷體" w:eastAsia="標楷體" w:hAnsi="標楷體"/>
        </w:rPr>
        <w:t>6</w:t>
      </w:r>
      <w:r w:rsidRPr="001A2DB7">
        <w:rPr>
          <w:rFonts w:ascii="標楷體" w:eastAsia="標楷體" w:hAnsi="標楷體" w:hint="eastAsia"/>
        </w:rPr>
        <w:t>個月評估一次。</w:t>
      </w:r>
    </w:p>
    <w:p w:rsidR="0007073E" w:rsidRPr="001A2DB7" w:rsidRDefault="0007073E" w:rsidP="0007073E">
      <w:pPr>
        <w:autoSpaceDE w:val="0"/>
        <w:adjustRightInd w:val="0"/>
        <w:spacing w:line="400" w:lineRule="exact"/>
        <w:ind w:leftChars="262" w:left="991" w:hangingChars="151" w:hanging="362"/>
        <w:rPr>
          <w:rFonts w:ascii="標楷體" w:eastAsia="標楷體" w:hAnsi="標楷體"/>
          <w:color w:val="000000"/>
          <w:kern w:val="0"/>
          <w:szCs w:val="24"/>
        </w:rPr>
      </w:pPr>
      <w:r w:rsidRPr="001A2DB7">
        <w:rPr>
          <w:rFonts w:ascii="標楷體" w:eastAsia="標楷體" w:hAnsi="標楷體"/>
          <w:color w:val="000000"/>
          <w:kern w:val="0"/>
          <w:szCs w:val="24"/>
        </w:rPr>
        <w:t>(2)</w:t>
      </w:r>
      <w:r w:rsidRPr="001A2DB7">
        <w:rPr>
          <w:rFonts w:ascii="標楷體" w:eastAsia="標楷體" w:hAnsi="標楷體" w:hint="eastAsia"/>
          <w:color w:val="000000"/>
          <w:kern w:val="0"/>
          <w:szCs w:val="24"/>
        </w:rPr>
        <w:t>用藥後第一次評估時，需達到症狀反應</w:t>
      </w:r>
      <w:r w:rsidRPr="001A2DB7">
        <w:rPr>
          <w:rFonts w:ascii="標楷體" w:eastAsia="標楷體" w:hAnsi="標楷體"/>
          <w:color w:val="000000"/>
          <w:kern w:val="0"/>
          <w:szCs w:val="24"/>
        </w:rPr>
        <w:t>(symptom response)</w:t>
      </w:r>
      <w:r w:rsidRPr="001A2DB7">
        <w:rPr>
          <w:rFonts w:ascii="標楷體" w:eastAsia="標楷體" w:hAnsi="標楷體" w:hint="eastAsia"/>
          <w:color w:val="000000"/>
          <w:kern w:val="0"/>
          <w:szCs w:val="24"/>
        </w:rPr>
        <w:t>或脾臟體積無惡化兩者</w:t>
      </w:r>
      <w:r w:rsidRPr="001A2DB7">
        <w:rPr>
          <w:rFonts w:ascii="標楷體" w:eastAsia="標楷體" w:hAnsi="標楷體" w:hint="eastAsia"/>
          <w:color w:val="000000"/>
          <w:kern w:val="0"/>
          <w:szCs w:val="24"/>
        </w:rPr>
        <w:lastRenderedPageBreak/>
        <w:t>之一，且同時無</w:t>
      </w:r>
      <w:r w:rsidRPr="001A2DB7">
        <w:rPr>
          <w:rFonts w:ascii="標楷體" w:eastAsia="標楷體" w:hAnsi="標楷體"/>
          <w:color w:val="000000"/>
          <w:kern w:val="0"/>
          <w:szCs w:val="24"/>
        </w:rPr>
        <w:t>AML tranformation</w:t>
      </w:r>
      <w:r w:rsidRPr="001A2DB7">
        <w:rPr>
          <w:rFonts w:ascii="標楷體" w:eastAsia="標楷體" w:hAnsi="標楷體" w:hint="eastAsia"/>
          <w:color w:val="000000"/>
          <w:kern w:val="0"/>
          <w:szCs w:val="24"/>
        </w:rPr>
        <w:t>，方得以繼續使用。分別定義如下：</w:t>
      </w:r>
      <w:r w:rsidRPr="001A2DB7">
        <w:rPr>
          <w:rFonts w:ascii="標楷體" w:eastAsia="標楷體" w:hAnsi="標楷體"/>
          <w:color w:val="000000"/>
          <w:kern w:val="0"/>
          <w:szCs w:val="24"/>
        </w:rPr>
        <w:t>(113/6/1)</w:t>
      </w:r>
    </w:p>
    <w:p w:rsidR="0007073E" w:rsidRPr="001A2DB7" w:rsidRDefault="0007073E" w:rsidP="0007073E">
      <w:pPr>
        <w:autoSpaceDE w:val="0"/>
        <w:adjustRightInd w:val="0"/>
        <w:spacing w:line="400" w:lineRule="exact"/>
        <w:ind w:leftChars="386" w:left="1274" w:hangingChars="145" w:hanging="348"/>
        <w:rPr>
          <w:rFonts w:ascii="標楷體" w:eastAsia="標楷體" w:hAnsi="標楷體"/>
          <w:color w:val="000000"/>
          <w:kern w:val="0"/>
          <w:szCs w:val="24"/>
        </w:rPr>
      </w:pPr>
      <w:r w:rsidRPr="001A2DB7">
        <w:rPr>
          <w:rFonts w:ascii="標楷體" w:eastAsia="標楷體" w:hAnsi="標楷體" w:hint="eastAsia"/>
          <w:color w:val="000000"/>
          <w:kern w:val="0"/>
          <w:szCs w:val="24"/>
        </w:rPr>
        <w:t>Ⅰ</w:t>
      </w:r>
      <w:r w:rsidRPr="001A2DB7">
        <w:rPr>
          <w:rFonts w:ascii="標楷體" w:eastAsia="標楷體" w:hAnsi="標楷體"/>
          <w:color w:val="000000"/>
          <w:kern w:val="0"/>
          <w:szCs w:val="24"/>
        </w:rPr>
        <w:t>.</w:t>
      </w:r>
      <w:r w:rsidRPr="001A2DB7">
        <w:rPr>
          <w:rFonts w:ascii="標楷體" w:eastAsia="標楷體" w:hAnsi="標楷體" w:hint="eastAsia"/>
          <w:color w:val="000000"/>
          <w:kern w:val="0"/>
          <w:szCs w:val="24"/>
        </w:rPr>
        <w:t>症狀反應：</w:t>
      </w:r>
      <w:r w:rsidRPr="001A2DB7">
        <w:rPr>
          <w:rFonts w:ascii="標楷體" w:eastAsia="標楷體" w:hAnsi="標楷體"/>
          <w:color w:val="000000"/>
          <w:kern w:val="0"/>
          <w:szCs w:val="24"/>
        </w:rPr>
        <w:t>MPN-SAF-TSS</w:t>
      </w:r>
      <w:r w:rsidRPr="001A2DB7">
        <w:rPr>
          <w:rFonts w:ascii="標楷體" w:eastAsia="標楷體" w:hAnsi="標楷體" w:hint="eastAsia"/>
          <w:color w:val="000000"/>
          <w:kern w:val="0"/>
          <w:szCs w:val="24"/>
        </w:rPr>
        <w:t>分數或</w:t>
      </w:r>
      <w:r w:rsidRPr="001A2DB7">
        <w:rPr>
          <w:rFonts w:ascii="標楷體" w:eastAsia="標楷體" w:hAnsi="標楷體"/>
          <w:color w:val="000000"/>
          <w:kern w:val="0"/>
          <w:szCs w:val="24"/>
        </w:rPr>
        <w:t>MPN-10</w:t>
      </w:r>
      <w:r w:rsidRPr="001A2DB7">
        <w:rPr>
          <w:rFonts w:ascii="標楷體" w:eastAsia="標楷體" w:hAnsi="標楷體" w:hint="eastAsia"/>
          <w:color w:val="000000"/>
          <w:kern w:val="0"/>
          <w:szCs w:val="24"/>
        </w:rPr>
        <w:t>與治療前基準值相比，需下降超過</w:t>
      </w:r>
      <w:r w:rsidRPr="001A2DB7">
        <w:rPr>
          <w:rFonts w:ascii="標楷體" w:eastAsia="標楷體" w:hAnsi="標楷體"/>
          <w:color w:val="000000"/>
          <w:kern w:val="0"/>
          <w:szCs w:val="24"/>
        </w:rPr>
        <w:t>50%</w:t>
      </w:r>
      <w:r w:rsidRPr="001A2DB7">
        <w:rPr>
          <w:rFonts w:ascii="標楷體" w:eastAsia="標楷體" w:hAnsi="標楷體" w:hint="eastAsia"/>
          <w:color w:val="000000"/>
          <w:kern w:val="0"/>
          <w:szCs w:val="24"/>
        </w:rPr>
        <w:t>。</w:t>
      </w:r>
    </w:p>
    <w:p w:rsidR="0007073E" w:rsidRPr="001A2DB7" w:rsidRDefault="0007073E" w:rsidP="0007073E">
      <w:pPr>
        <w:autoSpaceDE w:val="0"/>
        <w:adjustRightInd w:val="0"/>
        <w:spacing w:line="400" w:lineRule="exact"/>
        <w:ind w:leftChars="386" w:left="1274" w:hangingChars="145" w:hanging="348"/>
        <w:rPr>
          <w:rFonts w:ascii="標楷體" w:eastAsia="標楷體" w:hAnsi="標楷體"/>
          <w:color w:val="000000"/>
          <w:kern w:val="0"/>
          <w:szCs w:val="24"/>
        </w:rPr>
      </w:pPr>
      <w:r w:rsidRPr="001A2DB7">
        <w:rPr>
          <w:rFonts w:ascii="標楷體" w:eastAsia="標楷體" w:hAnsi="標楷體" w:hint="eastAsia"/>
          <w:color w:val="000000"/>
          <w:kern w:val="0"/>
          <w:szCs w:val="24"/>
        </w:rPr>
        <w:t>Ⅱ</w:t>
      </w:r>
      <w:r w:rsidRPr="001A2DB7">
        <w:rPr>
          <w:rFonts w:ascii="標楷體" w:eastAsia="標楷體" w:hAnsi="標楷體"/>
          <w:color w:val="000000"/>
          <w:kern w:val="0"/>
          <w:szCs w:val="24"/>
        </w:rPr>
        <w:t>.</w:t>
      </w:r>
      <w:r w:rsidRPr="001A2DB7">
        <w:rPr>
          <w:rFonts w:ascii="標楷體" w:eastAsia="標楷體" w:hAnsi="標楷體" w:hint="eastAsia"/>
          <w:color w:val="000000"/>
          <w:kern w:val="0"/>
          <w:szCs w:val="24"/>
        </w:rPr>
        <w:t>脾臟體積無惡化：使用電腦斷層評估，脾臟長度未增加超過治療前基準值之</w:t>
      </w:r>
      <w:r w:rsidRPr="001A2DB7">
        <w:rPr>
          <w:rFonts w:ascii="標楷體" w:eastAsia="標楷體" w:hAnsi="標楷體"/>
          <w:color w:val="000000"/>
          <w:kern w:val="0"/>
          <w:szCs w:val="24"/>
        </w:rPr>
        <w:t>40%</w:t>
      </w:r>
      <w:r w:rsidRPr="001A2DB7">
        <w:rPr>
          <w:rFonts w:ascii="標楷體" w:eastAsia="標楷體" w:hAnsi="標楷體" w:hint="eastAsia"/>
          <w:color w:val="000000"/>
          <w:kern w:val="0"/>
          <w:szCs w:val="24"/>
        </w:rPr>
        <w:t>以上</w:t>
      </w:r>
      <w:r w:rsidRPr="001A2DB7">
        <w:rPr>
          <w:rFonts w:ascii="標楷體" w:eastAsia="標楷體" w:hAnsi="標楷體"/>
          <w:color w:val="000000"/>
          <w:kern w:val="0"/>
          <w:szCs w:val="24"/>
        </w:rPr>
        <w:t>(</w:t>
      </w:r>
      <w:r w:rsidRPr="001A2DB7">
        <w:rPr>
          <w:rFonts w:ascii="標楷體" w:eastAsia="標楷體" w:hAnsi="標楷體" w:hint="eastAsia"/>
          <w:color w:val="000000"/>
          <w:kern w:val="0"/>
          <w:szCs w:val="24"/>
        </w:rPr>
        <w:t>或體積增加未達</w:t>
      </w:r>
      <w:r w:rsidRPr="001A2DB7">
        <w:rPr>
          <w:rFonts w:ascii="標楷體" w:eastAsia="標楷體" w:hAnsi="標楷體"/>
          <w:color w:val="000000"/>
          <w:kern w:val="0"/>
          <w:szCs w:val="24"/>
        </w:rPr>
        <w:t>25%</w:t>
      </w:r>
      <w:r w:rsidRPr="001A2DB7">
        <w:rPr>
          <w:rFonts w:ascii="標楷體" w:eastAsia="標楷體" w:hAnsi="標楷體" w:hint="eastAsia"/>
          <w:color w:val="000000"/>
          <w:kern w:val="0"/>
          <w:szCs w:val="24"/>
        </w:rPr>
        <w:t>以上</w:t>
      </w:r>
      <w:r w:rsidRPr="001A2DB7">
        <w:rPr>
          <w:rFonts w:ascii="標楷體" w:eastAsia="標楷體" w:hAnsi="標楷體"/>
          <w:color w:val="000000"/>
          <w:kern w:val="0"/>
          <w:szCs w:val="24"/>
        </w:rPr>
        <w:t>)</w:t>
      </w:r>
      <w:r w:rsidRPr="001A2DB7">
        <w:rPr>
          <w:rFonts w:ascii="標楷體" w:eastAsia="標楷體" w:hAnsi="標楷體" w:hint="eastAsia"/>
          <w:color w:val="000000"/>
          <w:kern w:val="0"/>
          <w:szCs w:val="24"/>
        </w:rPr>
        <w:t>。</w:t>
      </w:r>
    </w:p>
    <w:p w:rsidR="0007073E" w:rsidRPr="001A2DB7" w:rsidRDefault="0007073E" w:rsidP="0007073E">
      <w:pPr>
        <w:autoSpaceDE w:val="0"/>
        <w:adjustRightInd w:val="0"/>
        <w:spacing w:line="400" w:lineRule="exact"/>
        <w:ind w:leftChars="386" w:left="1274" w:hangingChars="145" w:hanging="348"/>
        <w:rPr>
          <w:rFonts w:ascii="標楷體" w:eastAsia="標楷體" w:hAnsi="標楷體"/>
          <w:color w:val="000000"/>
          <w:kern w:val="0"/>
          <w:szCs w:val="24"/>
        </w:rPr>
      </w:pPr>
      <w:r w:rsidRPr="001A2DB7">
        <w:rPr>
          <w:rFonts w:ascii="標楷體" w:eastAsia="標楷體" w:hAnsi="標楷體" w:hint="eastAsia"/>
          <w:color w:val="000000"/>
          <w:kern w:val="0"/>
          <w:szCs w:val="24"/>
        </w:rPr>
        <w:t>Ⅲ</w:t>
      </w:r>
      <w:r w:rsidRPr="001A2DB7">
        <w:rPr>
          <w:rFonts w:ascii="標楷體" w:eastAsia="標楷體" w:hAnsi="標楷體"/>
          <w:color w:val="000000"/>
          <w:kern w:val="0"/>
          <w:szCs w:val="24"/>
        </w:rPr>
        <w:t>.AML transformation</w:t>
      </w:r>
      <w:r w:rsidRPr="001A2DB7">
        <w:rPr>
          <w:rFonts w:ascii="標楷體" w:eastAsia="標楷體" w:hAnsi="標楷體" w:hint="eastAsia"/>
          <w:color w:val="000000"/>
          <w:kern w:val="0"/>
          <w:szCs w:val="24"/>
        </w:rPr>
        <w:t>：骨髓中之芽細胞</w:t>
      </w:r>
      <w:r w:rsidRPr="001A2DB7">
        <w:rPr>
          <w:rFonts w:eastAsia="標楷體"/>
          <w:color w:val="000000"/>
          <w:kern w:val="0"/>
          <w:szCs w:val="24"/>
        </w:rPr>
        <w:t>≥</w:t>
      </w:r>
      <w:r w:rsidRPr="001A2DB7">
        <w:rPr>
          <w:rFonts w:ascii="標楷體" w:eastAsia="標楷體" w:hAnsi="標楷體"/>
          <w:color w:val="000000"/>
          <w:kern w:val="0"/>
          <w:szCs w:val="24"/>
        </w:rPr>
        <w:t>20%</w:t>
      </w:r>
      <w:r w:rsidRPr="001A2DB7">
        <w:rPr>
          <w:rFonts w:ascii="標楷體" w:eastAsia="標楷體" w:hAnsi="標楷體" w:hint="eastAsia"/>
          <w:color w:val="000000"/>
          <w:kern w:val="0"/>
          <w:szCs w:val="24"/>
        </w:rPr>
        <w:t>或血液中之芽細胞</w:t>
      </w:r>
      <w:r w:rsidRPr="001A2DB7">
        <w:rPr>
          <w:rFonts w:eastAsia="標楷體"/>
          <w:color w:val="000000"/>
          <w:kern w:val="0"/>
          <w:szCs w:val="24"/>
        </w:rPr>
        <w:t>≥</w:t>
      </w:r>
      <w:r w:rsidRPr="001A2DB7">
        <w:rPr>
          <w:rFonts w:ascii="標楷體" w:eastAsia="標楷體" w:hAnsi="標楷體"/>
          <w:color w:val="000000"/>
          <w:kern w:val="0"/>
          <w:szCs w:val="24"/>
        </w:rPr>
        <w:t>20%</w:t>
      </w:r>
      <w:r w:rsidRPr="001A2DB7">
        <w:rPr>
          <w:rFonts w:ascii="標楷體" w:eastAsia="標楷體" w:hAnsi="標楷體" w:hint="eastAsia"/>
          <w:color w:val="000000"/>
          <w:kern w:val="0"/>
          <w:szCs w:val="24"/>
        </w:rPr>
        <w:t>合併芽細胞數值</w:t>
      </w:r>
      <w:r w:rsidRPr="001A2DB7">
        <w:rPr>
          <w:rFonts w:eastAsia="標楷體"/>
          <w:color w:val="000000"/>
          <w:kern w:val="0"/>
          <w:szCs w:val="24"/>
        </w:rPr>
        <w:t>≥</w:t>
      </w:r>
      <w:r w:rsidRPr="001A2DB7">
        <w:rPr>
          <w:rFonts w:ascii="標楷體" w:eastAsia="標楷體" w:hAnsi="標楷體"/>
          <w:color w:val="000000"/>
          <w:kern w:val="0"/>
          <w:szCs w:val="24"/>
        </w:rPr>
        <w:t>1</w:t>
      </w:r>
      <w:r w:rsidRPr="001A2DB7">
        <w:rPr>
          <w:rFonts w:ascii="標楷體" w:eastAsia="標楷體" w:hAnsi="標楷體" w:cs="標楷體"/>
          <w:color w:val="000000"/>
          <w:kern w:val="0"/>
          <w:szCs w:val="24"/>
        </w:rPr>
        <w:t>×</w:t>
      </w:r>
      <w:r w:rsidRPr="001A2DB7">
        <w:rPr>
          <w:rFonts w:ascii="標楷體" w:eastAsia="標楷體" w:hAnsi="標楷體"/>
          <w:color w:val="000000"/>
          <w:kern w:val="0"/>
          <w:szCs w:val="24"/>
        </w:rPr>
        <w:t>10</w:t>
      </w:r>
      <w:r w:rsidRPr="001A2DB7">
        <w:rPr>
          <w:rFonts w:ascii="標楷體" w:eastAsia="標楷體" w:hAnsi="標楷體"/>
          <w:color w:val="000000"/>
          <w:kern w:val="0"/>
          <w:szCs w:val="24"/>
          <w:vertAlign w:val="superscript"/>
        </w:rPr>
        <w:t>9</w:t>
      </w:r>
      <w:r w:rsidRPr="001A2DB7">
        <w:rPr>
          <w:rFonts w:ascii="標楷體" w:eastAsia="標楷體" w:hAnsi="標楷體"/>
          <w:color w:val="000000"/>
          <w:kern w:val="0"/>
          <w:szCs w:val="24"/>
        </w:rPr>
        <w:t>/L</w:t>
      </w:r>
      <w:r w:rsidRPr="001A2DB7">
        <w:rPr>
          <w:rFonts w:ascii="標楷體" w:eastAsia="標楷體" w:hAnsi="標楷體" w:hint="eastAsia"/>
          <w:color w:val="000000"/>
          <w:kern w:val="0"/>
          <w:szCs w:val="24"/>
        </w:rPr>
        <w:t>。</w:t>
      </w:r>
    </w:p>
    <w:p w:rsidR="0007073E" w:rsidRPr="001A2DB7" w:rsidRDefault="0007073E" w:rsidP="0007073E">
      <w:pPr>
        <w:pStyle w:val="Default"/>
        <w:spacing w:line="400" w:lineRule="exact"/>
        <w:ind w:leftChars="262" w:left="991" w:hangingChars="151" w:hanging="362"/>
        <w:rPr>
          <w:rFonts w:ascii="標楷體" w:eastAsia="標楷體" w:hAnsi="標楷體"/>
        </w:rPr>
      </w:pPr>
      <w:r w:rsidRPr="001A2DB7">
        <w:rPr>
          <w:rFonts w:ascii="標楷體" w:eastAsia="標楷體" w:hAnsi="標楷體"/>
        </w:rPr>
        <w:t>(3)</w:t>
      </w:r>
      <w:r w:rsidRPr="001A2DB7">
        <w:rPr>
          <w:rFonts w:ascii="標楷體" w:eastAsia="標楷體" w:hAnsi="標楷體" w:hint="eastAsia"/>
        </w:rPr>
        <w:t>用藥後第二次及其後的評估，必須顯示無疾病惡化（無症狀惡化且脾臟體積無惡化，並同時無</w:t>
      </w:r>
      <w:r w:rsidRPr="001A2DB7">
        <w:rPr>
          <w:rFonts w:ascii="標楷體" w:eastAsia="標楷體" w:hAnsi="標楷體"/>
        </w:rPr>
        <w:t>AML transformation</w:t>
      </w:r>
      <w:r w:rsidRPr="001A2DB7">
        <w:rPr>
          <w:rFonts w:ascii="標楷體" w:eastAsia="標楷體" w:hAnsi="標楷體" w:hint="eastAsia"/>
        </w:rPr>
        <w:t>），方得以繼續使用。分別定義如下：</w:t>
      </w:r>
      <w:r w:rsidRPr="001A2DB7">
        <w:rPr>
          <w:rFonts w:ascii="標楷體" w:eastAsia="標楷體" w:hAnsi="標楷體"/>
        </w:rPr>
        <w:t>(113/6/1)</w:t>
      </w:r>
    </w:p>
    <w:p w:rsidR="0007073E" w:rsidRPr="001A2DB7" w:rsidRDefault="0007073E" w:rsidP="009D436C">
      <w:pPr>
        <w:autoSpaceDE w:val="0"/>
        <w:adjustRightInd w:val="0"/>
        <w:spacing w:line="400" w:lineRule="exact"/>
        <w:ind w:leftChars="380" w:left="1274" w:hangingChars="151" w:hanging="362"/>
        <w:rPr>
          <w:rFonts w:ascii="標楷體" w:eastAsia="標楷體" w:hAnsi="標楷體"/>
          <w:color w:val="000000"/>
          <w:kern w:val="0"/>
          <w:szCs w:val="24"/>
        </w:rPr>
      </w:pPr>
      <w:r w:rsidRPr="001A2DB7">
        <w:rPr>
          <w:rFonts w:ascii="標楷體" w:eastAsia="標楷體" w:hAnsi="標楷體" w:hint="eastAsia"/>
          <w:color w:val="000000"/>
          <w:kern w:val="0"/>
          <w:szCs w:val="24"/>
        </w:rPr>
        <w:t>Ⅰ</w:t>
      </w:r>
      <w:r w:rsidRPr="001A2DB7">
        <w:rPr>
          <w:rFonts w:ascii="標楷體" w:eastAsia="標楷體" w:hAnsi="標楷體"/>
          <w:color w:val="000000"/>
          <w:kern w:val="0"/>
          <w:szCs w:val="24"/>
        </w:rPr>
        <w:t>.</w:t>
      </w:r>
      <w:r w:rsidRPr="001A2DB7">
        <w:rPr>
          <w:rFonts w:ascii="標楷體" w:eastAsia="標楷體" w:hAnsi="標楷體" w:hint="eastAsia"/>
          <w:color w:val="000000"/>
          <w:kern w:val="0"/>
          <w:szCs w:val="24"/>
        </w:rPr>
        <w:t>無症狀惡化：未出現新症狀，且</w:t>
      </w:r>
      <w:r w:rsidRPr="001A2DB7">
        <w:rPr>
          <w:rFonts w:ascii="標楷體" w:eastAsia="標楷體" w:hAnsi="標楷體"/>
          <w:color w:val="000000"/>
          <w:kern w:val="0"/>
          <w:szCs w:val="24"/>
        </w:rPr>
        <w:t>MPN-SAF-TSS</w:t>
      </w:r>
      <w:r w:rsidRPr="001A2DB7">
        <w:rPr>
          <w:rFonts w:ascii="標楷體" w:eastAsia="標楷體" w:hAnsi="標楷體" w:hint="eastAsia"/>
          <w:color w:val="000000"/>
          <w:kern w:val="0"/>
          <w:szCs w:val="24"/>
        </w:rPr>
        <w:t>分數或</w:t>
      </w:r>
      <w:r w:rsidRPr="001A2DB7">
        <w:rPr>
          <w:rFonts w:ascii="標楷體" w:eastAsia="標楷體" w:hAnsi="標楷體"/>
          <w:color w:val="000000"/>
          <w:kern w:val="0"/>
          <w:szCs w:val="24"/>
        </w:rPr>
        <w:t>MPN-10</w:t>
      </w:r>
      <w:r w:rsidRPr="001A2DB7">
        <w:rPr>
          <w:rFonts w:ascii="標楷體" w:eastAsia="標楷體" w:hAnsi="標楷體" w:hint="eastAsia"/>
          <w:color w:val="000000"/>
          <w:kern w:val="0"/>
          <w:szCs w:val="24"/>
        </w:rPr>
        <w:t>未超過治療前的基準值。</w:t>
      </w:r>
    </w:p>
    <w:p w:rsidR="0007073E" w:rsidRPr="001A2DB7" w:rsidRDefault="0007073E" w:rsidP="009D436C">
      <w:pPr>
        <w:autoSpaceDE w:val="0"/>
        <w:adjustRightInd w:val="0"/>
        <w:spacing w:line="400" w:lineRule="exact"/>
        <w:ind w:leftChars="380" w:left="1274" w:hangingChars="151" w:hanging="362"/>
        <w:rPr>
          <w:rFonts w:ascii="標楷體" w:eastAsia="標楷體" w:hAnsi="標楷體"/>
          <w:color w:val="000000"/>
          <w:kern w:val="0"/>
          <w:szCs w:val="24"/>
        </w:rPr>
      </w:pPr>
      <w:r w:rsidRPr="001A2DB7">
        <w:rPr>
          <w:rFonts w:ascii="標楷體" w:eastAsia="標楷體" w:hAnsi="標楷體" w:hint="eastAsia"/>
          <w:color w:val="000000"/>
          <w:kern w:val="0"/>
          <w:szCs w:val="24"/>
        </w:rPr>
        <w:t>Ⅱ</w:t>
      </w:r>
      <w:r w:rsidRPr="001A2DB7">
        <w:rPr>
          <w:rFonts w:ascii="標楷體" w:eastAsia="標楷體" w:hAnsi="標楷體"/>
          <w:color w:val="000000"/>
          <w:kern w:val="0"/>
          <w:szCs w:val="24"/>
        </w:rPr>
        <w:t>.</w:t>
      </w:r>
      <w:r w:rsidRPr="001A2DB7">
        <w:rPr>
          <w:rFonts w:ascii="標楷體" w:eastAsia="標楷體" w:hAnsi="標楷體" w:hint="eastAsia"/>
          <w:color w:val="000000"/>
          <w:kern w:val="0"/>
          <w:szCs w:val="24"/>
        </w:rPr>
        <w:t>脾臟體積無惡化：使用電腦斷層評估，脾臟長度未增加超過最佳反應</w:t>
      </w:r>
      <w:r w:rsidRPr="001A2DB7">
        <w:rPr>
          <w:rFonts w:ascii="標楷體" w:eastAsia="標楷體" w:hAnsi="標楷體"/>
          <w:color w:val="000000"/>
          <w:kern w:val="0"/>
          <w:szCs w:val="24"/>
        </w:rPr>
        <w:t>(best response)</w:t>
      </w:r>
      <w:r w:rsidRPr="001A2DB7">
        <w:rPr>
          <w:rFonts w:ascii="標楷體" w:eastAsia="標楷體" w:hAnsi="標楷體" w:hint="eastAsia"/>
          <w:color w:val="000000"/>
          <w:kern w:val="0"/>
          <w:szCs w:val="24"/>
        </w:rPr>
        <w:t>時之脾臟長度</w:t>
      </w:r>
      <w:r w:rsidRPr="001A2DB7">
        <w:rPr>
          <w:rFonts w:ascii="標楷體" w:eastAsia="標楷體" w:hAnsi="標楷體"/>
          <w:color w:val="000000"/>
          <w:kern w:val="0"/>
          <w:szCs w:val="24"/>
        </w:rPr>
        <w:t>40%</w:t>
      </w:r>
      <w:r w:rsidRPr="001A2DB7">
        <w:rPr>
          <w:rFonts w:ascii="標楷體" w:eastAsia="標楷體" w:hAnsi="標楷體" w:hint="eastAsia"/>
          <w:color w:val="000000"/>
          <w:kern w:val="0"/>
          <w:szCs w:val="24"/>
        </w:rPr>
        <w:t>以上</w:t>
      </w:r>
      <w:r w:rsidRPr="001A2DB7">
        <w:rPr>
          <w:rFonts w:ascii="標楷體" w:eastAsia="標楷體" w:hAnsi="標楷體"/>
          <w:color w:val="000000"/>
          <w:kern w:val="0"/>
          <w:szCs w:val="24"/>
        </w:rPr>
        <w:t>(</w:t>
      </w:r>
      <w:r w:rsidRPr="001A2DB7">
        <w:rPr>
          <w:rFonts w:ascii="標楷體" w:eastAsia="標楷體" w:hAnsi="標楷體" w:hint="eastAsia"/>
          <w:color w:val="000000"/>
          <w:kern w:val="0"/>
          <w:szCs w:val="24"/>
        </w:rPr>
        <w:t>或體積增加未達</w:t>
      </w:r>
      <w:r w:rsidRPr="001A2DB7">
        <w:rPr>
          <w:rFonts w:ascii="標楷體" w:eastAsia="標楷體" w:hAnsi="標楷體"/>
          <w:color w:val="000000"/>
          <w:kern w:val="0"/>
          <w:szCs w:val="24"/>
        </w:rPr>
        <w:t>25%</w:t>
      </w:r>
      <w:r w:rsidRPr="001A2DB7">
        <w:rPr>
          <w:rFonts w:ascii="標楷體" w:eastAsia="標楷體" w:hAnsi="標楷體" w:hint="eastAsia"/>
          <w:color w:val="000000"/>
          <w:kern w:val="0"/>
          <w:szCs w:val="24"/>
        </w:rPr>
        <w:t>以上</w:t>
      </w:r>
      <w:r w:rsidRPr="001A2DB7">
        <w:rPr>
          <w:rFonts w:ascii="標楷體" w:eastAsia="標楷體" w:hAnsi="標楷體"/>
          <w:color w:val="000000"/>
          <w:kern w:val="0"/>
          <w:szCs w:val="24"/>
        </w:rPr>
        <w:t>)</w:t>
      </w:r>
      <w:r w:rsidRPr="001A2DB7">
        <w:rPr>
          <w:rFonts w:ascii="標楷體" w:eastAsia="標楷體" w:hAnsi="標楷體" w:hint="eastAsia"/>
          <w:color w:val="000000"/>
          <w:kern w:val="0"/>
          <w:szCs w:val="24"/>
        </w:rPr>
        <w:t>。</w:t>
      </w:r>
    </w:p>
    <w:p w:rsidR="0007073E" w:rsidRPr="001A2DB7" w:rsidRDefault="0007073E" w:rsidP="009D436C">
      <w:pPr>
        <w:autoSpaceDE w:val="0"/>
        <w:adjustRightInd w:val="0"/>
        <w:spacing w:line="400" w:lineRule="exact"/>
        <w:ind w:leftChars="380" w:left="1274" w:hangingChars="151" w:hanging="362"/>
        <w:rPr>
          <w:rFonts w:ascii="標楷體" w:eastAsia="標楷體" w:hAnsi="標楷體"/>
          <w:color w:val="000000"/>
          <w:kern w:val="0"/>
          <w:szCs w:val="24"/>
        </w:rPr>
      </w:pPr>
      <w:r w:rsidRPr="001A2DB7">
        <w:rPr>
          <w:rFonts w:ascii="標楷體" w:eastAsia="標楷體" w:hAnsi="標楷體" w:hint="eastAsia"/>
          <w:color w:val="000000"/>
          <w:kern w:val="0"/>
          <w:szCs w:val="24"/>
        </w:rPr>
        <w:t>Ⅲ</w:t>
      </w:r>
      <w:r w:rsidRPr="001A2DB7">
        <w:rPr>
          <w:rFonts w:ascii="標楷體" w:eastAsia="標楷體" w:hAnsi="標楷體"/>
          <w:color w:val="000000"/>
          <w:kern w:val="0"/>
          <w:szCs w:val="24"/>
        </w:rPr>
        <w:t>.AML transformation</w:t>
      </w:r>
      <w:r w:rsidRPr="001A2DB7">
        <w:rPr>
          <w:rFonts w:ascii="標楷體" w:eastAsia="標楷體" w:hAnsi="標楷體" w:hint="eastAsia"/>
          <w:color w:val="000000"/>
          <w:kern w:val="0"/>
          <w:szCs w:val="24"/>
        </w:rPr>
        <w:t>：骨髓中之芽細胞</w:t>
      </w:r>
      <w:r w:rsidRPr="001A2DB7">
        <w:rPr>
          <w:rFonts w:eastAsia="標楷體"/>
          <w:color w:val="000000"/>
          <w:kern w:val="0"/>
          <w:szCs w:val="24"/>
        </w:rPr>
        <w:t>≥</w:t>
      </w:r>
      <w:r w:rsidRPr="001A2DB7">
        <w:rPr>
          <w:rFonts w:ascii="標楷體" w:eastAsia="標楷體" w:hAnsi="標楷體"/>
          <w:color w:val="000000"/>
          <w:kern w:val="0"/>
          <w:szCs w:val="24"/>
        </w:rPr>
        <w:t>20%</w:t>
      </w:r>
      <w:r w:rsidRPr="001A2DB7">
        <w:rPr>
          <w:rFonts w:ascii="標楷體" w:eastAsia="標楷體" w:hAnsi="標楷體" w:hint="eastAsia"/>
          <w:color w:val="000000"/>
          <w:kern w:val="0"/>
          <w:szCs w:val="24"/>
        </w:rPr>
        <w:t>或血液中之芽細胞</w:t>
      </w:r>
      <w:r w:rsidRPr="001A2DB7">
        <w:rPr>
          <w:rFonts w:eastAsia="標楷體"/>
          <w:color w:val="000000"/>
          <w:kern w:val="0"/>
          <w:szCs w:val="24"/>
        </w:rPr>
        <w:t>≥</w:t>
      </w:r>
      <w:r w:rsidRPr="001A2DB7">
        <w:rPr>
          <w:rFonts w:ascii="標楷體" w:eastAsia="標楷體" w:hAnsi="標楷體"/>
          <w:color w:val="000000"/>
          <w:kern w:val="0"/>
          <w:szCs w:val="24"/>
        </w:rPr>
        <w:t>20%</w:t>
      </w:r>
      <w:r w:rsidRPr="001A2DB7">
        <w:rPr>
          <w:rFonts w:ascii="標楷體" w:eastAsia="標楷體" w:hAnsi="標楷體" w:hint="eastAsia"/>
          <w:color w:val="000000"/>
          <w:kern w:val="0"/>
          <w:szCs w:val="24"/>
        </w:rPr>
        <w:t>合併芽細胞數值</w:t>
      </w:r>
      <w:r w:rsidRPr="001A2DB7">
        <w:rPr>
          <w:rFonts w:eastAsia="標楷體"/>
          <w:color w:val="000000"/>
          <w:kern w:val="0"/>
          <w:szCs w:val="24"/>
        </w:rPr>
        <w:t>≥</w:t>
      </w:r>
      <w:r w:rsidRPr="001A2DB7">
        <w:rPr>
          <w:rFonts w:ascii="標楷體" w:eastAsia="標楷體" w:hAnsi="標楷體"/>
          <w:color w:val="000000"/>
          <w:kern w:val="0"/>
          <w:szCs w:val="24"/>
        </w:rPr>
        <w:t>1</w:t>
      </w:r>
      <w:r w:rsidRPr="001A2DB7">
        <w:rPr>
          <w:rFonts w:ascii="標楷體" w:eastAsia="標楷體" w:hAnsi="標楷體" w:cs="標楷體"/>
          <w:color w:val="000000"/>
          <w:kern w:val="0"/>
          <w:szCs w:val="24"/>
        </w:rPr>
        <w:t>×</w:t>
      </w:r>
      <w:r w:rsidRPr="001A2DB7">
        <w:rPr>
          <w:rFonts w:ascii="標楷體" w:eastAsia="標楷體" w:hAnsi="標楷體"/>
          <w:color w:val="000000"/>
          <w:kern w:val="0"/>
          <w:szCs w:val="24"/>
        </w:rPr>
        <w:t>10</w:t>
      </w:r>
      <w:r w:rsidRPr="001A2DB7">
        <w:rPr>
          <w:rFonts w:ascii="標楷體" w:eastAsia="標楷體" w:hAnsi="標楷體"/>
          <w:color w:val="000000"/>
          <w:kern w:val="0"/>
          <w:szCs w:val="24"/>
          <w:vertAlign w:val="superscript"/>
        </w:rPr>
        <w:t>9</w:t>
      </w:r>
      <w:r w:rsidRPr="001A2DB7">
        <w:rPr>
          <w:rFonts w:ascii="標楷體" w:eastAsia="標楷體" w:hAnsi="標楷體"/>
          <w:color w:val="000000"/>
          <w:kern w:val="0"/>
          <w:szCs w:val="24"/>
        </w:rPr>
        <w:t>/L</w:t>
      </w:r>
      <w:r w:rsidRPr="001A2DB7">
        <w:rPr>
          <w:rFonts w:ascii="標楷體" w:eastAsia="標楷體" w:hAnsi="標楷體" w:hint="eastAsia"/>
          <w:color w:val="000000"/>
          <w:kern w:val="0"/>
          <w:szCs w:val="24"/>
        </w:rPr>
        <w:t>。</w:t>
      </w:r>
    </w:p>
    <w:p w:rsidR="0007073E" w:rsidRPr="001A2DB7" w:rsidRDefault="0007073E" w:rsidP="0007073E">
      <w:pPr>
        <w:pStyle w:val="Default"/>
        <w:spacing w:line="400" w:lineRule="exact"/>
        <w:ind w:leftChars="262" w:left="991" w:hangingChars="151" w:hanging="362"/>
        <w:rPr>
          <w:rFonts w:ascii="標楷體" w:eastAsia="標楷體" w:hAnsi="標楷體"/>
        </w:rPr>
      </w:pPr>
      <w:r w:rsidRPr="001A2DB7">
        <w:rPr>
          <w:rFonts w:ascii="標楷體" w:eastAsia="標楷體" w:hAnsi="標楷體"/>
        </w:rPr>
        <w:t>(4)Jakavi 5mg</w:t>
      </w:r>
      <w:r w:rsidRPr="001A2DB7">
        <w:rPr>
          <w:rFonts w:ascii="標楷體" w:eastAsia="標楷體" w:hAnsi="標楷體" w:hint="eastAsia"/>
        </w:rPr>
        <w:t>每日限最多使用</w:t>
      </w:r>
      <w:r w:rsidRPr="001A2DB7">
        <w:rPr>
          <w:rFonts w:ascii="標楷體" w:eastAsia="標楷體" w:hAnsi="標楷體"/>
        </w:rPr>
        <w:t>4</w:t>
      </w:r>
      <w:r w:rsidRPr="001A2DB7">
        <w:rPr>
          <w:rFonts w:ascii="標楷體" w:eastAsia="標楷體" w:hAnsi="標楷體" w:hint="eastAsia"/>
        </w:rPr>
        <w:t>粒，</w:t>
      </w:r>
      <w:r w:rsidRPr="001A2DB7">
        <w:rPr>
          <w:rFonts w:ascii="標楷體" w:eastAsia="標楷體" w:hAnsi="標楷體"/>
        </w:rPr>
        <w:t>Jakavi 15mg</w:t>
      </w:r>
      <w:r w:rsidRPr="001A2DB7">
        <w:rPr>
          <w:rFonts w:ascii="標楷體" w:eastAsia="標楷體" w:hAnsi="標楷體" w:hint="eastAsia"/>
        </w:rPr>
        <w:t>或</w:t>
      </w:r>
      <w:r w:rsidRPr="001A2DB7">
        <w:rPr>
          <w:rFonts w:ascii="標楷體" w:eastAsia="標楷體" w:hAnsi="標楷體"/>
        </w:rPr>
        <w:t>20mg</w:t>
      </w:r>
      <w:r w:rsidRPr="001A2DB7">
        <w:rPr>
          <w:rFonts w:ascii="標楷體" w:eastAsia="標楷體" w:hAnsi="標楷體" w:hint="eastAsia"/>
        </w:rPr>
        <w:t>每日限最多使用</w:t>
      </w:r>
      <w:r w:rsidRPr="001A2DB7">
        <w:rPr>
          <w:rFonts w:ascii="標楷體" w:eastAsia="標楷體" w:hAnsi="標楷體"/>
        </w:rPr>
        <w:t>2</w:t>
      </w:r>
      <w:r w:rsidRPr="001A2DB7">
        <w:rPr>
          <w:rFonts w:ascii="標楷體" w:eastAsia="標楷體" w:hAnsi="標楷體" w:hint="eastAsia"/>
        </w:rPr>
        <w:t>粒，且其</w:t>
      </w:r>
      <w:r w:rsidRPr="001A2DB7">
        <w:rPr>
          <w:rFonts w:ascii="標楷體" w:eastAsia="標楷體" w:hAnsi="標楷體"/>
        </w:rPr>
        <w:t>5mg</w:t>
      </w:r>
      <w:r w:rsidRPr="001A2DB7">
        <w:rPr>
          <w:rFonts w:ascii="標楷體" w:eastAsia="標楷體" w:hAnsi="標楷體" w:hint="eastAsia"/>
        </w:rPr>
        <w:t>不得與</w:t>
      </w:r>
      <w:r w:rsidRPr="001A2DB7">
        <w:rPr>
          <w:rFonts w:ascii="標楷體" w:eastAsia="標楷體" w:hAnsi="標楷體"/>
        </w:rPr>
        <w:t>15mg</w:t>
      </w:r>
      <w:r w:rsidRPr="001A2DB7">
        <w:rPr>
          <w:rFonts w:ascii="標楷體" w:eastAsia="標楷體" w:hAnsi="標楷體" w:hint="eastAsia"/>
        </w:rPr>
        <w:t>或</w:t>
      </w:r>
      <w:r w:rsidRPr="001A2DB7">
        <w:rPr>
          <w:rFonts w:ascii="標楷體" w:eastAsia="標楷體" w:hAnsi="標楷體"/>
        </w:rPr>
        <w:t>20mg</w:t>
      </w:r>
      <w:r w:rsidRPr="001A2DB7">
        <w:rPr>
          <w:rFonts w:ascii="標楷體" w:eastAsia="標楷體" w:hAnsi="標楷體" w:hint="eastAsia"/>
        </w:rPr>
        <w:t>併用。</w:t>
      </w:r>
    </w:p>
    <w:p w:rsidR="0007073E" w:rsidRPr="001A2DB7" w:rsidRDefault="0007073E" w:rsidP="0007073E">
      <w:pPr>
        <w:pStyle w:val="Default"/>
        <w:spacing w:line="400" w:lineRule="exact"/>
        <w:ind w:leftChars="262" w:left="991" w:hangingChars="151" w:hanging="362"/>
        <w:rPr>
          <w:rFonts w:ascii="標楷體" w:eastAsia="標楷體" w:hAnsi="標楷體"/>
        </w:rPr>
      </w:pPr>
      <w:r w:rsidRPr="001A2DB7">
        <w:rPr>
          <w:rFonts w:ascii="標楷體" w:eastAsia="標楷體" w:hAnsi="標楷體"/>
        </w:rPr>
        <w:t>(5)</w:t>
      </w:r>
      <w:r w:rsidRPr="001A2DB7">
        <w:rPr>
          <w:rFonts w:ascii="標楷體" w:eastAsia="標楷體" w:hAnsi="標楷體" w:hint="eastAsia"/>
        </w:rPr>
        <w:t>本藥品與</w:t>
      </w:r>
      <w:r w:rsidRPr="001A2DB7">
        <w:rPr>
          <w:rFonts w:ascii="標楷體" w:eastAsia="標楷體" w:hAnsi="標楷體"/>
        </w:rPr>
        <w:t>fedratinib</w:t>
      </w:r>
      <w:r w:rsidRPr="00EB5347">
        <w:rPr>
          <w:rFonts w:ascii="標楷體" w:eastAsia="標楷體" w:hAnsi="標楷體" w:hint="eastAsia"/>
        </w:rPr>
        <w:t>、</w:t>
      </w:r>
      <w:r w:rsidRPr="00EB5347">
        <w:rPr>
          <w:rFonts w:ascii="標楷體" w:eastAsia="標楷體" w:hAnsi="標楷體"/>
        </w:rPr>
        <w:t>momelotinib</w:t>
      </w:r>
      <w:r w:rsidRPr="00EB5347">
        <w:rPr>
          <w:rFonts w:ascii="標楷體" w:eastAsia="標楷體" w:hAnsi="標楷體" w:hint="eastAsia"/>
        </w:rPr>
        <w:t>用於中度風險或高風險之骨髓纖維化治療時，僅得擇一給付。f</w:t>
      </w:r>
      <w:r w:rsidRPr="00EB5347">
        <w:rPr>
          <w:rFonts w:ascii="標楷體" w:eastAsia="標楷體" w:hAnsi="標楷體"/>
        </w:rPr>
        <w:t>edratinib</w:t>
      </w:r>
      <w:r w:rsidRPr="00EB5347">
        <w:rPr>
          <w:rFonts w:ascii="標楷體" w:eastAsia="標楷體" w:hAnsi="標楷體" w:hint="eastAsia"/>
        </w:rPr>
        <w:t>、</w:t>
      </w:r>
      <w:r w:rsidRPr="00EB5347">
        <w:rPr>
          <w:rFonts w:ascii="標楷體" w:eastAsia="標楷體" w:hAnsi="標楷體"/>
        </w:rPr>
        <w:t>momelotinib</w:t>
      </w:r>
      <w:r w:rsidRPr="001A2DB7">
        <w:rPr>
          <w:rFonts w:ascii="標楷體" w:eastAsia="標楷體" w:hAnsi="標楷體" w:hint="eastAsia"/>
        </w:rPr>
        <w:t>治療後如疾病惡化不得換用本藥品。</w:t>
      </w:r>
      <w:r w:rsidRPr="001A2DB7">
        <w:rPr>
          <w:rFonts w:ascii="標楷體" w:eastAsia="標楷體" w:hAnsi="標楷體"/>
        </w:rPr>
        <w:t>(114/1/1</w:t>
      </w:r>
      <w:r w:rsidRPr="00EB5347">
        <w:rPr>
          <w:rFonts w:ascii="標楷體" w:eastAsia="標楷體" w:hAnsi="標楷體" w:hint="eastAsia"/>
        </w:rPr>
        <w:t>、114</w:t>
      </w:r>
      <w:r w:rsidRPr="00EB5347">
        <w:rPr>
          <w:rFonts w:ascii="標楷體" w:eastAsia="標楷體" w:hAnsi="標楷體"/>
        </w:rPr>
        <w:t>/</w:t>
      </w:r>
      <w:r w:rsidRPr="00EB5347">
        <w:rPr>
          <w:rFonts w:ascii="標楷體" w:eastAsia="標楷體" w:hAnsi="標楷體" w:hint="eastAsia"/>
        </w:rPr>
        <w:t>10</w:t>
      </w:r>
      <w:r w:rsidRPr="00EB5347">
        <w:rPr>
          <w:rFonts w:ascii="標楷體" w:eastAsia="標楷體" w:hAnsi="標楷體"/>
        </w:rPr>
        <w:t>/1</w:t>
      </w:r>
      <w:r w:rsidRPr="001A2DB7">
        <w:rPr>
          <w:rFonts w:ascii="標楷體" w:eastAsia="標楷體" w:hAnsi="標楷體"/>
        </w:rPr>
        <w:t>)</w:t>
      </w:r>
    </w:p>
    <w:p w:rsidR="0007073E" w:rsidRPr="001A2DB7" w:rsidRDefault="0007073E" w:rsidP="0007073E">
      <w:pPr>
        <w:suppressAutoHyphens w:val="0"/>
        <w:autoSpaceDE w:val="0"/>
        <w:adjustRightInd w:val="0"/>
        <w:spacing w:line="400" w:lineRule="exact"/>
        <w:ind w:leftChars="146" w:left="566" w:hangingChars="90" w:hanging="216"/>
        <w:textAlignment w:val="auto"/>
        <w:rPr>
          <w:rFonts w:ascii="標楷體" w:eastAsia="標楷體" w:hAnsi="標楷體"/>
          <w:color w:val="000000"/>
          <w:szCs w:val="24"/>
        </w:rPr>
      </w:pPr>
      <w:r w:rsidRPr="001A2DB7">
        <w:rPr>
          <w:rFonts w:ascii="標楷體" w:eastAsia="標楷體" w:hAnsi="標楷體"/>
          <w:color w:val="000000"/>
          <w:szCs w:val="24"/>
        </w:rPr>
        <w:t>2.移植物抗宿主疾病，限用Jakavi 5mg，每日最多使用4 粒。(113/3/1)</w:t>
      </w:r>
    </w:p>
    <w:p w:rsidR="0007073E" w:rsidRPr="001A2DB7" w:rsidRDefault="0007073E" w:rsidP="0007073E">
      <w:pPr>
        <w:pStyle w:val="Default"/>
        <w:spacing w:line="400" w:lineRule="exact"/>
        <w:ind w:leftChars="262" w:left="991" w:hangingChars="151" w:hanging="362"/>
        <w:rPr>
          <w:rFonts w:ascii="標楷體" w:eastAsia="標楷體" w:hAnsi="標楷體"/>
          <w:kern w:val="3"/>
        </w:rPr>
      </w:pPr>
      <w:r w:rsidRPr="001A2DB7">
        <w:rPr>
          <w:rFonts w:ascii="標楷體" w:eastAsia="標楷體" w:hAnsi="標楷體"/>
          <w:kern w:val="3"/>
        </w:rPr>
        <w:t>(1)用於治療</w:t>
      </w:r>
      <w:r w:rsidRPr="001A2DB7">
        <w:rPr>
          <w:rFonts w:ascii="標楷體" w:eastAsia="標楷體" w:hAnsi="標楷體"/>
          <w:color w:val="auto"/>
        </w:rPr>
        <w:t>12</w:t>
      </w:r>
      <w:r w:rsidRPr="001A2DB7">
        <w:rPr>
          <w:rFonts w:ascii="標楷體" w:eastAsia="標楷體" w:hAnsi="標楷體"/>
          <w:kern w:val="3"/>
        </w:rPr>
        <w:t>歲以上之青少年及成人，且先前曾接受皮質類固醇(corticosteroids)後反應不佳的第2級(含)以上急性移植物抗宿主疾病(acute graft-versus-host disease,GvHD)病人。</w:t>
      </w:r>
    </w:p>
    <w:p w:rsidR="0007073E" w:rsidRPr="001A2DB7" w:rsidRDefault="0007073E" w:rsidP="0007073E">
      <w:pPr>
        <w:spacing w:line="400" w:lineRule="exact"/>
        <w:ind w:left="1418" w:hanging="425"/>
        <w:rPr>
          <w:rFonts w:ascii="標楷體" w:eastAsia="標楷體" w:hAnsi="標楷體"/>
          <w:color w:val="000000"/>
          <w:szCs w:val="24"/>
        </w:rPr>
      </w:pPr>
      <w:r w:rsidRPr="001A2DB7">
        <w:rPr>
          <w:rFonts w:ascii="標楷體" w:eastAsia="標楷體" w:hAnsi="標楷體"/>
          <w:color w:val="000000"/>
          <w:szCs w:val="24"/>
        </w:rPr>
        <w:t>Ⅰ.首次治療，可免事前審查，以28天為限，但須於病歷記載診斷、嚴重度評估以及先前藥物治療反應評估。若使用後疾病持續進展，即不得再使用。</w:t>
      </w:r>
    </w:p>
    <w:p w:rsidR="0007073E" w:rsidRPr="001A2DB7" w:rsidRDefault="0007073E" w:rsidP="0007073E">
      <w:pPr>
        <w:spacing w:line="400" w:lineRule="exact"/>
        <w:ind w:left="1418" w:hanging="425"/>
        <w:rPr>
          <w:rFonts w:ascii="標楷體" w:eastAsia="標楷體" w:hAnsi="標楷體"/>
          <w:color w:val="000000"/>
          <w:szCs w:val="24"/>
        </w:rPr>
      </w:pPr>
      <w:r w:rsidRPr="001A2DB7">
        <w:rPr>
          <w:rFonts w:ascii="標楷體" w:eastAsia="標楷體" w:hAnsi="標楷體"/>
          <w:color w:val="000000"/>
          <w:szCs w:val="24"/>
        </w:rPr>
        <w:t>Ⅱ.續用時需經事前審查核准後使用，限續申請一次並以2個月為限，申請時須檢附先前治療處方紀錄及療效評估。用藥後，若有疾病持續進展，則應停藥。</w:t>
      </w:r>
    </w:p>
    <w:p w:rsidR="0007073E" w:rsidRPr="001A2DB7" w:rsidRDefault="0007073E" w:rsidP="0007073E">
      <w:pPr>
        <w:spacing w:line="400" w:lineRule="exact"/>
        <w:ind w:left="1418" w:hanging="425"/>
        <w:rPr>
          <w:rFonts w:ascii="標楷體" w:eastAsia="標楷體" w:hAnsi="標楷體"/>
          <w:color w:val="000000"/>
          <w:szCs w:val="24"/>
        </w:rPr>
      </w:pPr>
      <w:r w:rsidRPr="001A2DB7">
        <w:rPr>
          <w:rFonts w:ascii="標楷體" w:eastAsia="標楷體" w:hAnsi="標楷體"/>
          <w:color w:val="000000"/>
          <w:szCs w:val="24"/>
        </w:rPr>
        <w:t>Ⅲ.使用總療程以3個月為上限。</w:t>
      </w:r>
    </w:p>
    <w:p w:rsidR="0007073E" w:rsidRPr="001A2DB7" w:rsidRDefault="0007073E" w:rsidP="0007073E">
      <w:pPr>
        <w:spacing w:line="400" w:lineRule="exact"/>
        <w:ind w:left="1418" w:hanging="425"/>
        <w:rPr>
          <w:rFonts w:ascii="標楷體" w:eastAsia="標楷體" w:hAnsi="標楷體"/>
          <w:color w:val="000000"/>
          <w:szCs w:val="24"/>
        </w:rPr>
      </w:pPr>
      <w:r w:rsidRPr="001A2DB7">
        <w:rPr>
          <w:rFonts w:ascii="標楷體" w:eastAsia="標楷體" w:hAnsi="標楷體"/>
          <w:color w:val="000000"/>
          <w:szCs w:val="24"/>
        </w:rPr>
        <w:t>Ⅳ.若後續轉變為慢性移植物抗宿主疾病（chronic GvHD）時，需依慢性移植物抗宿主疾病之給付規定申請。</w:t>
      </w:r>
    </w:p>
    <w:p w:rsidR="0007073E" w:rsidRPr="001A2DB7" w:rsidRDefault="0007073E" w:rsidP="0007073E">
      <w:pPr>
        <w:spacing w:line="400" w:lineRule="exact"/>
        <w:ind w:left="1418" w:hanging="425"/>
        <w:rPr>
          <w:rFonts w:ascii="標楷體" w:eastAsia="標楷體" w:hAnsi="標楷體"/>
          <w:color w:val="000000"/>
          <w:szCs w:val="24"/>
        </w:rPr>
      </w:pPr>
      <w:r w:rsidRPr="001A2DB7">
        <w:rPr>
          <w:rFonts w:ascii="標楷體" w:eastAsia="標楷體" w:hAnsi="標楷體"/>
          <w:color w:val="000000"/>
          <w:szCs w:val="24"/>
        </w:rPr>
        <w:t>Ⅴ.先前曾接受皮質類固醇（corticosteroids）後反應不佳需符合以下任一條件：</w:t>
      </w:r>
    </w:p>
    <w:p w:rsidR="0007073E" w:rsidRPr="001A2DB7" w:rsidRDefault="0007073E" w:rsidP="0007073E">
      <w:pPr>
        <w:spacing w:line="400" w:lineRule="exact"/>
        <w:ind w:left="1701" w:hanging="425"/>
        <w:rPr>
          <w:szCs w:val="24"/>
        </w:rPr>
      </w:pPr>
      <w:r w:rsidRPr="001A2DB7">
        <w:rPr>
          <w:rFonts w:ascii="新細明體" w:hAnsi="新細明體" w:cs="新細明體"/>
          <w:color w:val="000000"/>
          <w:szCs w:val="24"/>
        </w:rPr>
        <w:t>ⅰ</w:t>
      </w:r>
      <w:r w:rsidRPr="001A2DB7">
        <w:rPr>
          <w:rFonts w:ascii="標楷體" w:eastAsia="標楷體" w:hAnsi="標楷體"/>
          <w:color w:val="000000"/>
          <w:szCs w:val="24"/>
        </w:rPr>
        <w:t>.≧1mg/kg/day methylprednisolone (or equivalent prednisone dose) 3天後，疾病仍持續進展。</w:t>
      </w:r>
    </w:p>
    <w:p w:rsidR="0007073E" w:rsidRPr="001A2DB7" w:rsidRDefault="0007073E" w:rsidP="0007073E">
      <w:pPr>
        <w:spacing w:line="400" w:lineRule="exact"/>
        <w:ind w:left="1701" w:hanging="425"/>
        <w:rPr>
          <w:szCs w:val="24"/>
        </w:rPr>
      </w:pPr>
      <w:r w:rsidRPr="001A2DB7">
        <w:rPr>
          <w:rFonts w:ascii="新細明體" w:hAnsi="新細明體" w:cs="新細明體"/>
          <w:color w:val="000000"/>
          <w:szCs w:val="24"/>
        </w:rPr>
        <w:t>ⅱ</w:t>
      </w:r>
      <w:r w:rsidRPr="001A2DB7">
        <w:rPr>
          <w:rFonts w:ascii="標楷體" w:eastAsia="標楷體" w:hAnsi="標楷體"/>
          <w:color w:val="000000"/>
          <w:szCs w:val="24"/>
        </w:rPr>
        <w:t>.≧1mg/kg/day methylprednisolone (or equivalent prednisone dose) 開始的5天後未見改善。</w:t>
      </w:r>
    </w:p>
    <w:p w:rsidR="0007073E" w:rsidRPr="001A2DB7" w:rsidRDefault="0007073E" w:rsidP="0007073E">
      <w:pPr>
        <w:spacing w:line="400" w:lineRule="exact"/>
        <w:ind w:left="1701" w:hanging="425"/>
        <w:rPr>
          <w:szCs w:val="24"/>
        </w:rPr>
      </w:pPr>
      <w:r w:rsidRPr="001A2DB7">
        <w:rPr>
          <w:rFonts w:ascii="新細明體" w:hAnsi="新細明體" w:cs="新細明體"/>
          <w:color w:val="000000"/>
          <w:szCs w:val="24"/>
        </w:rPr>
        <w:lastRenderedPageBreak/>
        <w:t>ⅲ</w:t>
      </w:r>
      <w:r w:rsidRPr="001A2DB7">
        <w:rPr>
          <w:rFonts w:ascii="標楷體" w:eastAsia="標楷體" w:hAnsi="標楷體"/>
          <w:color w:val="000000"/>
          <w:szCs w:val="24"/>
        </w:rPr>
        <w:t>.發生皮質類固醇依賴性：在逐漸調降皮質類固醇期間，無法將methylprednisolone (or equivalent prednisone dose)劑量調降&lt;0.5mg/kg/day維持至少7天。</w:t>
      </w:r>
    </w:p>
    <w:p w:rsidR="0007073E" w:rsidRPr="001A2DB7" w:rsidRDefault="0007073E" w:rsidP="0007073E">
      <w:pPr>
        <w:spacing w:line="400" w:lineRule="exact"/>
        <w:ind w:left="1701" w:hanging="425"/>
        <w:rPr>
          <w:szCs w:val="24"/>
        </w:rPr>
      </w:pPr>
      <w:r w:rsidRPr="001A2DB7">
        <w:rPr>
          <w:rFonts w:ascii="新細明體" w:hAnsi="新細明體" w:cs="新細明體"/>
          <w:color w:val="000000"/>
          <w:szCs w:val="24"/>
        </w:rPr>
        <w:t>ⅳ</w:t>
      </w:r>
      <w:r w:rsidRPr="001A2DB7">
        <w:rPr>
          <w:rFonts w:ascii="標楷體" w:eastAsia="標楷體" w:hAnsi="標楷體"/>
          <w:color w:val="000000"/>
          <w:szCs w:val="24"/>
        </w:rPr>
        <w:t>.發生皮質類固醇不耐受性：初始治療後，發生CTCAE G3之嚴重不良反應情形。</w:t>
      </w:r>
    </w:p>
    <w:p w:rsidR="0007073E" w:rsidRPr="001A2DB7" w:rsidRDefault="0007073E" w:rsidP="0007073E">
      <w:pPr>
        <w:pStyle w:val="Default"/>
        <w:spacing w:line="400" w:lineRule="exact"/>
        <w:ind w:leftChars="262" w:left="991" w:hangingChars="151" w:hanging="362"/>
        <w:rPr>
          <w:rFonts w:ascii="標楷體" w:eastAsia="標楷體" w:hAnsi="標楷體"/>
          <w:kern w:val="3"/>
        </w:rPr>
      </w:pPr>
      <w:r w:rsidRPr="001A2DB7">
        <w:rPr>
          <w:rFonts w:ascii="標楷體" w:eastAsia="標楷體" w:hAnsi="標楷體"/>
          <w:kern w:val="3"/>
        </w:rPr>
        <w:t>(2)用於治療12歲以上之青少年及成人，且先前曾接受皮質類固醇(corticosteroids)後反應不佳的慢性移植物抗宿主疾病(chronic graft-versus-host disease,GvHD)病人。</w:t>
      </w:r>
    </w:p>
    <w:p w:rsidR="0007073E" w:rsidRPr="001A2DB7" w:rsidRDefault="0007073E" w:rsidP="0007073E">
      <w:pPr>
        <w:spacing w:line="400" w:lineRule="exact"/>
        <w:ind w:left="1418" w:hanging="284"/>
        <w:rPr>
          <w:rFonts w:ascii="標楷體" w:eastAsia="標楷體" w:hAnsi="標楷體"/>
          <w:color w:val="000000"/>
          <w:szCs w:val="24"/>
        </w:rPr>
      </w:pPr>
      <w:r w:rsidRPr="001A2DB7">
        <w:rPr>
          <w:rFonts w:ascii="標楷體" w:eastAsia="標楷體" w:hAnsi="標楷體"/>
          <w:color w:val="000000"/>
          <w:szCs w:val="24"/>
        </w:rPr>
        <w:t>Ⅰ.限用於發生肺部之慢性移植物抗宿主疾病，須同時符合下列條件:</w:t>
      </w:r>
    </w:p>
    <w:p w:rsidR="0007073E" w:rsidRPr="001A2DB7" w:rsidRDefault="0007073E" w:rsidP="0007073E">
      <w:pPr>
        <w:spacing w:line="400" w:lineRule="exact"/>
        <w:ind w:left="1900" w:hanging="340"/>
        <w:rPr>
          <w:szCs w:val="24"/>
        </w:rPr>
      </w:pPr>
      <w:r w:rsidRPr="001A2DB7">
        <w:rPr>
          <w:rFonts w:ascii="新細明體" w:hAnsi="新細明體" w:cs="新細明體"/>
          <w:color w:val="000000"/>
          <w:szCs w:val="24"/>
        </w:rPr>
        <w:t>ⅰ</w:t>
      </w:r>
      <w:r w:rsidRPr="001A2DB7">
        <w:rPr>
          <w:rFonts w:ascii="標楷體" w:eastAsia="標楷體" w:hAnsi="標楷體" w:cs="新細明體"/>
          <w:color w:val="000000"/>
          <w:szCs w:val="24"/>
        </w:rPr>
        <w:t>.肺功能檢查之FEV1&lt;80%。</w:t>
      </w:r>
    </w:p>
    <w:p w:rsidR="0007073E" w:rsidRPr="001A2DB7" w:rsidRDefault="0007073E" w:rsidP="0007073E">
      <w:pPr>
        <w:spacing w:line="400" w:lineRule="exact"/>
        <w:ind w:left="1900" w:hanging="340"/>
        <w:rPr>
          <w:szCs w:val="24"/>
        </w:rPr>
      </w:pPr>
      <w:r w:rsidRPr="001A2DB7">
        <w:rPr>
          <w:rFonts w:ascii="新細明體" w:hAnsi="新細明體" w:cs="新細明體"/>
          <w:color w:val="000000"/>
          <w:szCs w:val="24"/>
        </w:rPr>
        <w:t>ⅱ</w:t>
      </w:r>
      <w:r w:rsidRPr="001A2DB7">
        <w:rPr>
          <w:rFonts w:ascii="標楷體" w:eastAsia="標楷體" w:hAnsi="標楷體" w:cs="新細明體"/>
          <w:color w:val="000000"/>
          <w:szCs w:val="24"/>
        </w:rPr>
        <w:t>.檢附CT報告帶有 air trapping, small airway thickening或bronchiectasis 等肺部侵犯的表徵。</w:t>
      </w:r>
    </w:p>
    <w:p w:rsidR="0007073E" w:rsidRPr="001A2DB7" w:rsidRDefault="0007073E" w:rsidP="0007073E">
      <w:pPr>
        <w:spacing w:line="400" w:lineRule="exact"/>
        <w:ind w:left="1540" w:hanging="340"/>
        <w:rPr>
          <w:rFonts w:ascii="標楷體" w:eastAsia="標楷體" w:hAnsi="標楷體"/>
          <w:color w:val="000000"/>
          <w:szCs w:val="24"/>
        </w:rPr>
      </w:pPr>
      <w:r w:rsidRPr="001A2DB7">
        <w:rPr>
          <w:rFonts w:ascii="標楷體" w:eastAsia="標楷體" w:hAnsi="標楷體"/>
          <w:color w:val="000000"/>
          <w:szCs w:val="24"/>
        </w:rPr>
        <w:t>Ⅱ.需經事前審查核准後使用。</w:t>
      </w:r>
    </w:p>
    <w:p w:rsidR="0007073E" w:rsidRPr="001A2DB7" w:rsidRDefault="0007073E" w:rsidP="0007073E">
      <w:pPr>
        <w:spacing w:line="400" w:lineRule="exact"/>
        <w:ind w:left="1540" w:hanging="340"/>
        <w:rPr>
          <w:rFonts w:ascii="標楷體" w:eastAsia="標楷體" w:hAnsi="標楷體"/>
          <w:color w:val="000000"/>
          <w:szCs w:val="24"/>
        </w:rPr>
      </w:pPr>
      <w:r w:rsidRPr="001A2DB7">
        <w:rPr>
          <w:rFonts w:ascii="標楷體" w:eastAsia="標楷體" w:hAnsi="標楷體"/>
          <w:color w:val="000000"/>
          <w:szCs w:val="24"/>
        </w:rPr>
        <w:t>Ⅲ.第一次療程為3個月，續用申請之療程以3個月為限，送審時需檢送療效評估，每3個月評估一次。用藥後，若有疾病持續進展，則不予同意使用。</w:t>
      </w:r>
    </w:p>
    <w:p w:rsidR="0007073E" w:rsidRPr="001A2DB7" w:rsidRDefault="0007073E" w:rsidP="0007073E">
      <w:pPr>
        <w:spacing w:line="400" w:lineRule="exact"/>
        <w:ind w:left="1540" w:hanging="340"/>
        <w:rPr>
          <w:rFonts w:ascii="標楷體" w:eastAsia="標楷體" w:hAnsi="標楷體"/>
          <w:color w:val="000000"/>
          <w:szCs w:val="24"/>
        </w:rPr>
      </w:pPr>
      <w:r w:rsidRPr="001A2DB7">
        <w:rPr>
          <w:rFonts w:ascii="標楷體" w:eastAsia="標楷體" w:hAnsi="標楷體"/>
          <w:color w:val="000000"/>
          <w:szCs w:val="24"/>
        </w:rPr>
        <w:t>Ⅳ.使用總療程以24個月為上限。</w:t>
      </w:r>
    </w:p>
    <w:p w:rsidR="0007073E" w:rsidRPr="001A2DB7" w:rsidRDefault="0007073E" w:rsidP="0007073E">
      <w:pPr>
        <w:spacing w:line="400" w:lineRule="exact"/>
        <w:ind w:left="1540" w:hanging="340"/>
        <w:rPr>
          <w:rFonts w:ascii="標楷體" w:eastAsia="標楷體" w:hAnsi="標楷體"/>
          <w:color w:val="000000"/>
          <w:szCs w:val="24"/>
        </w:rPr>
      </w:pPr>
      <w:r w:rsidRPr="001A2DB7">
        <w:rPr>
          <w:rFonts w:ascii="標楷體" w:eastAsia="標楷體" w:hAnsi="標楷體"/>
          <w:color w:val="000000"/>
          <w:szCs w:val="24"/>
        </w:rPr>
        <w:t>Ⅴ.先前曾接受皮質類固醇（corticosteroids）後反應不佳需符合以下任一條件：</w:t>
      </w:r>
    </w:p>
    <w:p w:rsidR="0007073E" w:rsidRPr="001A2DB7" w:rsidRDefault="0007073E" w:rsidP="0007073E">
      <w:pPr>
        <w:spacing w:line="400" w:lineRule="exact"/>
        <w:ind w:left="1900" w:hanging="340"/>
        <w:rPr>
          <w:szCs w:val="24"/>
        </w:rPr>
      </w:pPr>
      <w:r w:rsidRPr="001A2DB7">
        <w:rPr>
          <w:rFonts w:ascii="新細明體" w:hAnsi="新細明體" w:cs="新細明體"/>
          <w:color w:val="000000"/>
          <w:szCs w:val="24"/>
        </w:rPr>
        <w:t>ⅰ</w:t>
      </w:r>
      <w:r w:rsidRPr="001A2DB7">
        <w:rPr>
          <w:rFonts w:ascii="標楷體" w:eastAsia="標楷體" w:hAnsi="標楷體" w:cs="新細明體"/>
          <w:color w:val="000000"/>
          <w:szCs w:val="24"/>
        </w:rPr>
        <w:t xml:space="preserve">.每日施用 </w:t>
      </w:r>
      <w:r w:rsidRPr="001A2DB7">
        <w:rPr>
          <w:rFonts w:eastAsia="標楷體"/>
          <w:color w:val="000000"/>
          <w:szCs w:val="24"/>
        </w:rPr>
        <w:t>≥</w:t>
      </w:r>
      <w:r w:rsidRPr="001A2DB7">
        <w:rPr>
          <w:rFonts w:ascii="標楷體" w:eastAsia="標楷體" w:hAnsi="標楷體" w:cs="新細明體"/>
          <w:color w:val="000000"/>
          <w:szCs w:val="24"/>
        </w:rPr>
        <w:t xml:space="preserve"> 0.5 mg/kg/day prednisone 治療至少7天後，疾病仍持續進展。</w:t>
      </w:r>
    </w:p>
    <w:p w:rsidR="0007073E" w:rsidRPr="001A2DB7" w:rsidRDefault="0007073E" w:rsidP="0007073E">
      <w:pPr>
        <w:spacing w:line="400" w:lineRule="exact"/>
        <w:ind w:left="1900" w:hanging="340"/>
        <w:rPr>
          <w:szCs w:val="24"/>
        </w:rPr>
      </w:pPr>
      <w:r w:rsidRPr="001A2DB7">
        <w:rPr>
          <w:rFonts w:ascii="新細明體" w:hAnsi="新細明體" w:cs="新細明體"/>
          <w:color w:val="000000"/>
          <w:szCs w:val="24"/>
        </w:rPr>
        <w:t>ⅱ</w:t>
      </w:r>
      <w:r w:rsidRPr="001A2DB7">
        <w:rPr>
          <w:rFonts w:ascii="標楷體" w:eastAsia="標楷體" w:hAnsi="標楷體" w:cs="新細明體"/>
          <w:color w:val="000000"/>
          <w:szCs w:val="24"/>
        </w:rPr>
        <w:t xml:space="preserve">.每日平均施用 </w:t>
      </w:r>
      <w:r w:rsidRPr="001A2DB7">
        <w:rPr>
          <w:rFonts w:eastAsia="標楷體"/>
          <w:color w:val="000000"/>
          <w:szCs w:val="24"/>
        </w:rPr>
        <w:t>≥</w:t>
      </w:r>
      <w:r w:rsidRPr="001A2DB7">
        <w:rPr>
          <w:rFonts w:ascii="標楷體" w:eastAsia="標楷體" w:hAnsi="標楷體" w:cs="新細明體"/>
          <w:color w:val="000000"/>
          <w:szCs w:val="24"/>
        </w:rPr>
        <w:t xml:space="preserve"> 0.5 mg/kg/day prednisone (或隔日</w:t>
      </w:r>
      <w:r w:rsidRPr="001A2DB7">
        <w:rPr>
          <w:rFonts w:eastAsia="標楷體"/>
          <w:color w:val="000000"/>
          <w:szCs w:val="24"/>
        </w:rPr>
        <w:t>≥</w:t>
      </w:r>
      <w:r w:rsidRPr="001A2DB7">
        <w:rPr>
          <w:rFonts w:ascii="標楷體" w:eastAsia="標楷體" w:hAnsi="標楷體" w:cs="新細明體"/>
          <w:color w:val="000000"/>
          <w:szCs w:val="24"/>
        </w:rPr>
        <w:t>1 mg/kg) ，治療至少1個月後，疾病仍未改善。</w:t>
      </w:r>
    </w:p>
    <w:p w:rsidR="0007073E" w:rsidRPr="001A2DB7" w:rsidRDefault="0007073E" w:rsidP="0007073E">
      <w:pPr>
        <w:spacing w:line="400" w:lineRule="exact"/>
        <w:ind w:left="1900" w:hanging="340"/>
        <w:rPr>
          <w:rFonts w:ascii="標楷體" w:eastAsia="標楷體" w:hAnsi="標楷體" w:cs="新細明體"/>
          <w:color w:val="000000"/>
          <w:szCs w:val="24"/>
        </w:rPr>
      </w:pPr>
      <w:r w:rsidRPr="001A2DB7">
        <w:rPr>
          <w:rFonts w:ascii="新細明體" w:hAnsi="新細明體" w:cs="新細明體"/>
          <w:color w:val="000000"/>
          <w:szCs w:val="24"/>
        </w:rPr>
        <w:t>ⅲ</w:t>
      </w:r>
      <w:r w:rsidRPr="001A2DB7">
        <w:rPr>
          <w:rFonts w:ascii="標楷體" w:eastAsia="標楷體" w:hAnsi="標楷體" w:cs="新細明體"/>
          <w:color w:val="000000"/>
          <w:szCs w:val="24"/>
        </w:rPr>
        <w:t>.發生皮質類固醇依賴性：在逐漸調降皮質類固醇期間，無法將劑量調降至每日0.25 mg/kg 以下維持至少7 天。</w:t>
      </w:r>
    </w:p>
    <w:p w:rsidR="00B96EA0" w:rsidRDefault="0007073E" w:rsidP="0007073E">
      <w:pPr>
        <w:spacing w:line="400" w:lineRule="exact"/>
        <w:ind w:left="1900" w:hanging="340"/>
      </w:pPr>
      <w:r w:rsidRPr="001A2DB7">
        <w:rPr>
          <w:rFonts w:ascii="新細明體" w:hAnsi="新細明體" w:cs="新細明體"/>
          <w:szCs w:val="24"/>
        </w:rPr>
        <w:t>ⅳ</w:t>
      </w:r>
      <w:r w:rsidRPr="001A2DB7">
        <w:rPr>
          <w:rFonts w:ascii="標楷體" w:eastAsia="標楷體" w:hAnsi="標楷體" w:cs="新細明體"/>
          <w:szCs w:val="24"/>
        </w:rPr>
        <w:t>.發生皮質類固醇不耐受性:初始治療後，發生 CTCAE G3 嚴重不良反應之情形。</w:t>
      </w:r>
      <w:bookmarkEnd w:id="13"/>
    </w:p>
    <w:p w:rsidR="00B96EA0" w:rsidRDefault="007D66B8" w:rsidP="005142EB">
      <w:pPr>
        <w:tabs>
          <w:tab w:val="left" w:pos="1418"/>
        </w:tabs>
        <w:spacing w:line="400" w:lineRule="exact"/>
        <w:ind w:left="567" w:hanging="228"/>
        <w:rPr>
          <w:rFonts w:ascii="標楷體" w:eastAsia="標楷體" w:hAnsi="標楷體"/>
          <w:color w:val="000000"/>
        </w:rPr>
      </w:pPr>
      <w:r>
        <w:rPr>
          <w:rFonts w:ascii="標楷體" w:eastAsia="標楷體" w:hAnsi="標楷體"/>
          <w:color w:val="000000"/>
        </w:rPr>
        <w:t xml:space="preserve">9.56.Brentuximab vedotin(如Adcetris)：(105/10/1、106/4/1、109/2/1、111/2/1) </w:t>
      </w:r>
    </w:p>
    <w:p w:rsidR="00B96EA0" w:rsidRDefault="007D66B8" w:rsidP="005142EB">
      <w:pPr>
        <w:tabs>
          <w:tab w:val="left" w:pos="1418"/>
        </w:tabs>
        <w:spacing w:line="400" w:lineRule="exact"/>
        <w:ind w:left="1133" w:hanging="228"/>
        <w:rPr>
          <w:rFonts w:ascii="標楷體" w:eastAsia="標楷體" w:hAnsi="標楷體"/>
          <w:color w:val="000000"/>
        </w:rPr>
      </w:pPr>
      <w:r>
        <w:rPr>
          <w:rFonts w:ascii="標楷體" w:eastAsia="標楷體" w:hAnsi="標楷體"/>
          <w:color w:val="000000"/>
        </w:rPr>
        <w:t>限用於成人患者：</w:t>
      </w:r>
    </w:p>
    <w:p w:rsidR="00B96EA0" w:rsidRDefault="007D66B8" w:rsidP="005142EB">
      <w:pPr>
        <w:spacing w:line="400" w:lineRule="exact"/>
        <w:ind w:left="993" w:hanging="370"/>
        <w:rPr>
          <w:rFonts w:ascii="標楷體" w:eastAsia="標楷體" w:hAnsi="標楷體"/>
          <w:color w:val="000000"/>
        </w:rPr>
      </w:pPr>
      <w:r>
        <w:rPr>
          <w:rFonts w:ascii="標楷體" w:eastAsia="標楷體" w:hAnsi="標楷體"/>
          <w:color w:val="000000"/>
        </w:rPr>
        <w:t>1.何杰金氏淋巴瘤(HL)：（111/2/1)</w:t>
      </w:r>
    </w:p>
    <w:p w:rsidR="00B96EA0" w:rsidRDefault="007D66B8" w:rsidP="005142EB">
      <w:pPr>
        <w:tabs>
          <w:tab w:val="left" w:pos="1418"/>
        </w:tabs>
        <w:spacing w:line="400" w:lineRule="exact"/>
        <w:ind w:left="993" w:hanging="370"/>
        <w:rPr>
          <w:rFonts w:ascii="標楷體" w:eastAsia="標楷體" w:hAnsi="標楷體"/>
          <w:color w:val="000000"/>
        </w:rPr>
      </w:pPr>
      <w:r>
        <w:rPr>
          <w:rFonts w:ascii="標楷體" w:eastAsia="標楷體" w:hAnsi="標楷體"/>
          <w:color w:val="000000"/>
        </w:rPr>
        <w:t>(1)與doxorubicin、vinblastine和dacarbazine併用適用於先前未曾接受治療，且IPS (International Prognostic Score)為4-7 分的CD30+第IV期何杰金氏淋巴瘤(HL)成人病人。（111/2/1）</w:t>
      </w:r>
    </w:p>
    <w:p w:rsidR="00B96EA0" w:rsidRDefault="007D66B8" w:rsidP="005142EB">
      <w:pPr>
        <w:tabs>
          <w:tab w:val="left" w:pos="1418"/>
        </w:tabs>
        <w:spacing w:line="400" w:lineRule="exact"/>
        <w:ind w:left="993" w:hanging="370"/>
        <w:rPr>
          <w:rFonts w:ascii="標楷體" w:eastAsia="標楷體" w:hAnsi="標楷體"/>
          <w:color w:val="000000"/>
        </w:rPr>
      </w:pPr>
      <w:r>
        <w:rPr>
          <w:rFonts w:ascii="標楷體" w:eastAsia="標楷體" w:hAnsi="標楷體"/>
          <w:color w:val="000000"/>
        </w:rPr>
        <w:t>(2)CD30+何杰金氏淋巴瘤(HL)病患接受ASCT後仍具有高復發風險之病患：需先前未曾使用過本品，並於ASCT前具有下列任一危險因子者：(109/2/1)</w:t>
      </w:r>
    </w:p>
    <w:p w:rsidR="00B96EA0" w:rsidRDefault="007D66B8" w:rsidP="005142EB">
      <w:pPr>
        <w:tabs>
          <w:tab w:val="left" w:pos="1418"/>
        </w:tabs>
        <w:spacing w:line="400" w:lineRule="exact"/>
        <w:ind w:left="1276" w:hanging="370"/>
        <w:rPr>
          <w:rFonts w:ascii="標楷體" w:eastAsia="標楷體" w:hAnsi="標楷體"/>
          <w:color w:val="000000"/>
        </w:rPr>
      </w:pPr>
      <w:r>
        <w:rPr>
          <w:rFonts w:ascii="標楷體" w:eastAsia="標楷體" w:hAnsi="標楷體"/>
          <w:color w:val="000000"/>
        </w:rPr>
        <w:t>Ⅰ.對於第1線治療未達完全緩解。</w:t>
      </w:r>
    </w:p>
    <w:p w:rsidR="00B96EA0" w:rsidRDefault="007D66B8" w:rsidP="005142EB">
      <w:pPr>
        <w:tabs>
          <w:tab w:val="left" w:pos="1418"/>
        </w:tabs>
        <w:spacing w:line="400" w:lineRule="exact"/>
        <w:ind w:left="1276" w:hanging="370"/>
        <w:rPr>
          <w:rFonts w:ascii="標楷體" w:eastAsia="標楷體" w:hAnsi="標楷體"/>
          <w:color w:val="000000"/>
        </w:rPr>
      </w:pPr>
      <w:r>
        <w:rPr>
          <w:rFonts w:ascii="標楷體" w:eastAsia="標楷體" w:hAnsi="標楷體"/>
          <w:color w:val="000000"/>
        </w:rPr>
        <w:t>Ⅱ.第1線治療結束後12個月內復發或惡化。</w:t>
      </w:r>
    </w:p>
    <w:p w:rsidR="00B96EA0" w:rsidRDefault="007D66B8" w:rsidP="005142EB">
      <w:pPr>
        <w:tabs>
          <w:tab w:val="left" w:pos="1418"/>
        </w:tabs>
        <w:spacing w:line="400" w:lineRule="exact"/>
        <w:ind w:left="1276" w:hanging="370"/>
        <w:rPr>
          <w:rFonts w:ascii="標楷體" w:eastAsia="標楷體" w:hAnsi="標楷體"/>
          <w:color w:val="000000"/>
        </w:rPr>
      </w:pPr>
      <w:r>
        <w:rPr>
          <w:rFonts w:ascii="標楷體" w:eastAsia="標楷體" w:hAnsi="標楷體"/>
          <w:color w:val="000000"/>
        </w:rPr>
        <w:lastRenderedPageBreak/>
        <w:t>Ⅲ.ASCT前出現的復發具有淋巴結外侵犯。</w:t>
      </w:r>
    </w:p>
    <w:p w:rsidR="00B96EA0" w:rsidRDefault="007D66B8" w:rsidP="005142EB">
      <w:pPr>
        <w:tabs>
          <w:tab w:val="left" w:pos="1418"/>
        </w:tabs>
        <w:spacing w:line="400" w:lineRule="exact"/>
        <w:ind w:left="993" w:hanging="370"/>
        <w:rPr>
          <w:rFonts w:ascii="標楷體" w:eastAsia="標楷體" w:hAnsi="標楷體"/>
          <w:color w:val="000000"/>
        </w:rPr>
      </w:pPr>
      <w:r>
        <w:rPr>
          <w:rFonts w:ascii="標楷體" w:eastAsia="標楷體" w:hAnsi="標楷體"/>
          <w:color w:val="000000"/>
        </w:rPr>
        <w:t xml:space="preserve">(3)治療復發或頑固型CD30+何杰金氏淋巴瘤(HL)： </w:t>
      </w:r>
    </w:p>
    <w:p w:rsidR="00B96EA0" w:rsidRDefault="007D66B8" w:rsidP="005142EB">
      <w:pPr>
        <w:tabs>
          <w:tab w:val="left" w:pos="1418"/>
        </w:tabs>
        <w:spacing w:line="400" w:lineRule="exact"/>
        <w:ind w:left="1276" w:hanging="370"/>
        <w:rPr>
          <w:rFonts w:ascii="標楷體" w:eastAsia="標楷體" w:hAnsi="標楷體"/>
          <w:color w:val="000000"/>
        </w:rPr>
      </w:pPr>
      <w:r>
        <w:rPr>
          <w:rFonts w:ascii="標楷體" w:eastAsia="標楷體" w:hAnsi="標楷體"/>
          <w:color w:val="000000"/>
        </w:rPr>
        <w:t>Ⅰ.已接受自體幹細胞移植(ASCT)，或</w:t>
      </w:r>
    </w:p>
    <w:p w:rsidR="00B96EA0" w:rsidRDefault="007D66B8" w:rsidP="005142EB">
      <w:pPr>
        <w:tabs>
          <w:tab w:val="left" w:pos="1418"/>
        </w:tabs>
        <w:spacing w:line="400" w:lineRule="exact"/>
        <w:ind w:left="1276" w:hanging="370"/>
        <w:rPr>
          <w:rFonts w:ascii="標楷體" w:eastAsia="標楷體" w:hAnsi="標楷體"/>
          <w:color w:val="000000"/>
        </w:rPr>
      </w:pPr>
      <w:r>
        <w:rPr>
          <w:rFonts w:ascii="標楷體" w:eastAsia="標楷體" w:hAnsi="標楷體"/>
          <w:color w:val="000000"/>
        </w:rPr>
        <w:t>Ⅱ.無法使用ASCT或多重藥物化療，且先前至少已接受兩種治療。</w:t>
      </w:r>
    </w:p>
    <w:p w:rsidR="00B96EA0" w:rsidRDefault="007D66B8" w:rsidP="005142EB">
      <w:pPr>
        <w:tabs>
          <w:tab w:val="left" w:pos="1418"/>
        </w:tabs>
        <w:spacing w:line="400" w:lineRule="exact"/>
        <w:ind w:left="993" w:hanging="370"/>
        <w:rPr>
          <w:rFonts w:ascii="標楷體" w:eastAsia="標楷體" w:hAnsi="標楷體"/>
          <w:color w:val="000000"/>
        </w:rPr>
      </w:pPr>
      <w:r>
        <w:rPr>
          <w:rFonts w:ascii="標楷體" w:eastAsia="標楷體" w:hAnsi="標楷體"/>
          <w:color w:val="000000"/>
        </w:rPr>
        <w:t>(4)須經事前審查核准後使用：</w:t>
      </w:r>
    </w:p>
    <w:p w:rsidR="00B96EA0" w:rsidRDefault="007D66B8" w:rsidP="005142EB">
      <w:pPr>
        <w:tabs>
          <w:tab w:val="left" w:pos="1418"/>
        </w:tabs>
        <w:spacing w:line="400" w:lineRule="exact"/>
        <w:ind w:left="1276" w:hanging="370"/>
        <w:rPr>
          <w:rFonts w:ascii="標楷體" w:eastAsia="標楷體" w:hAnsi="標楷體"/>
          <w:color w:val="000000"/>
        </w:rPr>
      </w:pPr>
      <w:r>
        <w:rPr>
          <w:rFonts w:ascii="標楷體" w:eastAsia="標楷體" w:hAnsi="標楷體"/>
          <w:color w:val="000000"/>
        </w:rPr>
        <w:t>Ⅰ.前述(1)之病患：首次申請療程以4個療程為限，再申請應檢附前次治療結果評估資料。若病人病情已達完全緩解，得再給付2個療程；若病情惡化即須停止使用。健保給付以6個療程為上限。(111/2/1)</w:t>
      </w:r>
    </w:p>
    <w:p w:rsidR="00B96EA0" w:rsidRDefault="007D66B8" w:rsidP="005142EB">
      <w:pPr>
        <w:tabs>
          <w:tab w:val="left" w:pos="1418"/>
        </w:tabs>
        <w:spacing w:line="400" w:lineRule="exact"/>
        <w:ind w:left="1276" w:hanging="370"/>
        <w:rPr>
          <w:rFonts w:ascii="標楷體" w:eastAsia="標楷體" w:hAnsi="標楷體"/>
          <w:color w:val="000000"/>
        </w:rPr>
      </w:pPr>
      <w:r>
        <w:rPr>
          <w:rFonts w:ascii="標楷體" w:eastAsia="標楷體" w:hAnsi="標楷體"/>
          <w:color w:val="000000"/>
        </w:rPr>
        <w:t>Ⅱ.前述(2)之病患：每次申請療程以4個療程為限，再申請應檢附疾病無惡化之評估資料，若病情惡化即須停止使用。曾依本項核准使用之病患，若之後疾病惡化或復發後將不再給付本藥品。(109/2/1、111/2/1)</w:t>
      </w:r>
    </w:p>
    <w:p w:rsidR="00B96EA0" w:rsidRDefault="007D66B8" w:rsidP="005142EB">
      <w:pPr>
        <w:tabs>
          <w:tab w:val="left" w:pos="1418"/>
        </w:tabs>
        <w:spacing w:line="400" w:lineRule="exact"/>
        <w:ind w:left="1276" w:hanging="370"/>
        <w:rPr>
          <w:rFonts w:ascii="標楷體" w:eastAsia="標楷體" w:hAnsi="標楷體"/>
          <w:color w:val="000000"/>
        </w:rPr>
      </w:pPr>
      <w:r>
        <w:rPr>
          <w:rFonts w:ascii="標楷體" w:eastAsia="標楷體" w:hAnsi="標楷體"/>
          <w:color w:val="000000"/>
        </w:rPr>
        <w:t>Ⅲ.前述(3)之病患：每次申請療程以4個療程為限，再申請應檢附前次治療結果評估資料。若病人病情已達完全緩解，得再給付4個療程;若病情惡化即須停止使用。(106/4/1、109/2/1、111/2/1)</w:t>
      </w:r>
    </w:p>
    <w:p w:rsidR="00B96EA0" w:rsidRDefault="007D66B8" w:rsidP="005142EB">
      <w:pPr>
        <w:tabs>
          <w:tab w:val="left" w:pos="1418"/>
        </w:tabs>
        <w:spacing w:line="400" w:lineRule="exact"/>
        <w:ind w:left="1276" w:hanging="370"/>
        <w:rPr>
          <w:rFonts w:ascii="標楷體" w:eastAsia="標楷體" w:hAnsi="標楷體"/>
          <w:color w:val="000000"/>
        </w:rPr>
      </w:pPr>
      <w:r>
        <w:rPr>
          <w:rFonts w:ascii="標楷體" w:eastAsia="標楷體" w:hAnsi="標楷體"/>
          <w:color w:val="000000"/>
        </w:rPr>
        <w:t>Ⅳ.同一病患於前述（1）、（2）及（3）之終身給付療程數以總共16個療程為上限。(111/2/1)</w:t>
      </w:r>
    </w:p>
    <w:p w:rsidR="00B96EA0" w:rsidRDefault="007D66B8" w:rsidP="005142EB">
      <w:pPr>
        <w:tabs>
          <w:tab w:val="left" w:pos="851"/>
        </w:tabs>
        <w:spacing w:line="400" w:lineRule="exact"/>
        <w:ind w:left="993" w:hanging="370"/>
        <w:rPr>
          <w:rFonts w:ascii="標楷體" w:eastAsia="標楷體" w:hAnsi="標楷體"/>
          <w:color w:val="000000"/>
        </w:rPr>
      </w:pPr>
      <w:r>
        <w:rPr>
          <w:rFonts w:ascii="標楷體" w:eastAsia="標楷體" w:hAnsi="標楷體"/>
          <w:color w:val="000000"/>
        </w:rPr>
        <w:t>2.全身性退行分化型大細胞淋巴瘤(systemic anaplastic large cell lymphoma；sALCL)：（111/2/1)</w:t>
      </w:r>
    </w:p>
    <w:p w:rsidR="00B96EA0" w:rsidRDefault="007D66B8" w:rsidP="005142EB">
      <w:pPr>
        <w:tabs>
          <w:tab w:val="left" w:pos="1418"/>
        </w:tabs>
        <w:spacing w:line="400" w:lineRule="exact"/>
        <w:ind w:left="1134" w:hanging="370"/>
        <w:rPr>
          <w:rFonts w:ascii="標楷體" w:eastAsia="標楷體" w:hAnsi="標楷體"/>
          <w:color w:val="000000"/>
        </w:rPr>
      </w:pPr>
      <w:r>
        <w:rPr>
          <w:rFonts w:ascii="標楷體" w:eastAsia="標楷體" w:hAnsi="標楷體"/>
          <w:color w:val="000000"/>
        </w:rPr>
        <w:t>(1)與cyclophosphamide、doxorubicin和prednisone併用適用於先前未曾接受治療且為ALK陰性的全身性退行分化型大細胞淋巴瘤(systemic anaplastic large cell lymphoma；sALCL)成人病人。（111/2/1）</w:t>
      </w:r>
    </w:p>
    <w:p w:rsidR="00B96EA0" w:rsidRDefault="007D66B8" w:rsidP="005142EB">
      <w:pPr>
        <w:tabs>
          <w:tab w:val="left" w:pos="1418"/>
        </w:tabs>
        <w:spacing w:line="400" w:lineRule="exact"/>
        <w:ind w:left="1134" w:hanging="370"/>
        <w:rPr>
          <w:rFonts w:ascii="標楷體" w:eastAsia="標楷體" w:hAnsi="標楷體"/>
          <w:color w:val="000000"/>
        </w:rPr>
      </w:pPr>
      <w:r>
        <w:rPr>
          <w:rFonts w:ascii="標楷體" w:eastAsia="標楷體" w:hAnsi="標楷體"/>
          <w:color w:val="000000"/>
        </w:rPr>
        <w:t>(2)治療復發或頑固型全身性退行分化型大細胞淋巴瘤(systemic anaplastic large cell lymphoma；sALCL)。</w:t>
      </w:r>
    </w:p>
    <w:p w:rsidR="00B96EA0" w:rsidRDefault="007D66B8" w:rsidP="005142EB">
      <w:pPr>
        <w:tabs>
          <w:tab w:val="left" w:pos="1418"/>
        </w:tabs>
        <w:spacing w:line="400" w:lineRule="exact"/>
        <w:ind w:left="1134" w:hanging="370"/>
        <w:rPr>
          <w:rFonts w:ascii="標楷體" w:eastAsia="標楷體" w:hAnsi="標楷體"/>
          <w:color w:val="000000"/>
        </w:rPr>
      </w:pPr>
      <w:r>
        <w:rPr>
          <w:rFonts w:ascii="標楷體" w:eastAsia="標楷體" w:hAnsi="標楷體"/>
          <w:color w:val="000000"/>
        </w:rPr>
        <w:t>(3)須經事前審查核准後使用：</w:t>
      </w:r>
    </w:p>
    <w:p w:rsidR="00B96EA0" w:rsidRDefault="007D66B8" w:rsidP="005142EB">
      <w:pPr>
        <w:tabs>
          <w:tab w:val="left" w:pos="1418"/>
        </w:tabs>
        <w:spacing w:line="400" w:lineRule="exact"/>
        <w:ind w:left="1134" w:hanging="370"/>
        <w:rPr>
          <w:rFonts w:ascii="標楷體" w:eastAsia="標楷體" w:hAnsi="標楷體"/>
          <w:color w:val="000000"/>
        </w:rPr>
      </w:pPr>
      <w:r>
        <w:rPr>
          <w:rFonts w:ascii="標楷體" w:eastAsia="標楷體" w:hAnsi="標楷體"/>
          <w:color w:val="000000"/>
        </w:rPr>
        <w:t>Ⅰ.前述(1)之病患：首次申請療程以4個療程為限，再申請應檢附前次治療結果評估資料。若病人病情已達完全緩解，得再給付2個療程；若病情惡化即須停止使用。健保給付以6個療程為上限。(111/2/1)</w:t>
      </w:r>
    </w:p>
    <w:p w:rsidR="00B96EA0" w:rsidRDefault="007D66B8" w:rsidP="005142EB">
      <w:pPr>
        <w:tabs>
          <w:tab w:val="left" w:pos="1418"/>
        </w:tabs>
        <w:spacing w:line="400" w:lineRule="exact"/>
        <w:ind w:left="1134" w:hanging="370"/>
        <w:rPr>
          <w:rFonts w:ascii="標楷體" w:eastAsia="標楷體" w:hAnsi="標楷體"/>
          <w:color w:val="000000"/>
        </w:rPr>
      </w:pPr>
      <w:r>
        <w:rPr>
          <w:rFonts w:ascii="標楷體" w:eastAsia="標楷體" w:hAnsi="標楷體"/>
          <w:color w:val="000000"/>
        </w:rPr>
        <w:t>Ⅱ.前述(2)之病患：每次申請療程以4個療程為限，再申請應檢附前次治療結果評估資料。若病人病情已達完全緩解，得再給付4個療程;若病情惡化即須停止使用。(106/4/1、109/2/1、111/2/1)</w:t>
      </w:r>
    </w:p>
    <w:p w:rsidR="00B96EA0" w:rsidRDefault="007D66B8" w:rsidP="005142EB">
      <w:pPr>
        <w:tabs>
          <w:tab w:val="left" w:pos="1418"/>
        </w:tabs>
        <w:spacing w:line="400" w:lineRule="exact"/>
        <w:ind w:left="1134" w:hanging="370"/>
        <w:rPr>
          <w:rFonts w:ascii="標楷體" w:eastAsia="標楷體" w:hAnsi="標楷體"/>
          <w:color w:val="000000"/>
        </w:rPr>
      </w:pPr>
      <w:r>
        <w:rPr>
          <w:rFonts w:ascii="標楷體" w:eastAsia="標楷體" w:hAnsi="標楷體"/>
          <w:color w:val="000000"/>
        </w:rPr>
        <w:t>Ⅲ.同一病患於前述(1)及(2)之終身給付療程數以總共16個療程為上限。(111/2/1)</w:t>
      </w:r>
    </w:p>
    <w:p w:rsidR="00B96EA0" w:rsidRDefault="007D66B8" w:rsidP="005142EB">
      <w:pPr>
        <w:spacing w:line="400" w:lineRule="exact"/>
        <w:ind w:left="993" w:hanging="370"/>
        <w:rPr>
          <w:rFonts w:ascii="標楷體" w:eastAsia="標楷體" w:hAnsi="標楷體"/>
          <w:color w:val="000000"/>
        </w:rPr>
      </w:pPr>
      <w:r>
        <w:rPr>
          <w:rFonts w:ascii="標楷體" w:eastAsia="標楷體" w:hAnsi="標楷體"/>
          <w:color w:val="000000"/>
        </w:rPr>
        <w:t>3.CD30+皮膚T細胞淋巴瘤(CTCL)：（111/2/1）</w:t>
      </w:r>
    </w:p>
    <w:p w:rsidR="00B96EA0" w:rsidRDefault="007D66B8" w:rsidP="005142EB">
      <w:pPr>
        <w:tabs>
          <w:tab w:val="left" w:pos="1418"/>
        </w:tabs>
        <w:spacing w:line="400" w:lineRule="exact"/>
        <w:ind w:left="993" w:hanging="370"/>
        <w:rPr>
          <w:rFonts w:ascii="標楷體" w:eastAsia="標楷體" w:hAnsi="標楷體"/>
          <w:color w:val="000000"/>
        </w:rPr>
      </w:pPr>
      <w:r>
        <w:rPr>
          <w:rFonts w:ascii="標楷體" w:eastAsia="標楷體" w:hAnsi="標楷體"/>
          <w:color w:val="000000"/>
        </w:rPr>
        <w:t>(1)單獨用於先前已接受照光療法與至少一種靜脈注射型之全身性化學藥物治療的CD30+皮膚T細胞淋巴瘤(CTCL)成人病人，病人須診斷為蕈狀肉芽腫 (MF，第ⅡB期或以上)、Sezary症候群(SS)或原發性皮膚退行分化型大細胞淋巴瘤（pcALCL），且CD30需於超過10%的腫瘤細胞呈現陽性。</w:t>
      </w:r>
    </w:p>
    <w:p w:rsidR="00B96EA0" w:rsidRDefault="007D66B8" w:rsidP="005142EB">
      <w:pPr>
        <w:tabs>
          <w:tab w:val="left" w:pos="1418"/>
        </w:tabs>
        <w:spacing w:line="400" w:lineRule="exact"/>
        <w:ind w:left="993" w:hanging="370"/>
        <w:rPr>
          <w:rFonts w:ascii="標楷體" w:eastAsia="標楷體" w:hAnsi="標楷體"/>
          <w:color w:val="000000"/>
        </w:rPr>
      </w:pPr>
      <w:r>
        <w:rPr>
          <w:rFonts w:ascii="標楷體" w:eastAsia="標楷體" w:hAnsi="標楷體"/>
          <w:color w:val="000000"/>
        </w:rPr>
        <w:lastRenderedPageBreak/>
        <w:t>(2)須經事前審查核准後使用，首次申請療程以4個療程為限，再申請應檢附前次治療結果評估資料。若病人病情已達完全緩解，得再給付2個療程；若病情惡化即須停止使用。健保給付以6個療程為上限。</w:t>
      </w:r>
    </w:p>
    <w:p w:rsidR="00B96EA0" w:rsidRDefault="007D66B8" w:rsidP="005142EB">
      <w:pPr>
        <w:tabs>
          <w:tab w:val="left" w:pos="1418"/>
        </w:tabs>
        <w:spacing w:line="400" w:lineRule="exact"/>
        <w:ind w:left="895" w:hanging="612"/>
        <w:rPr>
          <w:rFonts w:ascii="標楷體" w:eastAsia="標楷體" w:hAnsi="標楷體"/>
          <w:color w:val="000000"/>
        </w:rPr>
      </w:pPr>
      <w:r>
        <w:rPr>
          <w:rFonts w:ascii="標楷體" w:eastAsia="標楷體" w:hAnsi="標楷體"/>
          <w:color w:val="000000"/>
        </w:rPr>
        <w:t>9.57.Clofarabine（如Evoltra）：（106/1/1、109/12/1）</w:t>
      </w:r>
    </w:p>
    <w:p w:rsidR="00B96EA0" w:rsidRDefault="007D66B8" w:rsidP="005142EB">
      <w:pPr>
        <w:tabs>
          <w:tab w:val="left" w:pos="1418"/>
        </w:tabs>
        <w:spacing w:line="400" w:lineRule="exact"/>
        <w:ind w:left="849" w:hanging="283"/>
        <w:rPr>
          <w:rFonts w:ascii="標楷體" w:eastAsia="標楷體" w:hAnsi="標楷體"/>
          <w:color w:val="000000"/>
        </w:rPr>
      </w:pPr>
      <w:r>
        <w:rPr>
          <w:rFonts w:ascii="標楷體" w:eastAsia="標楷體" w:hAnsi="標楷體"/>
          <w:color w:val="000000"/>
        </w:rPr>
        <w:t>1.使用於先前接受至少兩種化療療程(如TPOG之療程表)治療無效或已復發第二次或以上之急性淋巴母細胞白血病(acute lymphoblastic leukemia)病，且計畫進行造血幹細胞移植的病人(限21歲以下)，每位病人限給付一療程。</w:t>
      </w:r>
    </w:p>
    <w:p w:rsidR="00B96EA0" w:rsidRDefault="007D66B8" w:rsidP="005142EB">
      <w:pPr>
        <w:tabs>
          <w:tab w:val="left" w:pos="1418"/>
        </w:tabs>
        <w:spacing w:line="400" w:lineRule="exact"/>
        <w:ind w:left="849" w:hanging="283"/>
        <w:rPr>
          <w:rFonts w:ascii="標楷體" w:eastAsia="標楷體" w:hAnsi="標楷體"/>
          <w:color w:val="000000"/>
        </w:rPr>
      </w:pPr>
      <w:r>
        <w:rPr>
          <w:rFonts w:ascii="標楷體" w:eastAsia="標楷體" w:hAnsi="標楷體"/>
          <w:color w:val="000000"/>
        </w:rPr>
        <w:t>2.須事前審查核准後使用，申請時須檢附完整之造血幹細胞移植計畫，並詳細記載確認捐贈者名單、確認移植之執行醫院及移植前調適治療等資料。</w:t>
      </w:r>
    </w:p>
    <w:p w:rsidR="00B96EA0" w:rsidRDefault="007D66B8" w:rsidP="005142EB">
      <w:pPr>
        <w:tabs>
          <w:tab w:val="left" w:pos="1418"/>
        </w:tabs>
        <w:spacing w:line="400" w:lineRule="exact"/>
        <w:ind w:left="849" w:hanging="283"/>
        <w:rPr>
          <w:rFonts w:ascii="標楷體" w:eastAsia="標楷體" w:hAnsi="標楷體"/>
          <w:color w:val="000000"/>
        </w:rPr>
      </w:pPr>
      <w:r>
        <w:rPr>
          <w:rFonts w:ascii="標楷體" w:eastAsia="標楷體" w:hAnsi="標楷體"/>
          <w:color w:val="000000"/>
        </w:rPr>
        <w:t>3.不得與blinatumomab併用。（109/12/1）</w:t>
      </w:r>
    </w:p>
    <w:p w:rsidR="00B96EA0" w:rsidRDefault="007D66B8" w:rsidP="005142EB">
      <w:pPr>
        <w:tabs>
          <w:tab w:val="left" w:pos="1418"/>
        </w:tabs>
        <w:spacing w:line="400" w:lineRule="exact"/>
        <w:ind w:left="849" w:hanging="566"/>
      </w:pPr>
      <w:r>
        <w:rPr>
          <w:rFonts w:ascii="標楷體" w:eastAsia="標楷體" w:hAnsi="標楷體"/>
          <w:color w:val="000000"/>
        </w:rPr>
        <w:t>9.58.Axitinib(如Inlyta)</w:t>
      </w:r>
      <w:r>
        <w:rPr>
          <w:rFonts w:ascii="新細明體" w:hAnsi="新細明體"/>
          <w:color w:val="000000"/>
        </w:rPr>
        <w:t>：</w:t>
      </w:r>
      <w:r>
        <w:rPr>
          <w:rFonts w:ascii="標楷體" w:eastAsia="標楷體" w:hAnsi="標楷體"/>
          <w:color w:val="000000"/>
        </w:rPr>
        <w:t>（106/1/1、108/12/1）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1.治療已接受過sunitinib或cytokine治療失敗的晚期腎細胞癌病患。</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2.無效後則不給付temsirolimus。(108/12/1)</w:t>
      </w:r>
    </w:p>
    <w:p w:rsidR="00B96EA0" w:rsidRDefault="007D66B8" w:rsidP="005142EB">
      <w:pPr>
        <w:tabs>
          <w:tab w:val="left" w:pos="1418"/>
        </w:tabs>
        <w:spacing w:line="400" w:lineRule="exact"/>
        <w:ind w:left="567" w:hanging="245"/>
        <w:rPr>
          <w:rFonts w:ascii="標楷體" w:eastAsia="標楷體" w:hAnsi="標楷體"/>
          <w:color w:val="000000"/>
        </w:rPr>
      </w:pPr>
      <w:r>
        <w:rPr>
          <w:rFonts w:ascii="標楷體" w:eastAsia="標楷體" w:hAnsi="標楷體"/>
          <w:color w:val="000000"/>
        </w:rPr>
        <w:t>3.需經事前審查核准後使用，每次申請之療程以3個月為限，送審時需檢送影像資料，每3個月評估一次。</w:t>
      </w:r>
    </w:p>
    <w:p w:rsidR="00B96EA0" w:rsidRDefault="007D66B8" w:rsidP="005142EB">
      <w:pPr>
        <w:tabs>
          <w:tab w:val="left" w:pos="1418"/>
        </w:tabs>
        <w:spacing w:line="400" w:lineRule="exact"/>
        <w:ind w:left="567" w:hanging="245"/>
      </w:pPr>
      <w:r>
        <w:rPr>
          <w:rFonts w:ascii="標楷體" w:eastAsia="標楷體" w:hAnsi="標楷體"/>
        </w:rPr>
        <w:t>9.59.Ceritinib(如Zykadia)：(106/9/1、106/11/1、108/7/1、108/12/1、111/2/1、111/8/1、112/11/1、113/6/1)</w:t>
      </w:r>
    </w:p>
    <w:p w:rsidR="00B96EA0" w:rsidRDefault="007D66B8" w:rsidP="005142EB">
      <w:pPr>
        <w:pStyle w:val="a9"/>
        <w:numPr>
          <w:ilvl w:val="0"/>
          <w:numId w:val="2"/>
        </w:numPr>
        <w:suppressAutoHyphens w:val="0"/>
        <w:spacing w:line="400" w:lineRule="exact"/>
        <w:ind w:left="991"/>
        <w:textAlignment w:val="auto"/>
        <w:rPr>
          <w:rFonts w:ascii="標楷體" w:eastAsia="標楷體" w:hAnsi="標楷體"/>
        </w:rPr>
      </w:pPr>
      <w:r>
        <w:rPr>
          <w:rFonts w:ascii="標楷體" w:eastAsia="標楷體" w:hAnsi="標楷體"/>
        </w:rPr>
        <w:t>適用於ALK陽性之晚期非小細胞肺癌第一線治療。(108/7/1、111/8/1)</w:t>
      </w:r>
    </w:p>
    <w:p w:rsidR="00B96EA0" w:rsidRDefault="007D66B8" w:rsidP="005142EB">
      <w:pPr>
        <w:pStyle w:val="a9"/>
        <w:numPr>
          <w:ilvl w:val="0"/>
          <w:numId w:val="2"/>
        </w:numPr>
        <w:suppressAutoHyphens w:val="0"/>
        <w:spacing w:line="400" w:lineRule="exact"/>
        <w:ind w:left="991"/>
        <w:textAlignment w:val="auto"/>
        <w:rPr>
          <w:rFonts w:ascii="標楷體" w:eastAsia="標楷體" w:hAnsi="標楷體"/>
        </w:rPr>
      </w:pPr>
      <w:r>
        <w:rPr>
          <w:rFonts w:ascii="標楷體" w:eastAsia="標楷體" w:hAnsi="標楷體"/>
        </w:rPr>
        <w:t>須經事前審查核准後使用：</w:t>
      </w:r>
    </w:p>
    <w:p w:rsidR="00B96EA0" w:rsidRDefault="007D66B8" w:rsidP="005142EB">
      <w:pPr>
        <w:pStyle w:val="a9"/>
        <w:numPr>
          <w:ilvl w:val="1"/>
          <w:numId w:val="2"/>
        </w:numPr>
        <w:suppressAutoHyphens w:val="0"/>
        <w:spacing w:line="400" w:lineRule="exact"/>
        <w:ind w:left="991"/>
        <w:textAlignment w:val="auto"/>
        <w:rPr>
          <w:rFonts w:ascii="標楷體" w:eastAsia="標楷體" w:hAnsi="標楷體"/>
        </w:rPr>
      </w:pPr>
      <w:r>
        <w:rPr>
          <w:rFonts w:ascii="標楷體" w:eastAsia="標楷體" w:hAnsi="標楷體"/>
        </w:rPr>
        <w:t>每次申請事前審查之療程以三個月為限，每三個月需再次申請。</w:t>
      </w:r>
    </w:p>
    <w:p w:rsidR="00B96EA0" w:rsidRDefault="007D66B8" w:rsidP="005142EB">
      <w:pPr>
        <w:pStyle w:val="a9"/>
        <w:numPr>
          <w:ilvl w:val="1"/>
          <w:numId w:val="2"/>
        </w:numPr>
        <w:suppressAutoHyphens w:val="0"/>
        <w:spacing w:line="400" w:lineRule="exact"/>
        <w:ind w:left="991"/>
        <w:textAlignment w:val="auto"/>
        <w:rPr>
          <w:rFonts w:ascii="標楷體" w:eastAsia="標楷體" w:hAnsi="標楷體"/>
        </w:rPr>
      </w:pPr>
      <w:r>
        <w:rPr>
          <w:rFonts w:ascii="標楷體" w:eastAsia="標楷體" w:hAnsi="標楷體"/>
        </w:rPr>
        <w:t>初次申請時需檢具確實患有非小細胞肺癌之病理或細胞檢查報告及ALK突變檢測報告，且需符合全民健康保險藥品給付規定之通則十二。(108/12/1、111/2/1、113/6/1)</w:t>
      </w:r>
    </w:p>
    <w:p w:rsidR="00B96EA0" w:rsidRDefault="007D66B8" w:rsidP="005142EB">
      <w:pPr>
        <w:pStyle w:val="a9"/>
        <w:numPr>
          <w:ilvl w:val="1"/>
          <w:numId w:val="2"/>
        </w:numPr>
        <w:suppressAutoHyphens w:val="0"/>
        <w:spacing w:line="400" w:lineRule="exact"/>
        <w:ind w:left="991"/>
        <w:textAlignment w:val="auto"/>
        <w:rPr>
          <w:rFonts w:ascii="標楷體" w:eastAsia="標楷體" w:hAnsi="標楷體"/>
        </w:rPr>
      </w:pPr>
      <w:r>
        <w:rPr>
          <w:rFonts w:ascii="標楷體" w:eastAsia="標楷體" w:hAnsi="標楷體"/>
        </w:rPr>
        <w:t>再次申請時並需附上治療後相關臨床資料，如給藥4週後，需追蹤胸部X光或電腦斷層等影像檢查評估療效，往後每4週做胸部X光檢查，每3個月需追蹤其作為評估藥效的影像（如胸部X光或電腦斷層），若病情惡化即不得再次申請。(108/12/1、112/11/1)</w:t>
      </w:r>
    </w:p>
    <w:p w:rsidR="00B96EA0" w:rsidRDefault="007D66B8" w:rsidP="005142EB">
      <w:pPr>
        <w:pStyle w:val="a9"/>
        <w:numPr>
          <w:ilvl w:val="0"/>
          <w:numId w:val="2"/>
        </w:numPr>
        <w:suppressAutoHyphens w:val="0"/>
        <w:spacing w:line="400" w:lineRule="exact"/>
        <w:ind w:left="991"/>
        <w:textAlignment w:val="auto"/>
        <w:rPr>
          <w:rFonts w:ascii="標楷體" w:eastAsia="標楷體" w:hAnsi="標楷體"/>
        </w:rPr>
      </w:pPr>
      <w:r>
        <w:rPr>
          <w:rFonts w:ascii="標楷體" w:eastAsia="標楷體" w:hAnsi="標楷體"/>
        </w:rPr>
        <w:t>Ceritinib與crizotinib、alectinib、brigatinib、lorlatinib用於ALK陽性之晚期非小細胞肺癌第一線治療時，僅得擇一使用，除因病人使用後，發生嚴重不良反應或耐受不良之情形外，不得互換。(108/7/1、108/12/1、111/8/1、112/11/1)</w:t>
      </w:r>
    </w:p>
    <w:p w:rsidR="00B96EA0" w:rsidRDefault="007D66B8" w:rsidP="005142EB">
      <w:pPr>
        <w:pStyle w:val="a9"/>
        <w:numPr>
          <w:ilvl w:val="0"/>
          <w:numId w:val="2"/>
        </w:numPr>
        <w:suppressAutoHyphens w:val="0"/>
        <w:spacing w:line="400" w:lineRule="exact"/>
        <w:ind w:left="991"/>
        <w:textAlignment w:val="auto"/>
        <w:rPr>
          <w:rFonts w:ascii="標楷體" w:eastAsia="標楷體" w:hAnsi="標楷體"/>
        </w:rPr>
      </w:pPr>
      <w:r>
        <w:rPr>
          <w:rFonts w:ascii="標楷體" w:eastAsia="標楷體" w:hAnsi="標楷體"/>
        </w:rPr>
        <w:t>每日最大劑量限450mg。(108/7/1)</w:t>
      </w:r>
    </w:p>
    <w:p w:rsidR="00B96EA0" w:rsidRDefault="007D66B8" w:rsidP="005142EB">
      <w:pPr>
        <w:pStyle w:val="a9"/>
        <w:suppressAutoHyphens w:val="0"/>
        <w:spacing w:line="400" w:lineRule="exact"/>
        <w:ind w:left="283"/>
        <w:textAlignment w:val="auto"/>
        <w:rPr>
          <w:rFonts w:ascii="標楷體" w:eastAsia="標楷體" w:hAnsi="標楷體"/>
        </w:rPr>
      </w:pPr>
      <w:r>
        <w:rPr>
          <w:rFonts w:ascii="標楷體" w:eastAsia="標楷體" w:hAnsi="標楷體"/>
        </w:rPr>
        <w:t>9.60.Alectinib(如Alecensa)：(106/11/1、108/12/1、111/2/1、111/8/1、112/11/1、113/6/1)</w:t>
      </w:r>
    </w:p>
    <w:p w:rsidR="00B96EA0" w:rsidRDefault="007D66B8" w:rsidP="005142EB">
      <w:pPr>
        <w:pStyle w:val="a9"/>
        <w:numPr>
          <w:ilvl w:val="0"/>
          <w:numId w:val="3"/>
        </w:numPr>
        <w:suppressAutoHyphens w:val="0"/>
        <w:spacing w:line="400" w:lineRule="exact"/>
        <w:ind w:left="884" w:hanging="284"/>
        <w:textAlignment w:val="auto"/>
        <w:rPr>
          <w:rFonts w:ascii="標楷體" w:eastAsia="標楷體" w:hAnsi="標楷體"/>
        </w:rPr>
      </w:pPr>
      <w:r>
        <w:rPr>
          <w:rFonts w:ascii="標楷體" w:eastAsia="標楷體" w:hAnsi="標楷體"/>
        </w:rPr>
        <w:t>適用於ALK陽性之晚期非小細胞肺癌第一線治療。(108/12/1、111/8/1)</w:t>
      </w:r>
    </w:p>
    <w:p w:rsidR="00B96EA0" w:rsidRDefault="007D66B8" w:rsidP="005142EB">
      <w:pPr>
        <w:pStyle w:val="a9"/>
        <w:numPr>
          <w:ilvl w:val="0"/>
          <w:numId w:val="3"/>
        </w:numPr>
        <w:suppressAutoHyphens w:val="0"/>
        <w:spacing w:line="400" w:lineRule="exact"/>
        <w:ind w:left="884" w:hanging="284"/>
        <w:textAlignment w:val="auto"/>
        <w:rPr>
          <w:rFonts w:ascii="標楷體" w:eastAsia="標楷體" w:hAnsi="標楷體"/>
        </w:rPr>
      </w:pPr>
      <w:r>
        <w:rPr>
          <w:rFonts w:ascii="標楷體" w:eastAsia="標楷體" w:hAnsi="標楷體"/>
        </w:rPr>
        <w:t>須經事前審查核准後使用:</w:t>
      </w:r>
    </w:p>
    <w:p w:rsidR="00B96EA0" w:rsidRDefault="007D66B8" w:rsidP="005142EB">
      <w:pPr>
        <w:pStyle w:val="a9"/>
        <w:numPr>
          <w:ilvl w:val="1"/>
          <w:numId w:val="3"/>
        </w:numPr>
        <w:suppressAutoHyphens w:val="0"/>
        <w:spacing w:line="400" w:lineRule="exact"/>
        <w:ind w:left="1068"/>
        <w:textAlignment w:val="auto"/>
        <w:rPr>
          <w:rFonts w:ascii="標楷體" w:eastAsia="標楷體" w:hAnsi="標楷體"/>
        </w:rPr>
      </w:pPr>
      <w:r>
        <w:rPr>
          <w:rFonts w:ascii="標楷體" w:eastAsia="標楷體" w:hAnsi="標楷體"/>
        </w:rPr>
        <w:t>每次申請事前審查之療程以三個月為限，每三個月需再次申請。</w:t>
      </w:r>
    </w:p>
    <w:p w:rsidR="00B96EA0" w:rsidRDefault="007D66B8" w:rsidP="005142EB">
      <w:pPr>
        <w:pStyle w:val="a9"/>
        <w:numPr>
          <w:ilvl w:val="1"/>
          <w:numId w:val="3"/>
        </w:numPr>
        <w:suppressAutoHyphens w:val="0"/>
        <w:spacing w:line="400" w:lineRule="exact"/>
        <w:ind w:left="1068"/>
        <w:textAlignment w:val="auto"/>
        <w:rPr>
          <w:rFonts w:ascii="標楷體" w:eastAsia="標楷體" w:hAnsi="標楷體"/>
        </w:rPr>
      </w:pPr>
      <w:r>
        <w:rPr>
          <w:rFonts w:ascii="標楷體" w:eastAsia="標楷體" w:hAnsi="標楷體"/>
        </w:rPr>
        <w:lastRenderedPageBreak/>
        <w:t>初次申請時需檢具確實患有非小細胞肺癌之病理或細胞檢查報告及ALK突變檢測報告，且需符合全民健康保險藥品給付規定之通則十二。(108/12/1、111/2/1、113/6/1)</w:t>
      </w:r>
    </w:p>
    <w:p w:rsidR="00B96EA0" w:rsidRDefault="007D66B8" w:rsidP="005142EB">
      <w:pPr>
        <w:pStyle w:val="a9"/>
        <w:numPr>
          <w:ilvl w:val="1"/>
          <w:numId w:val="3"/>
        </w:numPr>
        <w:suppressAutoHyphens w:val="0"/>
        <w:spacing w:line="400" w:lineRule="exact"/>
        <w:ind w:left="1068"/>
        <w:textAlignment w:val="auto"/>
        <w:rPr>
          <w:rFonts w:ascii="標楷體" w:eastAsia="標楷體" w:hAnsi="標楷體"/>
        </w:rPr>
      </w:pPr>
      <w:r>
        <w:rPr>
          <w:rFonts w:ascii="標楷體" w:eastAsia="標楷體" w:hAnsi="標楷體"/>
        </w:rPr>
        <w:t>再次申請時並需附上治療後相關臨床資料，如給藥4週後，需追蹤胸部X光或電腦斷層等影像檢查評估療效，往後每4週做胸部X光檢查，每3個月需追蹤其作為評估藥效的影像（如胸部X光或電腦斷層），若病情惡化即不得再次申請。(112/11/1)</w:t>
      </w:r>
    </w:p>
    <w:p w:rsidR="00B96EA0" w:rsidRDefault="007D66B8" w:rsidP="005142EB">
      <w:pPr>
        <w:pStyle w:val="a9"/>
        <w:numPr>
          <w:ilvl w:val="0"/>
          <w:numId w:val="3"/>
        </w:numPr>
        <w:suppressAutoHyphens w:val="0"/>
        <w:spacing w:line="400" w:lineRule="exact"/>
        <w:ind w:left="884" w:hanging="284"/>
        <w:textAlignment w:val="auto"/>
        <w:rPr>
          <w:rFonts w:ascii="標楷體" w:eastAsia="標楷體" w:hAnsi="標楷體"/>
        </w:rPr>
      </w:pPr>
      <w:r>
        <w:rPr>
          <w:rFonts w:ascii="標楷體" w:eastAsia="標楷體" w:hAnsi="標楷體"/>
        </w:rPr>
        <w:t>Alectinib與ceritinib、crizotinib、brigatinib、lorlatinib用於ALK陽性之晚期非小細胞肺癌第一線治療時，僅得擇一使用，除因病人使用後，發生嚴重不良反應或耐受不良之情形外，不得互換。(108/12/1、111/8/1、112/11/1)</w:t>
      </w:r>
    </w:p>
    <w:p w:rsidR="00B96EA0" w:rsidRDefault="007D66B8" w:rsidP="005142EB">
      <w:pPr>
        <w:pStyle w:val="a9"/>
        <w:numPr>
          <w:ilvl w:val="0"/>
          <w:numId w:val="3"/>
        </w:numPr>
        <w:suppressAutoHyphens w:val="0"/>
        <w:spacing w:line="400" w:lineRule="exact"/>
        <w:ind w:left="884" w:hanging="284"/>
        <w:textAlignment w:val="auto"/>
        <w:rPr>
          <w:rFonts w:ascii="標楷體" w:eastAsia="標楷體" w:hAnsi="標楷體"/>
        </w:rPr>
      </w:pPr>
      <w:r>
        <w:rPr>
          <w:rFonts w:ascii="標楷體" w:eastAsia="標楷體" w:hAnsi="標楷體"/>
        </w:rPr>
        <w:t>每日最大劑量限1200mg。(108/12/1)</w:t>
      </w:r>
    </w:p>
    <w:p w:rsidR="004C3CC5" w:rsidRPr="004C3CC5" w:rsidRDefault="004C3CC5" w:rsidP="00DD360F">
      <w:pPr>
        <w:tabs>
          <w:tab w:val="left" w:pos="1418"/>
        </w:tabs>
        <w:spacing w:line="400" w:lineRule="exact"/>
        <w:ind w:left="709" w:hanging="339"/>
        <w:rPr>
          <w:rFonts w:ascii="標楷體" w:eastAsia="標楷體" w:hAnsi="標楷體"/>
          <w:color w:val="000000"/>
        </w:rPr>
      </w:pPr>
      <w:bookmarkStart w:id="14" w:name="_Hlk209189883"/>
      <w:r w:rsidRPr="004C3CC5">
        <w:rPr>
          <w:rFonts w:ascii="標楷體" w:eastAsia="標楷體" w:hAnsi="標楷體" w:hint="eastAsia"/>
          <w:color w:val="000000"/>
        </w:rPr>
        <w:t>9.61.Ibrutinib(如Imbruvica)：(106/11/1、108/9/1、111/1/1、112/7/1、112/12/1、113/2/1、114/10/1)</w:t>
      </w:r>
    </w:p>
    <w:p w:rsidR="004C3CC5" w:rsidRPr="004C3CC5" w:rsidRDefault="004C3CC5" w:rsidP="00DD360F">
      <w:pPr>
        <w:tabs>
          <w:tab w:val="left" w:pos="1418"/>
        </w:tabs>
        <w:spacing w:line="400" w:lineRule="exact"/>
        <w:ind w:left="993" w:hanging="339"/>
        <w:rPr>
          <w:rFonts w:ascii="標楷體" w:eastAsia="標楷體" w:hAnsi="標楷體"/>
          <w:color w:val="000000"/>
        </w:rPr>
      </w:pPr>
      <w:r w:rsidRPr="004C3CC5">
        <w:rPr>
          <w:rFonts w:ascii="標楷體" w:eastAsia="標楷體" w:hAnsi="標楷體" w:hint="eastAsia"/>
          <w:color w:val="000000"/>
        </w:rPr>
        <w:t>1. 單獨使用於先前接受過至少一種化學或標靶治療方式無效或復發的被套細胞淋巴瘤成年病人。（106/11/1、112/7/1、112/12/1)</w:t>
      </w:r>
    </w:p>
    <w:p w:rsidR="004C3CC5" w:rsidRPr="004C3CC5" w:rsidRDefault="004C3CC5" w:rsidP="00DD360F">
      <w:pPr>
        <w:tabs>
          <w:tab w:val="left" w:pos="1418"/>
        </w:tabs>
        <w:spacing w:line="400" w:lineRule="exact"/>
        <w:ind w:left="1134" w:hanging="339"/>
        <w:rPr>
          <w:rFonts w:ascii="標楷體" w:eastAsia="標楷體" w:hAnsi="標楷體"/>
          <w:color w:val="000000"/>
        </w:rPr>
      </w:pPr>
      <w:r w:rsidRPr="004C3CC5">
        <w:rPr>
          <w:rFonts w:ascii="標楷體" w:eastAsia="標楷體" w:hAnsi="標楷體" w:hint="eastAsia"/>
          <w:color w:val="000000"/>
        </w:rPr>
        <w:t>(1)需經事前審查核准後使用。首次申請事前審查之療程以4個月為限，之後每3個月需再次申請，再次申請時應檢附前次治療結果評估資料，如影像學檢查報告。</w:t>
      </w:r>
    </w:p>
    <w:p w:rsidR="004C3CC5" w:rsidRPr="004C3CC5" w:rsidRDefault="004C3CC5" w:rsidP="00DD360F">
      <w:pPr>
        <w:tabs>
          <w:tab w:val="left" w:pos="1418"/>
        </w:tabs>
        <w:spacing w:line="400" w:lineRule="exact"/>
        <w:ind w:left="1134" w:hanging="339"/>
        <w:rPr>
          <w:rFonts w:ascii="標楷體" w:eastAsia="標楷體" w:hAnsi="標楷體"/>
          <w:color w:val="000000"/>
        </w:rPr>
      </w:pPr>
      <w:r w:rsidRPr="004C3CC5">
        <w:rPr>
          <w:rFonts w:ascii="標楷體" w:eastAsia="標楷體" w:hAnsi="標楷體" w:hint="eastAsia"/>
          <w:color w:val="000000"/>
        </w:rPr>
        <w:t xml:space="preserve">(2) 若疾病進展，則必須停止使用。（106/11/1、112/7/1) </w:t>
      </w:r>
    </w:p>
    <w:p w:rsidR="004C3CC5" w:rsidRPr="004C3CC5" w:rsidRDefault="004C3CC5" w:rsidP="00DD360F">
      <w:pPr>
        <w:tabs>
          <w:tab w:val="left" w:pos="1418"/>
        </w:tabs>
        <w:spacing w:line="400" w:lineRule="exact"/>
        <w:ind w:left="1134" w:hanging="339"/>
        <w:rPr>
          <w:rFonts w:ascii="標楷體" w:eastAsia="標楷體" w:hAnsi="標楷體"/>
          <w:color w:val="000000"/>
        </w:rPr>
      </w:pPr>
      <w:r w:rsidRPr="004C3CC5">
        <w:rPr>
          <w:rFonts w:ascii="標楷體" w:eastAsia="標楷體" w:hAnsi="標楷體" w:hint="eastAsia"/>
          <w:color w:val="000000"/>
        </w:rPr>
        <w:t>(3)每位病人限給付20個月。(111/1/1)</w:t>
      </w:r>
    </w:p>
    <w:p w:rsidR="004C3CC5" w:rsidRPr="004C3CC5" w:rsidRDefault="004C3CC5" w:rsidP="00DD360F">
      <w:pPr>
        <w:tabs>
          <w:tab w:val="left" w:pos="1418"/>
        </w:tabs>
        <w:spacing w:line="400" w:lineRule="exact"/>
        <w:ind w:left="1134" w:hanging="339"/>
        <w:rPr>
          <w:rFonts w:ascii="標楷體" w:eastAsia="標楷體" w:hAnsi="標楷體"/>
          <w:color w:val="000000"/>
        </w:rPr>
      </w:pPr>
      <w:r w:rsidRPr="004C3CC5">
        <w:rPr>
          <w:rFonts w:ascii="標楷體" w:eastAsia="標楷體" w:hAnsi="標楷體" w:hint="eastAsia"/>
          <w:color w:val="000000"/>
        </w:rPr>
        <w:t>(4)每日至多處方4粒。(108/9/1)</w:t>
      </w:r>
    </w:p>
    <w:p w:rsidR="004C3CC5" w:rsidRPr="004C3CC5" w:rsidRDefault="004C3CC5" w:rsidP="00DD360F">
      <w:pPr>
        <w:tabs>
          <w:tab w:val="left" w:pos="1418"/>
        </w:tabs>
        <w:spacing w:line="400" w:lineRule="exact"/>
        <w:ind w:left="1134" w:hanging="339"/>
        <w:rPr>
          <w:rFonts w:ascii="標楷體" w:eastAsia="標楷體" w:hAnsi="標楷體"/>
          <w:color w:val="000000"/>
        </w:rPr>
      </w:pPr>
      <w:r w:rsidRPr="004C3CC5">
        <w:rPr>
          <w:rFonts w:ascii="標楷體" w:eastAsia="標楷體" w:hAnsi="標楷體" w:hint="eastAsia"/>
          <w:color w:val="000000"/>
        </w:rPr>
        <w:t>(5)zanubrutinib、ibrutinib和acalabrutinib僅能擇一使用，唯有在出現無法忍受其副作用時方可互換。三者使用總療程合併計算，以全部20個月為上限。（112/7/1、112/12/1）</w:t>
      </w:r>
    </w:p>
    <w:p w:rsidR="004C3CC5" w:rsidRPr="004C3CC5" w:rsidRDefault="004C3CC5" w:rsidP="00DD360F">
      <w:pPr>
        <w:tabs>
          <w:tab w:val="left" w:pos="1418"/>
        </w:tabs>
        <w:spacing w:line="400" w:lineRule="exact"/>
        <w:ind w:left="993" w:hanging="339"/>
        <w:rPr>
          <w:rFonts w:ascii="標楷體" w:eastAsia="標楷體" w:hAnsi="標楷體"/>
          <w:color w:val="000000"/>
        </w:rPr>
      </w:pPr>
      <w:r w:rsidRPr="004C3CC5">
        <w:rPr>
          <w:rFonts w:ascii="標楷體" w:eastAsia="標楷體" w:hAnsi="標楷體" w:hint="eastAsia"/>
          <w:color w:val="000000"/>
        </w:rPr>
        <w:t>2.單獨使用於具有17p 缺失的慢性淋巴球性白血病(CLL) 成年患者。(108/9/1、112/7/1、113/2/1、114/10/1)</w:t>
      </w:r>
    </w:p>
    <w:p w:rsidR="004C3CC5" w:rsidRPr="004C3CC5" w:rsidRDefault="004C3CC5" w:rsidP="004C3CC5">
      <w:pPr>
        <w:tabs>
          <w:tab w:val="left" w:pos="1418"/>
        </w:tabs>
        <w:spacing w:line="400" w:lineRule="exact"/>
        <w:ind w:left="1190" w:hanging="339"/>
        <w:rPr>
          <w:rFonts w:ascii="標楷體" w:eastAsia="標楷體" w:hAnsi="標楷體"/>
          <w:color w:val="000000"/>
        </w:rPr>
      </w:pPr>
      <w:r w:rsidRPr="004C3CC5">
        <w:rPr>
          <w:rFonts w:ascii="標楷體" w:eastAsia="標楷體" w:hAnsi="標楷體" w:hint="eastAsia"/>
          <w:color w:val="000000"/>
        </w:rPr>
        <w:t>(1)開始使用前之疾病狀態需出現下列任一情形：</w:t>
      </w:r>
    </w:p>
    <w:p w:rsidR="004C3CC5" w:rsidRPr="004C3CC5" w:rsidRDefault="004C3CC5" w:rsidP="00DD360F">
      <w:pPr>
        <w:tabs>
          <w:tab w:val="left" w:pos="1418"/>
        </w:tabs>
        <w:spacing w:line="400" w:lineRule="exact"/>
        <w:ind w:leftChars="473" w:left="1416" w:hangingChars="117" w:hanging="281"/>
        <w:rPr>
          <w:rFonts w:ascii="標楷體" w:eastAsia="標楷體" w:hAnsi="標楷體"/>
          <w:color w:val="000000"/>
        </w:rPr>
      </w:pPr>
      <w:r w:rsidRPr="004C3CC5">
        <w:rPr>
          <w:rFonts w:ascii="標楷體" w:eastAsia="標楷體" w:hAnsi="標楷體" w:hint="eastAsia"/>
          <w:color w:val="000000"/>
        </w:rPr>
        <w:t>I.</w:t>
      </w:r>
      <w:r w:rsidRPr="004C3CC5">
        <w:rPr>
          <w:rFonts w:ascii="標楷體" w:eastAsia="標楷體" w:hAnsi="標楷體" w:hint="eastAsia"/>
          <w:color w:val="000000"/>
        </w:rPr>
        <w:tab/>
        <w:t>進行性的血液相惡化至Hb &lt; 10.0 gm/dL或PLT &lt; 100 K/uL，且無其他原因可以解釋。</w:t>
      </w:r>
    </w:p>
    <w:p w:rsidR="004C3CC5" w:rsidRPr="004C3CC5" w:rsidRDefault="004C3CC5" w:rsidP="00DD360F">
      <w:pPr>
        <w:tabs>
          <w:tab w:val="left" w:pos="1418"/>
        </w:tabs>
        <w:spacing w:line="400" w:lineRule="exact"/>
        <w:ind w:leftChars="473" w:left="1416" w:hangingChars="117" w:hanging="281"/>
        <w:rPr>
          <w:rFonts w:ascii="標楷體" w:eastAsia="標楷體" w:hAnsi="標楷體"/>
          <w:color w:val="000000"/>
        </w:rPr>
      </w:pPr>
      <w:r w:rsidRPr="004C3CC5">
        <w:rPr>
          <w:rFonts w:ascii="標楷體" w:eastAsia="標楷體" w:hAnsi="標楷體" w:hint="eastAsia"/>
          <w:color w:val="000000"/>
        </w:rPr>
        <w:t>II.脾臟腫大超過左肋骨下緣6 cm。</w:t>
      </w:r>
    </w:p>
    <w:p w:rsidR="004C3CC5" w:rsidRPr="004C3CC5" w:rsidRDefault="004C3CC5" w:rsidP="00DD360F">
      <w:pPr>
        <w:tabs>
          <w:tab w:val="left" w:pos="1418"/>
        </w:tabs>
        <w:spacing w:line="400" w:lineRule="exact"/>
        <w:ind w:leftChars="473" w:left="1416" w:hangingChars="117" w:hanging="281"/>
        <w:rPr>
          <w:rFonts w:ascii="標楷體" w:eastAsia="標楷體" w:hAnsi="標楷體"/>
          <w:color w:val="000000"/>
        </w:rPr>
      </w:pPr>
      <w:r w:rsidRPr="004C3CC5">
        <w:rPr>
          <w:rFonts w:ascii="標楷體" w:eastAsia="標楷體" w:hAnsi="標楷體" w:hint="eastAsia"/>
          <w:color w:val="000000"/>
        </w:rPr>
        <w:t>III.淋巴結腫大，最長徑超過10 cm。</w:t>
      </w:r>
    </w:p>
    <w:p w:rsidR="004C3CC5" w:rsidRPr="004C3CC5" w:rsidRDefault="004C3CC5" w:rsidP="00DD360F">
      <w:pPr>
        <w:tabs>
          <w:tab w:val="left" w:pos="1418"/>
        </w:tabs>
        <w:spacing w:line="400" w:lineRule="exact"/>
        <w:ind w:leftChars="473" w:left="1416" w:hangingChars="117" w:hanging="281"/>
        <w:rPr>
          <w:rFonts w:ascii="標楷體" w:eastAsia="標楷體" w:hAnsi="標楷體"/>
          <w:color w:val="000000"/>
        </w:rPr>
      </w:pPr>
      <w:r w:rsidRPr="004C3CC5">
        <w:rPr>
          <w:rFonts w:ascii="標楷體" w:eastAsia="標楷體" w:hAnsi="標楷體" w:hint="eastAsia"/>
          <w:color w:val="000000"/>
        </w:rPr>
        <w:t>IV.周邊血液淋巴球在2個月內增加 50%以上，或倍增時間(doubling time)小於6個月。</w:t>
      </w:r>
    </w:p>
    <w:p w:rsidR="004C3CC5" w:rsidRPr="004C3CC5" w:rsidRDefault="004C3CC5" w:rsidP="00DD360F">
      <w:pPr>
        <w:tabs>
          <w:tab w:val="left" w:pos="1418"/>
        </w:tabs>
        <w:spacing w:line="400" w:lineRule="exact"/>
        <w:ind w:leftChars="473" w:left="1416" w:hangingChars="117" w:hanging="281"/>
        <w:rPr>
          <w:rFonts w:ascii="標楷體" w:eastAsia="標楷體" w:hAnsi="標楷體"/>
          <w:color w:val="000000"/>
        </w:rPr>
      </w:pPr>
      <w:r w:rsidRPr="004C3CC5">
        <w:rPr>
          <w:rFonts w:ascii="標楷體" w:eastAsia="標楷體" w:hAnsi="標楷體" w:hint="eastAsia"/>
          <w:color w:val="000000"/>
        </w:rPr>
        <w:t>V.</w:t>
      </w:r>
      <w:r w:rsidRPr="004C3CC5">
        <w:rPr>
          <w:rFonts w:ascii="標楷體" w:eastAsia="標楷體" w:hAnsi="標楷體" w:hint="eastAsia"/>
          <w:color w:val="000000"/>
        </w:rPr>
        <w:tab/>
        <w:t>出現自體免疫併發症，且經類固醇治療無效。</w:t>
      </w:r>
    </w:p>
    <w:p w:rsidR="004C3CC5" w:rsidRPr="004C3CC5" w:rsidRDefault="004C3CC5" w:rsidP="00DD360F">
      <w:pPr>
        <w:tabs>
          <w:tab w:val="left" w:pos="1418"/>
        </w:tabs>
        <w:spacing w:line="400" w:lineRule="exact"/>
        <w:ind w:leftChars="473" w:left="1416" w:hangingChars="117" w:hanging="281"/>
        <w:rPr>
          <w:rFonts w:ascii="標楷體" w:eastAsia="標楷體" w:hAnsi="標楷體"/>
          <w:color w:val="000000"/>
        </w:rPr>
      </w:pPr>
      <w:r w:rsidRPr="004C3CC5">
        <w:rPr>
          <w:rFonts w:ascii="標楷體" w:eastAsia="標楷體" w:hAnsi="標楷體" w:hint="eastAsia"/>
          <w:color w:val="000000"/>
        </w:rPr>
        <w:t>VI.出現具症狀的淋巴結外病灶。</w:t>
      </w:r>
    </w:p>
    <w:p w:rsidR="004C3CC5" w:rsidRPr="004C3CC5" w:rsidRDefault="004C3CC5" w:rsidP="004C3CC5">
      <w:pPr>
        <w:tabs>
          <w:tab w:val="left" w:pos="1418"/>
        </w:tabs>
        <w:spacing w:line="400" w:lineRule="exact"/>
        <w:ind w:left="1190" w:hanging="339"/>
        <w:rPr>
          <w:rFonts w:ascii="標楷體" w:eastAsia="標楷體" w:hAnsi="標楷體"/>
          <w:color w:val="000000"/>
        </w:rPr>
      </w:pPr>
      <w:r w:rsidRPr="004C3CC5">
        <w:rPr>
          <w:rFonts w:ascii="標楷體" w:eastAsia="標楷體" w:hAnsi="標楷體" w:hint="eastAsia"/>
          <w:color w:val="000000"/>
        </w:rPr>
        <w:t xml:space="preserve">(2)需經事前審查核准後使用，每3個月需再次申請。再次申請時需檢附療效評估資料，若未達iwCLL (International Workshop on CLL)最新定義之partial </w:t>
      </w:r>
      <w:r w:rsidRPr="004C3CC5">
        <w:rPr>
          <w:rFonts w:ascii="標楷體" w:eastAsia="標楷體" w:hAnsi="標楷體" w:hint="eastAsia"/>
          <w:color w:val="000000"/>
        </w:rPr>
        <w:lastRenderedPageBreak/>
        <w:t>remission或complete remission，則不予給付。</w:t>
      </w:r>
    </w:p>
    <w:p w:rsidR="004C3CC5" w:rsidRPr="004C3CC5" w:rsidRDefault="004C3CC5" w:rsidP="004C3CC5">
      <w:pPr>
        <w:tabs>
          <w:tab w:val="left" w:pos="1418"/>
        </w:tabs>
        <w:spacing w:line="400" w:lineRule="exact"/>
        <w:ind w:left="1190" w:hanging="339"/>
        <w:rPr>
          <w:rFonts w:ascii="標楷體" w:eastAsia="標楷體" w:hAnsi="標楷體"/>
          <w:color w:val="000000"/>
        </w:rPr>
      </w:pPr>
      <w:r w:rsidRPr="004C3CC5">
        <w:rPr>
          <w:rFonts w:ascii="標楷體" w:eastAsia="標楷體" w:hAnsi="標楷體" w:hint="eastAsia"/>
          <w:color w:val="000000"/>
        </w:rPr>
        <w:t>(3)在具有17p缺失病人，ibrutinib、acalabrutinib、venetoclax與zanubrutinib四者僅能擇一使用，唯有在出現無法忍受其副作用時方可互換。三者使用總療程合併計算，以全部24個月為上限。（108/9/1、112/7/1、114/10/1）</w:t>
      </w:r>
    </w:p>
    <w:p w:rsidR="00B96EA0" w:rsidRDefault="004C3CC5" w:rsidP="004C3CC5">
      <w:pPr>
        <w:tabs>
          <w:tab w:val="left" w:pos="1418"/>
        </w:tabs>
        <w:spacing w:line="400" w:lineRule="exact"/>
        <w:ind w:left="1190" w:hanging="339"/>
        <w:rPr>
          <w:rFonts w:ascii="標楷體" w:eastAsia="標楷體" w:hAnsi="標楷體"/>
          <w:color w:val="000000"/>
        </w:rPr>
      </w:pPr>
      <w:r w:rsidRPr="004C3CC5">
        <w:rPr>
          <w:rFonts w:ascii="標楷體" w:eastAsia="標楷體" w:hAnsi="標楷體" w:hint="eastAsia"/>
          <w:color w:val="000000"/>
        </w:rPr>
        <w:t>(4)每日至多處方3粒。</w:t>
      </w:r>
      <w:bookmarkEnd w:id="14"/>
    </w:p>
    <w:p w:rsidR="00B96EA0" w:rsidRDefault="007D66B8" w:rsidP="005142EB">
      <w:pPr>
        <w:tabs>
          <w:tab w:val="left" w:pos="1418"/>
        </w:tabs>
        <w:spacing w:line="400" w:lineRule="exact"/>
        <w:ind w:left="895" w:hanging="612"/>
      </w:pPr>
      <w:r>
        <w:rPr>
          <w:rFonts w:ascii="標楷體" w:eastAsia="標楷體" w:hAnsi="標楷體"/>
          <w:color w:val="000000"/>
        </w:rPr>
        <w:t>9.62.</w:t>
      </w:r>
      <w:r>
        <w:t xml:space="preserve"> </w:t>
      </w:r>
      <w:r>
        <w:rPr>
          <w:rFonts w:ascii="標楷體" w:eastAsia="標楷體" w:hAnsi="標楷體"/>
          <w:color w:val="000000"/>
        </w:rPr>
        <w:t>Pomalidomide(如Pomalyst):(107/1/1、109/2/1、112/4/1、113/9/1)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1.與dexamethasone合併使用，核准用於多發性骨髓瘤病人，且先前接受過含lenalidomide和bortezomib在內的至少兩種療法，且確認完成前次治療時或結束治療後六十天內發生疾病惡化(disease progression)。</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2.限與elotuzumab及dexamethasone併用，治療之前曾接受過至少兩種療法（包括lenalidomide和蛋白酶體抑制劑）的多發性骨髓瘤成年病人。（113/9/1）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3.需經事前審查核准後使用：（107/1/1、112/4/1）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(1)初次申請以3個療程為限，且需同時符合下列Ⅰ.與Ⅱ.的條件：（112/4/1）</w:t>
      </w:r>
    </w:p>
    <w:p w:rsidR="00B96EA0" w:rsidRDefault="007D66B8" w:rsidP="005142EB">
      <w:pPr>
        <w:tabs>
          <w:tab w:val="left" w:pos="1418"/>
        </w:tabs>
        <w:spacing w:line="400" w:lineRule="exact"/>
        <w:ind w:left="1051" w:hanging="245"/>
        <w:rPr>
          <w:rFonts w:ascii="標楷體" w:eastAsia="標楷體" w:hAnsi="標楷體"/>
          <w:color w:val="000000"/>
        </w:rPr>
      </w:pPr>
      <w:r>
        <w:rPr>
          <w:rFonts w:ascii="標楷體" w:eastAsia="標楷體" w:hAnsi="標楷體"/>
          <w:color w:val="000000"/>
        </w:rPr>
        <w:t>Ⅰ.具有下列任一疾病惡化的指標： 病人開始治療前須在連續2次評估中均符合同一指標 (但若為plamacytoma 體積增加，或是新產生的bone lesion(s)或新plasmacytoma，則僅需1次評估)：（112/4/1）</w:t>
      </w:r>
    </w:p>
    <w:p w:rsidR="00B96EA0" w:rsidRDefault="007D66B8" w:rsidP="005142EB">
      <w:pPr>
        <w:tabs>
          <w:tab w:val="left" w:pos="1418"/>
        </w:tabs>
        <w:spacing w:line="400" w:lineRule="exact"/>
        <w:ind w:left="1291" w:hanging="245"/>
      </w:pPr>
      <w:r>
        <w:rPr>
          <w:rFonts w:ascii="新細明體" w:hAnsi="新細明體" w:cs="新細明體"/>
          <w:color w:val="000000"/>
        </w:rPr>
        <w:t>ⅰ</w:t>
      </w:r>
      <w:r>
        <w:rPr>
          <w:rFonts w:ascii="標楷體" w:eastAsia="標楷體" w:hAnsi="標楷體"/>
          <w:color w:val="000000"/>
        </w:rPr>
        <w:t>.若前一線治療中M component 最低值≧5 g/dL，血清M蛋白需增加≧1 g/dL；若前一線治療中M component最低值＜5 g/dL，血清M蛋白需增加≧0.5g/dL。</w:t>
      </w:r>
    </w:p>
    <w:p w:rsidR="00B96EA0" w:rsidRDefault="007D66B8" w:rsidP="005142EB">
      <w:pPr>
        <w:tabs>
          <w:tab w:val="left" w:pos="1418"/>
        </w:tabs>
        <w:spacing w:line="400" w:lineRule="exact"/>
        <w:ind w:left="1291" w:hanging="245"/>
      </w:pPr>
      <w:r>
        <w:rPr>
          <w:rFonts w:ascii="新細明體" w:hAnsi="新細明體" w:cs="新細明體"/>
          <w:color w:val="000000"/>
        </w:rPr>
        <w:t>ⅱ</w:t>
      </w:r>
      <w:r>
        <w:rPr>
          <w:rFonts w:ascii="標楷體" w:eastAsia="標楷體" w:hAnsi="標楷體"/>
          <w:color w:val="000000"/>
        </w:rPr>
        <w:t>.Urine M-protein需增加≧0.2 gm/24Hr，且需較前一線治療中的最低值增加≧25%。</w:t>
      </w:r>
    </w:p>
    <w:p w:rsidR="00B96EA0" w:rsidRDefault="007D66B8" w:rsidP="005142EB">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iii.在non-secretary myeloma 病人，骨髓漿細胞 (plasma cells)之比例絕對值增加≧10%，且需較前一線治療中的最低值增加≧25%。</w:t>
      </w:r>
    </w:p>
    <w:p w:rsidR="00B96EA0" w:rsidRDefault="007D66B8" w:rsidP="005142EB">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iv.新產生的bone lesion(s)或plasmacytoma；且須經病理切片證實。</w:t>
      </w:r>
    </w:p>
    <w:p w:rsidR="00B96EA0" w:rsidRDefault="007D66B8" w:rsidP="005142EB">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v.Plasmacytoma體積增加≧50%。</w:t>
      </w:r>
    </w:p>
    <w:p w:rsidR="00B96EA0" w:rsidRDefault="007D66B8" w:rsidP="005142EB">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vi.周邊血液中漿細胞比例≧20%或漿細胞絕對值≧2000 cells/μL。</w:t>
      </w:r>
    </w:p>
    <w:p w:rsidR="00B96EA0" w:rsidRDefault="007D66B8" w:rsidP="005142EB">
      <w:pPr>
        <w:tabs>
          <w:tab w:val="left" w:pos="1418"/>
        </w:tabs>
        <w:spacing w:line="400" w:lineRule="exact"/>
        <w:ind w:left="1051" w:hanging="245"/>
        <w:rPr>
          <w:rFonts w:ascii="標楷體" w:eastAsia="標楷體" w:hAnsi="標楷體"/>
          <w:color w:val="000000"/>
        </w:rPr>
      </w:pPr>
      <w:r>
        <w:rPr>
          <w:rFonts w:ascii="標楷體" w:eastAsia="標楷體" w:hAnsi="標楷體"/>
          <w:color w:val="000000"/>
        </w:rPr>
        <w:t>Ⅱ.出現下列任一臨床症狀：（112/4/1）</w:t>
      </w:r>
    </w:p>
    <w:p w:rsidR="00B96EA0" w:rsidRDefault="007D66B8" w:rsidP="005142EB">
      <w:pPr>
        <w:tabs>
          <w:tab w:val="left" w:pos="1418"/>
        </w:tabs>
        <w:spacing w:line="400" w:lineRule="exact"/>
        <w:ind w:left="1291" w:hanging="245"/>
      </w:pPr>
      <w:r>
        <w:rPr>
          <w:rFonts w:ascii="新細明體" w:hAnsi="新細明體" w:cs="新細明體"/>
          <w:color w:val="000000"/>
        </w:rPr>
        <w:t>ⅰ</w:t>
      </w:r>
      <w:r>
        <w:rPr>
          <w:rFonts w:ascii="標楷體" w:eastAsia="標楷體" w:hAnsi="標楷體"/>
          <w:color w:val="000000"/>
        </w:rPr>
        <w:t>.新產生的bone lesion(s)或plasmacytoma；且須經病理切片證實。</w:t>
      </w:r>
    </w:p>
    <w:p w:rsidR="00B96EA0" w:rsidRDefault="007D66B8" w:rsidP="005142EB">
      <w:pPr>
        <w:tabs>
          <w:tab w:val="left" w:pos="1418"/>
        </w:tabs>
        <w:spacing w:line="400" w:lineRule="exact"/>
        <w:ind w:left="1291" w:hanging="245"/>
      </w:pPr>
      <w:r>
        <w:rPr>
          <w:rFonts w:ascii="新細明體" w:hAnsi="新細明體" w:cs="新細明體"/>
          <w:color w:val="000000"/>
        </w:rPr>
        <w:t>ⅱ</w:t>
      </w:r>
      <w:r>
        <w:rPr>
          <w:rFonts w:ascii="標楷體" w:eastAsia="標楷體" w:hAnsi="標楷體"/>
          <w:color w:val="000000"/>
        </w:rPr>
        <w:t>.Plasmacytoma 體積增加≧50%。</w:t>
      </w:r>
    </w:p>
    <w:p w:rsidR="00B96EA0" w:rsidRDefault="007D66B8" w:rsidP="005142EB">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iii.高血鈣(corrected serum calcium＞11.0 mg/dL 或 2.75 mmol/L)。</w:t>
      </w:r>
    </w:p>
    <w:p w:rsidR="00B96EA0" w:rsidRDefault="007D66B8" w:rsidP="005142EB">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iv.貧血(Hemoglobin 下降幅度≧ 2gm/dL且無其他原因可以解釋)。</w:t>
      </w:r>
    </w:p>
    <w:p w:rsidR="00B96EA0" w:rsidRDefault="007D66B8" w:rsidP="005142EB">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v.腎功能惡化(eGFR需下降幅度≧25%)，且無其他原因可以解釋。</w:t>
      </w:r>
    </w:p>
    <w:p w:rsidR="00B96EA0" w:rsidRDefault="007D66B8" w:rsidP="005142EB">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vi.出現其他end-organ dysfunctions。</w:t>
      </w:r>
    </w:p>
    <w:p w:rsidR="00B96EA0" w:rsidRDefault="007D66B8" w:rsidP="005142EB">
      <w:pPr>
        <w:tabs>
          <w:tab w:val="left" w:pos="1418"/>
        </w:tabs>
        <w:spacing w:line="400" w:lineRule="exact"/>
        <w:ind w:left="1051" w:hanging="245"/>
        <w:rPr>
          <w:rFonts w:ascii="標楷體" w:eastAsia="標楷體" w:hAnsi="標楷體"/>
          <w:color w:val="000000"/>
        </w:rPr>
      </w:pPr>
      <w:r>
        <w:rPr>
          <w:rFonts w:ascii="標楷體" w:eastAsia="標楷體" w:hAnsi="標楷體"/>
          <w:color w:val="000000"/>
        </w:rPr>
        <w:t>(2)再次申請時必須確定paraprotein (M-protein)未上升(即表示對藥物有反應或為穩定狀態);或對部分non-secretory type 多發性骨髓瘤病人以骨髓檢查plasma cell為療效依據，證明為對藥物有反應或為穩定狀態，方可繼續使用。續用時的</w:t>
      </w:r>
      <w:r>
        <w:rPr>
          <w:rFonts w:ascii="標楷體" w:eastAsia="標楷體" w:hAnsi="標楷體"/>
          <w:color w:val="000000"/>
        </w:rPr>
        <w:lastRenderedPageBreak/>
        <w:t>申請以3個療程為限。疾病若發生惡化情形應即停止使用。（107/1/1、112/4/1）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4.每人終生以10個療程為上限，Pomado則每人以6個療程為上限。（107/1/1、112/4/1、113/9/1）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5.不得與其他蛋白酶體抑制劑(proteasome inhibitor)或免疫調節劑(immunomodulatory drugs)併用。 (109/2/1、112/4/1)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6.112年3月31日以前已核定用藥之病人，得經事前審查核准後，使用至總療程上限（即終生10個療程，Pomado則每人6個療程）或使用期間發生疾病惡化為止。（112/4/1、113/9/1）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7.每日最多處方1粒(113/9/1)</w:t>
      </w:r>
    </w:p>
    <w:p w:rsidR="00B96EA0" w:rsidRDefault="007D66B8" w:rsidP="005142EB">
      <w:pPr>
        <w:tabs>
          <w:tab w:val="left" w:pos="1418"/>
        </w:tabs>
        <w:spacing w:line="400" w:lineRule="exact"/>
        <w:ind w:left="567" w:hanging="283"/>
      </w:pPr>
      <w:r>
        <w:rPr>
          <w:rFonts w:ascii="標楷體" w:eastAsia="標楷體" w:hAnsi="標楷體"/>
          <w:color w:val="000000"/>
        </w:rPr>
        <w:t>9.63.</w:t>
      </w:r>
      <w:r>
        <w:t xml:space="preserve"> </w:t>
      </w:r>
      <w:r>
        <w:rPr>
          <w:rFonts w:ascii="標楷體" w:eastAsia="標楷體" w:hAnsi="標楷體"/>
          <w:color w:val="000000"/>
        </w:rPr>
        <w:t>Lenvatinib(如Lenvima)：(107/7/1、109/1/1、109/8/1、112/8/1、114/2/1、114/6/1)</w:t>
      </w:r>
      <w:r>
        <w:rPr>
          <w:rFonts w:ascii="標楷體" w:eastAsia="標楷體" w:hAnsi="標楷體"/>
          <w:color w:val="000000"/>
        </w:rPr>
        <w:br/>
        <w:t>1.用於放射性碘治療無效之局部晚期或轉移性的進行性(progressive)分化型甲狀腺癌(RAI-RDTC)：</w:t>
      </w:r>
    </w:p>
    <w:p w:rsidR="00B96EA0" w:rsidRDefault="007D66B8" w:rsidP="005142EB">
      <w:pPr>
        <w:tabs>
          <w:tab w:val="left" w:pos="1418"/>
        </w:tabs>
        <w:spacing w:line="400" w:lineRule="exact"/>
        <w:ind w:left="850"/>
        <w:rPr>
          <w:rFonts w:ascii="標楷體" w:eastAsia="標楷體" w:hAnsi="標楷體"/>
          <w:color w:val="000000"/>
        </w:rPr>
      </w:pPr>
      <w:r>
        <w:rPr>
          <w:rFonts w:ascii="標楷體" w:eastAsia="標楷體" w:hAnsi="標楷體"/>
          <w:color w:val="000000"/>
        </w:rPr>
        <w:t>(1)需經事前審查核准後使用，每次申請之療程以3個月為限，送審時需檢送影像資料，每3個月評估一次。</w:t>
      </w:r>
    </w:p>
    <w:p w:rsidR="00B96EA0" w:rsidRDefault="007D66B8" w:rsidP="005142EB">
      <w:pPr>
        <w:tabs>
          <w:tab w:val="left" w:pos="1418"/>
        </w:tabs>
        <w:spacing w:line="400" w:lineRule="exact"/>
        <w:ind w:left="850"/>
        <w:rPr>
          <w:rFonts w:ascii="標楷體" w:eastAsia="標楷體" w:hAnsi="標楷體"/>
          <w:color w:val="000000"/>
        </w:rPr>
      </w:pPr>
      <w:r>
        <w:rPr>
          <w:rFonts w:ascii="標楷體" w:eastAsia="標楷體" w:hAnsi="標楷體"/>
          <w:color w:val="000000"/>
        </w:rPr>
        <w:t>(2)Lenvatinib與sorafenib不得合併使用。(109/8/1)</w:t>
      </w:r>
    </w:p>
    <w:p w:rsidR="00B96EA0" w:rsidRDefault="007D66B8" w:rsidP="005142EB">
      <w:pPr>
        <w:tabs>
          <w:tab w:val="left" w:pos="1418"/>
        </w:tabs>
        <w:spacing w:line="400" w:lineRule="exact"/>
        <w:ind w:left="610"/>
        <w:rPr>
          <w:rFonts w:ascii="標楷體" w:eastAsia="標楷體" w:hAnsi="標楷體"/>
          <w:color w:val="000000"/>
        </w:rPr>
      </w:pPr>
      <w:r>
        <w:rPr>
          <w:rFonts w:ascii="標楷體" w:eastAsia="標楷體" w:hAnsi="標楷體"/>
          <w:color w:val="000000"/>
        </w:rPr>
        <w:t>2.晚期肝細胞癌部分：(109/1/1、109/8/1、112/8/1、114/2/1、114/6/1)</w:t>
      </w:r>
    </w:p>
    <w:p w:rsidR="00B96EA0" w:rsidRDefault="007D66B8" w:rsidP="005142EB">
      <w:pPr>
        <w:tabs>
          <w:tab w:val="left" w:pos="1418"/>
        </w:tabs>
        <w:spacing w:line="400" w:lineRule="exact"/>
        <w:ind w:left="1416" w:hanging="425"/>
        <w:rPr>
          <w:rFonts w:ascii="標楷體" w:eastAsia="標楷體" w:hAnsi="標楷體"/>
          <w:color w:val="000000"/>
        </w:rPr>
      </w:pPr>
      <w:r>
        <w:rPr>
          <w:rFonts w:ascii="標楷體" w:eastAsia="標楷體" w:hAnsi="標楷體"/>
          <w:color w:val="000000"/>
        </w:rPr>
        <w:t>(1)轉移性或無法手術切除且不適合局部治療或局部治療失敗之Child-Pugh A class晚期肝細胞癌成人患者，並符合下列條件之一：</w:t>
      </w:r>
    </w:p>
    <w:p w:rsidR="00B96EA0" w:rsidRDefault="007D66B8" w:rsidP="005142EB">
      <w:pPr>
        <w:tabs>
          <w:tab w:val="left" w:pos="1418"/>
        </w:tabs>
        <w:spacing w:line="400" w:lineRule="exact"/>
        <w:ind w:left="1560" w:hanging="468"/>
        <w:rPr>
          <w:rFonts w:ascii="標楷體" w:eastAsia="標楷體" w:hAnsi="標楷體"/>
          <w:color w:val="000000"/>
        </w:rPr>
      </w:pPr>
      <w:r>
        <w:rPr>
          <w:rFonts w:ascii="標楷體" w:eastAsia="標楷體" w:hAnsi="標楷體"/>
          <w:color w:val="000000"/>
        </w:rPr>
        <w:t>I.肝外轉移（遠端轉移或肝外淋巴結侵犯）。</w:t>
      </w:r>
    </w:p>
    <w:p w:rsidR="00B96EA0" w:rsidRDefault="007D66B8" w:rsidP="005142EB">
      <w:pPr>
        <w:tabs>
          <w:tab w:val="left" w:pos="1418"/>
        </w:tabs>
        <w:spacing w:line="400" w:lineRule="exact"/>
        <w:ind w:left="1560" w:hanging="468"/>
        <w:rPr>
          <w:rFonts w:ascii="標楷體" w:eastAsia="標楷體" w:hAnsi="標楷體"/>
          <w:color w:val="000000"/>
        </w:rPr>
      </w:pPr>
      <w:r>
        <w:rPr>
          <w:rFonts w:ascii="標楷體" w:eastAsia="標楷體" w:hAnsi="標楷體"/>
          <w:color w:val="000000"/>
        </w:rPr>
        <w:t>II.大血管侵犯（腫瘤侵犯主門靜脈或侵犯左/右靜脈第一或第二分支）。</w:t>
      </w:r>
    </w:p>
    <w:p w:rsidR="00B96EA0" w:rsidRDefault="007D66B8" w:rsidP="005142EB">
      <w:pPr>
        <w:tabs>
          <w:tab w:val="left" w:pos="1418"/>
        </w:tabs>
        <w:spacing w:line="400" w:lineRule="exact"/>
        <w:ind w:left="1560" w:hanging="468"/>
        <w:rPr>
          <w:rFonts w:ascii="標楷體" w:eastAsia="標楷體" w:hAnsi="標楷體"/>
          <w:color w:val="000000"/>
        </w:rPr>
      </w:pPr>
      <w:r>
        <w:rPr>
          <w:rFonts w:ascii="標楷體" w:eastAsia="標楷體" w:hAnsi="標楷體"/>
          <w:color w:val="000000"/>
        </w:rPr>
        <w:t>III.經導管動脈化學藥物栓塞治療（Transcatheter arterial chemo embolization, T.A.C.E.）失敗者，需提供患者於12個月內&gt;=3次局部治療之記錄。</w:t>
      </w:r>
    </w:p>
    <w:p w:rsidR="00B96EA0" w:rsidRDefault="007D66B8" w:rsidP="005142EB">
      <w:pPr>
        <w:tabs>
          <w:tab w:val="left" w:pos="1418"/>
        </w:tabs>
        <w:spacing w:line="400" w:lineRule="exact"/>
        <w:ind w:left="1416" w:hanging="425"/>
        <w:rPr>
          <w:rFonts w:ascii="標楷體" w:eastAsia="標楷體" w:hAnsi="標楷體"/>
          <w:color w:val="000000"/>
        </w:rPr>
      </w:pPr>
      <w:r>
        <w:rPr>
          <w:rFonts w:ascii="標楷體" w:eastAsia="標楷體" w:hAnsi="標楷體"/>
          <w:color w:val="000000"/>
        </w:rPr>
        <w:t>(2)需經事前審查核准後使用，初次申請之療程以3個月為限，之後每3個月評估一次。送審時需檢送影像資料，無疾病惡化方可繼續使用。(109/1/1、114/6/1)</w:t>
      </w:r>
    </w:p>
    <w:p w:rsidR="00B96EA0" w:rsidRDefault="007D66B8" w:rsidP="005142EB">
      <w:pPr>
        <w:tabs>
          <w:tab w:val="left" w:pos="1418"/>
        </w:tabs>
        <w:spacing w:line="400" w:lineRule="exact"/>
        <w:ind w:left="1276" w:hanging="283"/>
        <w:rPr>
          <w:rFonts w:ascii="標楷體" w:eastAsia="標楷體" w:hAnsi="標楷體"/>
          <w:color w:val="000000"/>
        </w:rPr>
      </w:pPr>
      <w:r>
        <w:rPr>
          <w:rFonts w:ascii="標楷體" w:eastAsia="標楷體" w:hAnsi="標楷體"/>
          <w:color w:val="000000"/>
        </w:rPr>
        <w:t>(3)Lenvatinib、sorafenib、atezolizumab併用bevacizumab、tremelimumab併用durvalumab僅得擇一給付，不得互換；且lenvatinib治療失敗後，不得申請使用regorafenib或ramucirumab。(109/1/1、109/8/1、112/8/1、114/2/1)</w:t>
      </w:r>
    </w:p>
    <w:p w:rsidR="00B96EA0" w:rsidRDefault="007D66B8" w:rsidP="005142EB">
      <w:pPr>
        <w:tabs>
          <w:tab w:val="left" w:pos="1418"/>
        </w:tabs>
        <w:spacing w:line="400" w:lineRule="exact"/>
        <w:ind w:left="895" w:hanging="612"/>
        <w:rPr>
          <w:rFonts w:ascii="標楷體" w:eastAsia="標楷體" w:hAnsi="標楷體"/>
          <w:color w:val="000000"/>
        </w:rPr>
      </w:pPr>
      <w:r>
        <w:rPr>
          <w:rFonts w:ascii="標楷體" w:eastAsia="標楷體" w:hAnsi="標楷體"/>
          <w:color w:val="000000"/>
        </w:rPr>
        <w:t>9.64.Blinatumomab(如Blincyto)：(107/9/1、109/12/1、112/12/1)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ab/>
        <w:t>適用於治療先前接受至少兩種化療療程(如TPOG之療程表)治療無效或已復發第二次或以上費城染色體陰性復發型或頑固型B細胞前驅因子之急性淋巴芽細胞白血病之(Ph(-) Relapse/Refractory B-cell precursor Acute Lymphoblastic Leukemia；Ph(-) B-cell precursor R/R ALL)成人病人，且計畫進行造血幹細胞移植的病人，每位病人限給付2療程。</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2.用於復發型或頑固型B細胞前驅細胞之急性淋巴芽細胞白血病之未滿18歲兒童病</w:t>
      </w:r>
      <w:r>
        <w:rPr>
          <w:rFonts w:ascii="標楷體" w:eastAsia="標楷體" w:hAnsi="標楷體"/>
          <w:color w:val="000000"/>
        </w:rPr>
        <w:lastRenderedPageBreak/>
        <w:t>人，且計畫進行造血幹細胞移植的病人，每位病人限給付2療程，不得與clofarabine併用。（109/12/1）</w:t>
      </w:r>
    </w:p>
    <w:p w:rsidR="00B96EA0" w:rsidRDefault="007D66B8" w:rsidP="005142EB">
      <w:pPr>
        <w:spacing w:line="400" w:lineRule="exact"/>
        <w:ind w:left="720" w:hanging="480"/>
      </w:pPr>
      <w:r>
        <w:rPr>
          <w:rFonts w:ascii="標楷體" w:eastAsia="標楷體" w:hAnsi="標楷體"/>
          <w:szCs w:val="24"/>
        </w:rPr>
        <w:t xml:space="preserve">   3.用於治療</w:t>
      </w:r>
      <w:r>
        <w:rPr>
          <w:rFonts w:ascii="標楷體" w:eastAsia="標楷體" w:hAnsi="標楷體"/>
          <w:bCs/>
          <w:szCs w:val="24"/>
        </w:rPr>
        <w:t>微量殘留病灶(MRD)陽性B細胞前驅細胞之急性淋巴芽細胞白血病：(112/12/1)</w:t>
      </w:r>
    </w:p>
    <w:p w:rsidR="00B96EA0" w:rsidRDefault="007D66B8" w:rsidP="005142EB">
      <w:pPr>
        <w:spacing w:line="400" w:lineRule="exact"/>
        <w:ind w:left="950" w:hanging="230"/>
        <w:rPr>
          <w:rFonts w:ascii="標楷體" w:eastAsia="標楷體" w:hAnsi="標楷體"/>
          <w:szCs w:val="24"/>
        </w:rPr>
      </w:pPr>
      <w:r>
        <w:rPr>
          <w:rFonts w:ascii="標楷體" w:eastAsia="標楷體" w:hAnsi="標楷體"/>
          <w:szCs w:val="24"/>
        </w:rPr>
        <w:t>(1)符合以下任一條件：</w:t>
      </w:r>
    </w:p>
    <w:p w:rsidR="00B96EA0" w:rsidRDefault="007D66B8" w:rsidP="005142EB">
      <w:pPr>
        <w:spacing w:line="400" w:lineRule="exact"/>
        <w:ind w:left="1190" w:hanging="230"/>
      </w:pPr>
      <w:r>
        <w:rPr>
          <w:rFonts w:ascii="標楷體" w:eastAsia="標楷體" w:hAnsi="標楷體"/>
          <w:szCs w:val="24"/>
        </w:rPr>
        <w:t>I.初次治療B細胞前驅細胞之急性淋巴芽細胞白血病成人病人，接受過至少三次高強度化學治療療程後，達第一次完全緩解，但仍有大於或等於0.1%微量殘留病灶，且計畫進行造血幹細胞移植，需附上至少三次微量殘留病灶檢驗報告。</w:t>
      </w:r>
    </w:p>
    <w:p w:rsidR="00B96EA0" w:rsidRDefault="007D66B8" w:rsidP="005142EB">
      <w:pPr>
        <w:spacing w:line="400" w:lineRule="exact"/>
        <w:ind w:left="1337" w:hanging="377"/>
      </w:pPr>
      <w:r>
        <w:rPr>
          <w:rFonts w:ascii="標楷體" w:eastAsia="標楷體" w:hAnsi="標楷體"/>
          <w:szCs w:val="24"/>
        </w:rPr>
        <w:t>II.第一線治療無效，經第二線治療達到第一次完全緩解之成人病人，但仍有大於或等於0.1%微量殘留病灶，且計劃進行造血幹細胞移植。需附上一次治療無效(骨髓或周邊血芽細胞大於5%)之檢驗報告，及一次經化學治療後微量殘留病灶檢驗報告。</w:t>
      </w:r>
    </w:p>
    <w:p w:rsidR="00B96EA0" w:rsidRDefault="007D66B8" w:rsidP="005142EB">
      <w:pPr>
        <w:spacing w:line="400" w:lineRule="exact"/>
        <w:ind w:left="1073" w:hanging="353"/>
      </w:pPr>
      <w:r>
        <w:rPr>
          <w:rFonts w:ascii="標楷體" w:eastAsia="標楷體" w:hAnsi="標楷體"/>
          <w:szCs w:val="24"/>
        </w:rPr>
        <w:t>(2)需為</w:t>
      </w:r>
      <w:r>
        <w:rPr>
          <w:rFonts w:ascii="標楷體" w:eastAsia="標楷體" w:hAnsi="標楷體"/>
          <w:bCs/>
          <w:szCs w:val="24"/>
        </w:rPr>
        <w:t>計畫進行造血幹細胞移植者</w:t>
      </w:r>
      <w:r>
        <w:rPr>
          <w:rFonts w:ascii="標楷體" w:eastAsia="標楷體" w:hAnsi="標楷體"/>
          <w:szCs w:val="24"/>
        </w:rPr>
        <w:t>。</w:t>
      </w:r>
    </w:p>
    <w:p w:rsidR="00B96EA0" w:rsidRDefault="007D66B8" w:rsidP="005142EB">
      <w:pPr>
        <w:spacing w:line="400" w:lineRule="exact"/>
        <w:ind w:left="1073" w:hanging="353"/>
      </w:pPr>
      <w:r>
        <w:rPr>
          <w:rFonts w:ascii="標楷體" w:eastAsia="標楷體" w:hAnsi="標楷體"/>
          <w:bCs/>
          <w:szCs w:val="24"/>
        </w:rPr>
        <w:t>(3)</w:t>
      </w:r>
      <w:r>
        <w:rPr>
          <w:rFonts w:ascii="標楷體" w:eastAsia="標楷體" w:hAnsi="標楷體"/>
          <w:szCs w:val="24"/>
        </w:rPr>
        <w:t>偵測微量殘留病灶之檢測，其敏感度需達10</w:t>
      </w:r>
      <w:r>
        <w:rPr>
          <w:rFonts w:ascii="標楷體" w:eastAsia="標楷體" w:hAnsi="標楷體"/>
          <w:szCs w:val="24"/>
          <w:vertAlign w:val="superscript"/>
        </w:rPr>
        <w:t>-3</w:t>
      </w:r>
      <w:r>
        <w:rPr>
          <w:rFonts w:ascii="標楷體" w:eastAsia="標楷體" w:hAnsi="標楷體"/>
          <w:szCs w:val="24"/>
        </w:rPr>
        <w:t>(0.1%)，可用qPCR (real-time quantitative polymerase chain reaction)，或八色流式細胞儀（8-color multiparameter flow cytometry）檢查。</w:t>
      </w:r>
    </w:p>
    <w:p w:rsidR="00B96EA0" w:rsidRDefault="007D66B8" w:rsidP="005142EB">
      <w:pPr>
        <w:spacing w:line="400" w:lineRule="exact"/>
        <w:ind w:left="1073" w:hanging="353"/>
        <w:rPr>
          <w:rFonts w:ascii="標楷體" w:eastAsia="標楷體" w:hAnsi="標楷體"/>
          <w:szCs w:val="24"/>
        </w:rPr>
      </w:pPr>
      <w:r>
        <w:rPr>
          <w:rFonts w:ascii="標楷體" w:eastAsia="標楷體" w:hAnsi="標楷體"/>
          <w:szCs w:val="24"/>
        </w:rPr>
        <w:t>(4)不得與酪胺酸激酶抑制劑(TKI)（如imatinib、dasatinib、nilotinib、ponatinib）等併用。</w:t>
      </w:r>
    </w:p>
    <w:p w:rsidR="00B96EA0" w:rsidRDefault="007D66B8" w:rsidP="005142EB">
      <w:pPr>
        <w:spacing w:line="400" w:lineRule="exact"/>
        <w:ind w:left="1073" w:hanging="353"/>
        <w:rPr>
          <w:rFonts w:ascii="標楷體" w:eastAsia="標楷體" w:hAnsi="標楷體"/>
          <w:szCs w:val="24"/>
        </w:rPr>
      </w:pPr>
      <w:r>
        <w:rPr>
          <w:rFonts w:ascii="標楷體" w:eastAsia="標楷體" w:hAnsi="標楷體"/>
          <w:szCs w:val="24"/>
        </w:rPr>
        <w:t>(5)若使用blinatumomab後，MRD若未消失但疾病仍在完全緩解時，不得申請給付inotuzumab ozogamicin。</w:t>
      </w:r>
    </w:p>
    <w:p w:rsidR="00B96EA0" w:rsidRDefault="007D66B8" w:rsidP="005142EB">
      <w:pPr>
        <w:spacing w:line="400" w:lineRule="exact"/>
        <w:ind w:left="1073" w:hanging="353"/>
      </w:pPr>
      <w:r>
        <w:rPr>
          <w:rFonts w:ascii="標楷體" w:eastAsia="標楷體" w:hAnsi="標楷體"/>
          <w:szCs w:val="24"/>
        </w:rPr>
        <w:t>(6)每位病人限給付2療程</w:t>
      </w:r>
      <w:r>
        <w:rPr>
          <w:rFonts w:ascii="新細明體" w:hAnsi="新細明體"/>
          <w:szCs w:val="24"/>
        </w:rPr>
        <w:t>（</w:t>
      </w:r>
      <w:r>
        <w:rPr>
          <w:rFonts w:ascii="標楷體" w:eastAsia="標楷體" w:hAnsi="標楷體"/>
          <w:szCs w:val="24"/>
        </w:rPr>
        <w:t>56支</w:t>
      </w:r>
      <w:r>
        <w:rPr>
          <w:rFonts w:ascii="新細明體" w:hAnsi="新細明體"/>
          <w:szCs w:val="24"/>
        </w:rPr>
        <w:t>）</w:t>
      </w:r>
      <w:r>
        <w:rPr>
          <w:rFonts w:ascii="標楷體" w:eastAsia="標楷體" w:hAnsi="標楷體"/>
          <w:szCs w:val="24"/>
        </w:rPr>
        <w:t>。</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ab/>
        <w:t>須事前審查核准後使用，申請時須檢附完整之造血幹細胞移植計畫，並詳細記載確認捐贈者名單、確認移植之執行醫院及移植前調適治療等資料。</w:t>
      </w:r>
    </w:p>
    <w:p w:rsidR="00B96EA0" w:rsidRDefault="007D66B8" w:rsidP="005142EB">
      <w:pPr>
        <w:tabs>
          <w:tab w:val="left" w:pos="1418"/>
        </w:tabs>
        <w:spacing w:line="400" w:lineRule="exact"/>
        <w:ind w:left="811" w:hanging="245"/>
      </w:pPr>
      <w:r>
        <w:rPr>
          <w:rFonts w:ascii="標楷體" w:eastAsia="標楷體" w:hAnsi="標楷體"/>
          <w:szCs w:val="24"/>
        </w:rPr>
        <w:t>5.病人已依前述第3項獲得給付治療者，不得再申請前述之第1、2項給付治療。(112</w:t>
      </w:r>
      <w:r>
        <w:rPr>
          <w:rFonts w:ascii="標楷體" w:eastAsia="標楷體" w:hAnsi="標楷體"/>
          <w:bCs/>
          <w:szCs w:val="24"/>
        </w:rPr>
        <w:t>/12/1</w:t>
      </w:r>
      <w:r>
        <w:rPr>
          <w:rFonts w:ascii="標楷體" w:eastAsia="標楷體" w:hAnsi="標楷體"/>
          <w:szCs w:val="24"/>
        </w:rPr>
        <w:t>)</w:t>
      </w:r>
    </w:p>
    <w:p w:rsidR="00B96EA0" w:rsidRDefault="007D66B8" w:rsidP="005142EB">
      <w:pPr>
        <w:tabs>
          <w:tab w:val="left" w:pos="1418"/>
        </w:tabs>
        <w:spacing w:line="400" w:lineRule="exact"/>
        <w:ind w:left="567" w:hanging="245"/>
        <w:rPr>
          <w:rFonts w:ascii="標楷體" w:eastAsia="標楷體" w:hAnsi="標楷體"/>
          <w:color w:val="000000"/>
        </w:rPr>
      </w:pPr>
      <w:r>
        <w:rPr>
          <w:rFonts w:ascii="標楷體" w:eastAsia="標楷體" w:hAnsi="標楷體"/>
          <w:color w:val="000000"/>
        </w:rPr>
        <w:t>9.65.Pralatrexate(如Folotyn)：(107/10/1、110/5/1)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1.用於接受化學治療失敗後之復發或頑固性周邊T細胞淋巴瘤(PTCL)病患，作為進行骨髓/造血幹細胞移植期間之銜接治療。</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2.需經事前審查核准後使用，初次申請時應檢附移植計劃資料。</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3.每人至多給付3個療程，第1個療程後需進行疾病評估，若病情仍持續惡化，應即停止使用。（110/5/1）</w:t>
      </w:r>
    </w:p>
    <w:p w:rsidR="00B96EA0" w:rsidRDefault="007D66B8" w:rsidP="005142EB">
      <w:pPr>
        <w:tabs>
          <w:tab w:val="left" w:pos="1418"/>
        </w:tabs>
        <w:spacing w:line="400" w:lineRule="exact"/>
        <w:ind w:left="709" w:hanging="388"/>
        <w:rPr>
          <w:rFonts w:ascii="標楷體" w:eastAsia="標楷體" w:hAnsi="標楷體"/>
          <w:color w:val="000000"/>
        </w:rPr>
      </w:pPr>
      <w:r>
        <w:rPr>
          <w:rFonts w:ascii="標楷體" w:eastAsia="標楷體" w:hAnsi="標楷體"/>
          <w:color w:val="000000"/>
        </w:rPr>
        <w:t>9.66.Trifluridine/tipiracil(如Lonsurf)：(107/12/1、109/12/1、110/6/1、113/6/1)</w:t>
      </w:r>
    </w:p>
    <w:p w:rsidR="00B96EA0" w:rsidRDefault="007D66B8" w:rsidP="005142EB">
      <w:pPr>
        <w:tabs>
          <w:tab w:val="left" w:pos="1418"/>
        </w:tabs>
        <w:spacing w:line="400" w:lineRule="exact"/>
        <w:ind w:left="993" w:hanging="388"/>
        <w:rPr>
          <w:rFonts w:ascii="標楷體" w:eastAsia="標楷體" w:hAnsi="標楷體"/>
          <w:color w:val="000000"/>
        </w:rPr>
      </w:pPr>
      <w:r>
        <w:rPr>
          <w:rFonts w:ascii="標楷體" w:eastAsia="標楷體" w:hAnsi="標楷體"/>
          <w:color w:val="000000"/>
        </w:rPr>
        <w:t>1.轉移性大腸直腸癌：</w:t>
      </w:r>
    </w:p>
    <w:p w:rsidR="00B96EA0" w:rsidRDefault="007D66B8" w:rsidP="005142EB">
      <w:pPr>
        <w:tabs>
          <w:tab w:val="left" w:pos="1418"/>
        </w:tabs>
        <w:spacing w:line="400" w:lineRule="exact"/>
        <w:ind w:left="1134" w:hanging="388"/>
        <w:rPr>
          <w:rFonts w:ascii="標楷體" w:eastAsia="標楷體" w:hAnsi="標楷體"/>
          <w:color w:val="000000"/>
        </w:rPr>
      </w:pPr>
      <w:r>
        <w:rPr>
          <w:rFonts w:ascii="標楷體" w:eastAsia="標楷體" w:hAnsi="標楷體"/>
          <w:color w:val="000000"/>
        </w:rPr>
        <w:t>(1)用於治療先前曾接受下列療法的轉移性大腸直腸癌之成人患者，包括fluoropyrimidine, oxaliplatin及irinotecan為基礎的化療，和抗血管內皮生</w:t>
      </w:r>
      <w:r>
        <w:rPr>
          <w:rFonts w:ascii="標楷體" w:eastAsia="標楷體" w:hAnsi="標楷體"/>
          <w:color w:val="000000"/>
        </w:rPr>
        <w:lastRenderedPageBreak/>
        <w:t>長因子(anti-VEGF)等療法；若RAS為原生型(wild type)，則需再加上接受過抗表皮生長因子受體(anti-EGFR)療法。需檢附All-RAS基因突變分析檢測結果報告，且需符合全民健康保險藥品給付規定之通則十二。（110/6/1、113/6/1）</w:t>
      </w:r>
    </w:p>
    <w:p w:rsidR="00B96EA0" w:rsidRDefault="007D66B8" w:rsidP="005142EB">
      <w:pPr>
        <w:tabs>
          <w:tab w:val="left" w:pos="1418"/>
        </w:tabs>
        <w:spacing w:line="400" w:lineRule="exact"/>
        <w:ind w:left="1134" w:hanging="388"/>
        <w:rPr>
          <w:rFonts w:ascii="標楷體" w:eastAsia="標楷體" w:hAnsi="標楷體"/>
          <w:color w:val="000000"/>
        </w:rPr>
      </w:pPr>
      <w:r>
        <w:rPr>
          <w:rFonts w:ascii="標楷體" w:eastAsia="標楷體" w:hAnsi="標楷體"/>
          <w:color w:val="000000"/>
        </w:rPr>
        <w:t>(2)須經事前審查核准後使用，每次申請事前審查之療程以8週為限，再次申請必須提出客觀證據（如：影像學）證實無惡化，才可繼續使用。</w:t>
      </w:r>
    </w:p>
    <w:p w:rsidR="00B96EA0" w:rsidRDefault="007D66B8" w:rsidP="005142EB">
      <w:pPr>
        <w:tabs>
          <w:tab w:val="left" w:pos="1418"/>
        </w:tabs>
        <w:spacing w:line="400" w:lineRule="exact"/>
        <w:ind w:left="1134" w:hanging="388"/>
        <w:rPr>
          <w:rFonts w:ascii="標楷體" w:eastAsia="標楷體" w:hAnsi="標楷體"/>
          <w:color w:val="000000"/>
        </w:rPr>
      </w:pPr>
      <w:r>
        <w:rPr>
          <w:rFonts w:ascii="標楷體" w:eastAsia="標楷體" w:hAnsi="標楷體"/>
          <w:color w:val="000000"/>
        </w:rPr>
        <w:t>(3)本藥品不得與regorafenib併用。</w:t>
      </w:r>
    </w:p>
    <w:p w:rsidR="00B96EA0" w:rsidRDefault="007D66B8" w:rsidP="005142EB">
      <w:pPr>
        <w:tabs>
          <w:tab w:val="left" w:pos="1418"/>
        </w:tabs>
        <w:spacing w:line="400" w:lineRule="exact"/>
        <w:ind w:left="993" w:hanging="388"/>
        <w:rPr>
          <w:rFonts w:ascii="標楷體" w:eastAsia="標楷體" w:hAnsi="標楷體"/>
          <w:color w:val="000000"/>
        </w:rPr>
      </w:pPr>
      <w:r>
        <w:rPr>
          <w:rFonts w:ascii="標楷體" w:eastAsia="標楷體" w:hAnsi="標楷體"/>
          <w:color w:val="000000"/>
        </w:rPr>
        <w:t>2.轉移性胃癌：(109/12/1)</w:t>
      </w:r>
    </w:p>
    <w:p w:rsidR="00B96EA0" w:rsidRDefault="007D66B8" w:rsidP="005142EB">
      <w:pPr>
        <w:tabs>
          <w:tab w:val="left" w:pos="1418"/>
        </w:tabs>
        <w:spacing w:line="400" w:lineRule="exact"/>
        <w:ind w:left="1134" w:hanging="388"/>
        <w:rPr>
          <w:rFonts w:ascii="標楷體" w:eastAsia="標楷體" w:hAnsi="標楷體"/>
          <w:color w:val="000000"/>
        </w:rPr>
      </w:pPr>
      <w:r>
        <w:rPr>
          <w:rFonts w:ascii="標楷體" w:eastAsia="標楷體" w:hAnsi="標楷體"/>
          <w:color w:val="000000"/>
        </w:rPr>
        <w:t>(1)用於治療先前曾接受兩種(含)以上治療（包括含fluoropyrimidine–、platinum–、taxane–或 irinotecan為基礎的化學療法，以及HER2/neu標靶治療[如果適合]）的轉移性胃腺癌或胃食道接合處腺癌病人。</w:t>
      </w:r>
    </w:p>
    <w:p w:rsidR="00B96EA0" w:rsidRDefault="007D66B8" w:rsidP="005142EB">
      <w:pPr>
        <w:tabs>
          <w:tab w:val="left" w:pos="1418"/>
        </w:tabs>
        <w:spacing w:line="400" w:lineRule="exact"/>
        <w:ind w:left="1134" w:hanging="388"/>
        <w:rPr>
          <w:rFonts w:ascii="標楷體" w:eastAsia="標楷體" w:hAnsi="標楷體"/>
          <w:color w:val="000000"/>
        </w:rPr>
      </w:pPr>
      <w:r>
        <w:rPr>
          <w:rFonts w:ascii="標楷體" w:eastAsia="標楷體" w:hAnsi="標楷體"/>
          <w:color w:val="000000"/>
        </w:rPr>
        <w:t>(2)須經事前審查核准後使用，每次申請事前審查之療程以8週為限，再次申請必須提出客觀證據（如：影像學）證實無惡化，才可繼續使用。</w:t>
      </w:r>
    </w:p>
    <w:p w:rsidR="00B96EA0" w:rsidRDefault="007D66B8" w:rsidP="005142EB">
      <w:pPr>
        <w:tabs>
          <w:tab w:val="left" w:pos="1418"/>
        </w:tabs>
        <w:spacing w:line="400" w:lineRule="exact"/>
        <w:ind w:left="895" w:hanging="612"/>
        <w:rPr>
          <w:rFonts w:ascii="標楷體" w:eastAsia="標楷體" w:hAnsi="標楷體"/>
          <w:color w:val="000000"/>
        </w:rPr>
      </w:pPr>
      <w:r>
        <w:rPr>
          <w:rFonts w:ascii="標楷體" w:eastAsia="標楷體" w:hAnsi="標楷體"/>
          <w:color w:val="000000"/>
        </w:rPr>
        <w:t>9.67.Ponatinib(如Iclusig)：(107/12/1、113/6/1)</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1.用於費城染色體陽性或BCR-ABL融合基因陽性之慢性骨髓性白血病(CML)或急性淋巴性白血病(ALL)成人患者，且符合下列條件之一：</w:t>
      </w:r>
    </w:p>
    <w:p w:rsidR="00B96EA0" w:rsidRDefault="007D66B8" w:rsidP="005142EB">
      <w:pPr>
        <w:tabs>
          <w:tab w:val="left" w:pos="1418"/>
        </w:tabs>
        <w:spacing w:line="400" w:lineRule="exact"/>
        <w:ind w:left="1051" w:hanging="245"/>
        <w:rPr>
          <w:rFonts w:ascii="標楷體" w:eastAsia="標楷體" w:hAnsi="標楷體"/>
          <w:color w:val="000000"/>
        </w:rPr>
      </w:pPr>
      <w:r>
        <w:rPr>
          <w:rFonts w:ascii="標楷體" w:eastAsia="標楷體" w:hAnsi="標楷體"/>
          <w:color w:val="000000"/>
        </w:rPr>
        <w:t>(1).具有T315I突變者；</w:t>
      </w:r>
    </w:p>
    <w:p w:rsidR="00B96EA0" w:rsidRDefault="007D66B8" w:rsidP="005142EB">
      <w:pPr>
        <w:tabs>
          <w:tab w:val="left" w:pos="1418"/>
        </w:tabs>
        <w:spacing w:line="400" w:lineRule="exact"/>
        <w:ind w:left="1051" w:hanging="245"/>
        <w:rPr>
          <w:rFonts w:ascii="標楷體" w:eastAsia="標楷體" w:hAnsi="標楷體"/>
          <w:color w:val="000000"/>
        </w:rPr>
      </w:pPr>
      <w:r>
        <w:rPr>
          <w:rFonts w:ascii="標楷體" w:eastAsia="標楷體" w:hAnsi="標楷體"/>
          <w:color w:val="000000"/>
        </w:rPr>
        <w:t>(2).加速期或急性期之慢性骨髓性白血病(CML)患者，先前曾使用imatinib、nilotinib與dasatinib其中兩種(含)以上藥物治療失敗或無法耐受；</w:t>
      </w:r>
    </w:p>
    <w:p w:rsidR="00B96EA0" w:rsidRDefault="007D66B8" w:rsidP="005142EB">
      <w:pPr>
        <w:tabs>
          <w:tab w:val="left" w:pos="1418"/>
        </w:tabs>
        <w:spacing w:line="400" w:lineRule="exact"/>
        <w:ind w:left="1051" w:hanging="245"/>
        <w:rPr>
          <w:rFonts w:ascii="標楷體" w:eastAsia="標楷體" w:hAnsi="標楷體"/>
          <w:color w:val="000000"/>
        </w:rPr>
      </w:pPr>
      <w:r>
        <w:rPr>
          <w:rFonts w:ascii="標楷體" w:eastAsia="標楷體" w:hAnsi="標楷體"/>
          <w:color w:val="000000"/>
        </w:rPr>
        <w:t>(3).急性淋巴性白血病(ALL)患者，先前曾使用imatinib與dasatinib兩種藥物治療均失敗或無法耐受。</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2.需經事前審查核准後使用。首次申請事前審查之療程以3個月為限，之後每3個月需再次申請，再次申請時應檢附前次治療結果評估資料，包含BCR-ABL定量RT-PCR報告。</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3.若使用後未出現治療反應、無法耐受藥物副作用或疾病進展，則必須停止使用。</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4.1~3項規定內之疾病診斷或追蹤若需依據基因檢測報告，則需符合全民健康保險藥品給付規定之通則十二。(113/6/1)</w:t>
      </w:r>
    </w:p>
    <w:p w:rsidR="00B96EA0" w:rsidRDefault="007D66B8" w:rsidP="005142EB">
      <w:pPr>
        <w:tabs>
          <w:tab w:val="left" w:pos="1418"/>
        </w:tabs>
        <w:spacing w:line="400" w:lineRule="exact"/>
        <w:ind w:left="895" w:hanging="612"/>
      </w:pPr>
      <w:r>
        <w:rPr>
          <w:rFonts w:ascii="標楷體" w:eastAsia="標楷體" w:hAnsi="標楷體"/>
          <w:color w:val="000000"/>
        </w:rPr>
        <w:t>9.68.Radium-223(如Xofigo)</w:t>
      </w:r>
      <w:r>
        <w:rPr>
          <w:rFonts w:ascii="新細明體" w:hAnsi="新細明體"/>
          <w:color w:val="000000"/>
        </w:rPr>
        <w:t>：</w:t>
      </w:r>
      <w:r>
        <w:rPr>
          <w:rFonts w:ascii="標楷體" w:eastAsia="標楷體" w:hAnsi="標楷體"/>
          <w:color w:val="000000"/>
        </w:rPr>
        <w:t>(108/3/1)</w:t>
      </w:r>
    </w:p>
    <w:p w:rsidR="00B96EA0" w:rsidRDefault="007D66B8" w:rsidP="005142EB">
      <w:pPr>
        <w:tabs>
          <w:tab w:val="left" w:pos="1418"/>
        </w:tabs>
        <w:spacing w:line="400" w:lineRule="exact"/>
        <w:ind w:left="283"/>
        <w:rPr>
          <w:rFonts w:ascii="標楷體" w:eastAsia="標楷體" w:hAnsi="標楷體"/>
          <w:color w:val="000000"/>
        </w:rPr>
      </w:pPr>
      <w:r>
        <w:rPr>
          <w:rFonts w:ascii="標楷體" w:eastAsia="標楷體" w:hAnsi="標楷體"/>
          <w:color w:val="000000"/>
        </w:rPr>
        <w:t>限用於治療去勢抗性攝護腺癌(castration-resistant prostate cancer)病患，其合併有症狀的骨轉移且尚未有臟器轉移者，且病人須符合下列三項條件：</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ab/>
        <w:t>患者須合併有症狀之骨轉移且骨轉移≧2處</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ab/>
        <w:t>每位患者最高使用六個療程</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ab/>
        <w:t>須經事前審查核准後使用，申請時需檢附：</w:t>
      </w:r>
    </w:p>
    <w:p w:rsidR="00B96EA0" w:rsidRDefault="007D66B8" w:rsidP="005142EB">
      <w:pPr>
        <w:tabs>
          <w:tab w:val="left" w:pos="1185"/>
        </w:tabs>
        <w:spacing w:line="400" w:lineRule="exact"/>
        <w:ind w:left="1051" w:hanging="245"/>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ab/>
        <w:t>.用藥紀錄(證明為有症狀的骨轉移、需常規使用止痛藥物)</w:t>
      </w:r>
    </w:p>
    <w:p w:rsidR="00B96EA0" w:rsidRDefault="007D66B8" w:rsidP="005142EB">
      <w:pPr>
        <w:tabs>
          <w:tab w:val="left" w:pos="1185"/>
        </w:tabs>
        <w:spacing w:line="400" w:lineRule="exact"/>
        <w:ind w:left="1051" w:hanging="245"/>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ab/>
        <w:t>.三個月內影像報告證明骨轉移≧2處</w:t>
      </w:r>
    </w:p>
    <w:p w:rsidR="00B96EA0" w:rsidRDefault="007D66B8" w:rsidP="005142EB">
      <w:pPr>
        <w:tabs>
          <w:tab w:val="left" w:pos="1185"/>
        </w:tabs>
        <w:spacing w:line="400" w:lineRule="exact"/>
        <w:ind w:left="1051" w:hanging="245"/>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ab/>
        <w:t>.三個月內影像報告證明無臟器轉移</w:t>
      </w:r>
    </w:p>
    <w:p w:rsidR="00B96EA0" w:rsidRDefault="007D66B8" w:rsidP="005142EB">
      <w:pPr>
        <w:tabs>
          <w:tab w:val="left" w:pos="1418"/>
        </w:tabs>
        <w:spacing w:line="400" w:lineRule="exact"/>
        <w:ind w:left="811" w:hanging="245"/>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ab/>
        <w:t>不得合併使用abiraterone、enzalutamide及其他治療因惡性腫瘤伴隨骨骼事件之</w:t>
      </w:r>
      <w:r>
        <w:rPr>
          <w:rFonts w:ascii="標楷體" w:eastAsia="標楷體" w:hAnsi="標楷體"/>
          <w:color w:val="000000"/>
        </w:rPr>
        <w:lastRenderedPageBreak/>
        <w:t>藥品，如denosumab、bisphosphonates等。</w:t>
      </w:r>
    </w:p>
    <w:p w:rsidR="002465F4" w:rsidRPr="0014655B" w:rsidRDefault="002465F4" w:rsidP="002465F4">
      <w:pPr>
        <w:tabs>
          <w:tab w:val="left" w:pos="1418"/>
        </w:tabs>
        <w:spacing w:line="400" w:lineRule="exact"/>
        <w:ind w:left="895" w:hanging="612"/>
        <w:rPr>
          <w:rFonts w:ascii="標楷體" w:eastAsia="標楷體" w:hAnsi="標楷體"/>
        </w:rPr>
      </w:pPr>
      <w:bookmarkStart w:id="15" w:name="_Hlk209192581"/>
      <w:r w:rsidRPr="0014655B">
        <w:rPr>
          <w:rFonts w:ascii="標楷體" w:eastAsia="標楷體" w:hAnsi="標楷體"/>
          <w:color w:val="000000"/>
        </w:rPr>
        <w:t>9.69.免疫檢查點抑制劑(如atezolizumab；nivolumab；pembrolizumab；avelumab</w:t>
      </w:r>
      <w:r w:rsidRPr="0014655B">
        <w:rPr>
          <w:rFonts w:ascii="標楷體" w:eastAsia="標楷體" w:hAnsi="標楷體" w:cs="標楷體.鬁..."/>
          <w:color w:val="000000"/>
          <w:kern w:val="0"/>
          <w:szCs w:val="24"/>
        </w:rPr>
        <w:t>；ipilimumab</w:t>
      </w:r>
      <w:r w:rsidRPr="0014655B">
        <w:rPr>
          <w:rFonts w:ascii="標楷體" w:eastAsia="標楷體" w:hAnsi="標楷體"/>
          <w:color w:val="000000"/>
        </w:rPr>
        <w:t>；durvalumab；tremelimumab製劑)：(108/4/1、108/6/1、109/4/1、109/6/1、109/11/1、110/5/1、110/10/1、111/4/1、111/6/1、112/8/1、112/10/1</w:t>
      </w:r>
      <w:r w:rsidRPr="0014655B">
        <w:rPr>
          <w:rFonts w:ascii="標楷體" w:eastAsia="標楷體" w:hAnsi="標楷體"/>
          <w:szCs w:val="24"/>
        </w:rPr>
        <w:t>、112/12/1、113/2/1、113/4/</w:t>
      </w:r>
      <w:r w:rsidRPr="0014655B">
        <w:rPr>
          <w:rFonts w:ascii="標楷體" w:eastAsia="標楷體" w:hAnsi="標楷體"/>
          <w:color w:val="000000"/>
        </w:rPr>
        <w:t>1、113/5/1、113/6/1、113/8/1、114/1/1、114/2/1、114/6/1、114/8/1</w:t>
      </w:r>
      <w:r>
        <w:rPr>
          <w:rFonts w:ascii="標楷體" w:eastAsia="標楷體" w:hAnsi="標楷體" w:hint="eastAsia"/>
          <w:color w:val="000000"/>
        </w:rPr>
        <w:t>、114/10/1</w:t>
      </w:r>
      <w:r w:rsidRPr="0014655B">
        <w:rPr>
          <w:rFonts w:ascii="標楷體" w:eastAsia="標楷體" w:hAnsi="標楷體"/>
          <w:color w:val="000000"/>
        </w:rPr>
        <w:t>)</w:t>
      </w:r>
    </w:p>
    <w:p w:rsidR="002465F4" w:rsidRPr="0014655B" w:rsidRDefault="002465F4" w:rsidP="002465F4">
      <w:pPr>
        <w:tabs>
          <w:tab w:val="left" w:pos="945"/>
        </w:tabs>
        <w:spacing w:line="400" w:lineRule="exact"/>
        <w:ind w:leftChars="236" w:left="849" w:hangingChars="118" w:hanging="283"/>
        <w:rPr>
          <w:rFonts w:ascii="標楷體" w:eastAsia="標楷體" w:hAnsi="標楷體"/>
          <w:color w:val="000000"/>
        </w:rPr>
      </w:pPr>
      <w:r w:rsidRPr="0014655B">
        <w:rPr>
          <w:rFonts w:ascii="標楷體" w:eastAsia="標楷體" w:hAnsi="標楷體"/>
          <w:color w:val="000000"/>
        </w:rPr>
        <w:t>1.本類藥品得於藥品許可證登載之適應症及藥品仿單內，單獨使用於下列患者：</w:t>
      </w:r>
    </w:p>
    <w:p w:rsidR="002465F4" w:rsidRPr="0014655B" w:rsidRDefault="002465F4" w:rsidP="002465F4">
      <w:pPr>
        <w:spacing w:line="400" w:lineRule="exact"/>
        <w:ind w:left="1134" w:hanging="386"/>
        <w:rPr>
          <w:rFonts w:ascii="標楷體" w:eastAsia="標楷體" w:hAnsi="標楷體"/>
          <w:color w:val="000000"/>
        </w:rPr>
      </w:pPr>
      <w:r w:rsidRPr="0014655B">
        <w:rPr>
          <w:rFonts w:ascii="標楷體" w:eastAsia="標楷體" w:hAnsi="標楷體"/>
          <w:color w:val="000000"/>
        </w:rPr>
        <w:t>(1)黑色素瘤：腫瘤無法切除或轉移之第三期或第四期黑色素瘤病人，先前曾接受過至少一次全身性治療失敗者。</w:t>
      </w:r>
    </w:p>
    <w:p w:rsidR="002465F4" w:rsidRPr="0014655B" w:rsidRDefault="002465F4" w:rsidP="002465F4">
      <w:pPr>
        <w:spacing w:line="400" w:lineRule="exact"/>
        <w:ind w:left="1134" w:hanging="386"/>
        <w:rPr>
          <w:rFonts w:ascii="標楷體" w:eastAsia="標楷體" w:hAnsi="標楷體"/>
          <w:szCs w:val="24"/>
        </w:rPr>
      </w:pPr>
      <w:r w:rsidRPr="0014655B">
        <w:rPr>
          <w:rFonts w:ascii="標楷體" w:eastAsia="標楷體" w:hAnsi="標楷體"/>
          <w:color w:val="000000"/>
        </w:rPr>
        <w:t>(2)非小細胞肺癌：(109/4/1、109</w:t>
      </w:r>
      <w:r w:rsidRPr="0014655B">
        <w:rPr>
          <w:rFonts w:ascii="標楷體" w:eastAsia="標楷體" w:hAnsi="標楷體"/>
          <w:szCs w:val="24"/>
        </w:rPr>
        <w:t>/11/1、114/6/1、114/8/1)</w:t>
      </w:r>
    </w:p>
    <w:p w:rsidR="002465F4" w:rsidRPr="0014655B" w:rsidRDefault="002465F4" w:rsidP="002465F4">
      <w:pPr>
        <w:numPr>
          <w:ilvl w:val="2"/>
          <w:numId w:val="26"/>
        </w:numPr>
        <w:suppressAutoHyphens w:val="0"/>
        <w:spacing w:line="400" w:lineRule="exact"/>
        <w:ind w:left="1701" w:hanging="425"/>
        <w:jc w:val="both"/>
        <w:textAlignment w:val="auto"/>
        <w:rPr>
          <w:rFonts w:ascii="標楷體" w:eastAsia="標楷體" w:hAnsi="標楷體"/>
          <w:szCs w:val="24"/>
        </w:rPr>
      </w:pPr>
      <w:bookmarkStart w:id="16" w:name="_Hlk196237903"/>
      <w:bookmarkStart w:id="17" w:name="_Hlk196827702"/>
      <w:r w:rsidRPr="0014655B">
        <w:rPr>
          <w:rFonts w:ascii="標楷體" w:eastAsia="標楷體" w:hAnsi="標楷體"/>
          <w:szCs w:val="24"/>
        </w:rPr>
        <w:t>鞏固治療：限durvalumab用於第三期局部晚期</w:t>
      </w:r>
      <w:bookmarkEnd w:id="16"/>
      <w:r w:rsidRPr="0014655B">
        <w:rPr>
          <w:rFonts w:ascii="標楷體" w:eastAsia="標楷體" w:hAnsi="標楷體"/>
          <w:szCs w:val="24"/>
        </w:rPr>
        <w:t xml:space="preserve">、無法手術切除且腫瘤表現PD-L1 </w:t>
      </w:r>
      <w:r w:rsidRPr="0014655B">
        <w:rPr>
          <w:rFonts w:ascii="Times New Roman" w:eastAsia="標楷體" w:hAnsi="Times New Roman"/>
          <w:szCs w:val="24"/>
        </w:rPr>
        <w:t>≥</w:t>
      </w:r>
      <w:r w:rsidRPr="0014655B">
        <w:rPr>
          <w:rFonts w:ascii="標楷體" w:eastAsia="標楷體" w:hAnsi="標楷體"/>
          <w:szCs w:val="24"/>
        </w:rPr>
        <w:t xml:space="preserve"> 1%之非小細胞肺癌成人病人，非鱗狀癌者需為EGFR/ALK/ROS-1腫瘤基因原生型、鱗狀癌者需為EGFR/ALK腫瘤基因原生型，病人須於接受根治性同步放射治療合併至少2個週期含鉑化療後無惡化(無PD)，且至多使用12個月。(114/8/1</w:t>
      </w:r>
      <w:r w:rsidRPr="0014655B">
        <w:rPr>
          <w:rFonts w:ascii="標楷體" w:eastAsia="標楷體" w:hAnsi="標楷體" w:hint="eastAsia"/>
          <w:szCs w:val="24"/>
        </w:rPr>
        <w:t>)</w:t>
      </w:r>
    </w:p>
    <w:p w:rsidR="002465F4" w:rsidRPr="0014655B" w:rsidRDefault="002465F4" w:rsidP="002465F4">
      <w:pPr>
        <w:numPr>
          <w:ilvl w:val="2"/>
          <w:numId w:val="26"/>
        </w:numPr>
        <w:suppressAutoHyphens w:val="0"/>
        <w:spacing w:line="400" w:lineRule="exact"/>
        <w:ind w:left="1701" w:hanging="425"/>
        <w:jc w:val="both"/>
        <w:textAlignment w:val="auto"/>
        <w:rPr>
          <w:rFonts w:ascii="標楷體" w:eastAsia="標楷體" w:hAnsi="標楷體"/>
          <w:szCs w:val="24"/>
        </w:rPr>
      </w:pPr>
      <w:r w:rsidRPr="0014655B">
        <w:rPr>
          <w:rFonts w:ascii="標楷體" w:eastAsia="標楷體" w:hAnsi="標楷體"/>
          <w:szCs w:val="24"/>
        </w:rPr>
        <w:t>非小細胞肺癌第一線用藥：</w:t>
      </w:r>
      <w:bookmarkEnd w:id="17"/>
      <w:r w:rsidRPr="0014655B">
        <w:rPr>
          <w:rFonts w:ascii="標楷體" w:eastAsia="標楷體" w:hAnsi="標楷體"/>
          <w:szCs w:val="24"/>
        </w:rPr>
        <w:t>轉移性非小細胞肺癌成人病人，非鱗狀癌者需為EGFR/ALK/ROS-1腫瘤基因原生型、鱗狀癌者需為EGFR/ALK腫瘤基因原生型。</w:t>
      </w:r>
      <w:bookmarkStart w:id="18" w:name="_Hlk196827708"/>
      <w:r w:rsidRPr="0014655B">
        <w:rPr>
          <w:rFonts w:ascii="標楷體" w:eastAsia="標楷體" w:hAnsi="標楷體" w:hint="eastAsia"/>
          <w:szCs w:val="24"/>
        </w:rPr>
        <w:t>(</w:t>
      </w:r>
      <w:r w:rsidRPr="0014655B">
        <w:rPr>
          <w:rFonts w:ascii="標楷體" w:eastAsia="標楷體" w:hAnsi="標楷體"/>
          <w:szCs w:val="24"/>
        </w:rPr>
        <w:t>114/6/1</w:t>
      </w:r>
      <w:r w:rsidRPr="0014655B">
        <w:rPr>
          <w:rFonts w:ascii="標楷體" w:eastAsia="標楷體" w:hAnsi="標楷體" w:hint="eastAsia"/>
          <w:szCs w:val="24"/>
        </w:rPr>
        <w:t>)</w:t>
      </w:r>
    </w:p>
    <w:p w:rsidR="002465F4" w:rsidRPr="0014655B" w:rsidRDefault="002465F4" w:rsidP="002465F4">
      <w:pPr>
        <w:numPr>
          <w:ilvl w:val="2"/>
          <w:numId w:val="26"/>
        </w:numPr>
        <w:suppressAutoHyphens w:val="0"/>
        <w:spacing w:line="400" w:lineRule="exact"/>
        <w:ind w:left="1701" w:hanging="567"/>
        <w:jc w:val="both"/>
        <w:textAlignment w:val="auto"/>
        <w:rPr>
          <w:rFonts w:ascii="標楷體" w:eastAsia="標楷體" w:hAnsi="標楷體"/>
          <w:kern w:val="0"/>
          <w:szCs w:val="24"/>
        </w:rPr>
      </w:pPr>
      <w:r w:rsidRPr="0014655B">
        <w:rPr>
          <w:rFonts w:ascii="標楷體" w:eastAsia="標楷體" w:hAnsi="標楷體"/>
          <w:szCs w:val="24"/>
        </w:rPr>
        <w:t>鱗狀非小細胞肺癌第二線用藥：</w:t>
      </w:r>
      <w:bookmarkEnd w:id="18"/>
      <w:r w:rsidRPr="0014655B">
        <w:rPr>
          <w:rFonts w:ascii="標楷體" w:eastAsia="標楷體" w:hAnsi="標楷體"/>
          <w:szCs w:val="24"/>
        </w:rPr>
        <w:t>先前已使用過platinum類化學治療失敗後，又有疾病惡化，且EGFR/ALK腫瘤基因為原生型之晚期鱗狀非小細胞肺癌成人病人。</w:t>
      </w:r>
      <w:bookmarkStart w:id="19" w:name="_Hlk196827713"/>
    </w:p>
    <w:p w:rsidR="002465F4" w:rsidRPr="0014655B" w:rsidRDefault="002465F4" w:rsidP="002465F4">
      <w:pPr>
        <w:numPr>
          <w:ilvl w:val="2"/>
          <w:numId w:val="26"/>
        </w:numPr>
        <w:suppressAutoHyphens w:val="0"/>
        <w:spacing w:line="400" w:lineRule="exact"/>
        <w:ind w:left="1701" w:hanging="425"/>
        <w:jc w:val="both"/>
        <w:textAlignment w:val="auto"/>
        <w:rPr>
          <w:rFonts w:ascii="標楷體" w:eastAsia="標楷體" w:hAnsi="標楷體"/>
          <w:kern w:val="0"/>
          <w:szCs w:val="24"/>
        </w:rPr>
      </w:pPr>
      <w:r w:rsidRPr="0014655B">
        <w:rPr>
          <w:rFonts w:ascii="標楷體" w:eastAsia="標楷體" w:hAnsi="標楷體"/>
          <w:kern w:val="0"/>
          <w:szCs w:val="24"/>
        </w:rPr>
        <w:t>肺腺癌第三線用藥：</w:t>
      </w:r>
      <w:bookmarkEnd w:id="19"/>
      <w:r w:rsidRPr="0014655B">
        <w:rPr>
          <w:rFonts w:ascii="標楷體" w:eastAsia="標楷體" w:hAnsi="標楷體"/>
          <w:kern w:val="0"/>
          <w:szCs w:val="24"/>
        </w:rPr>
        <w:t>先前已使用過platinum類及docetaxel/paclitaxel類二線(含)以上化學治療均失敗，又有疾病惡化，且EGFR/ALK/ROS-1腫瘤基因為原生型之晚期非小細胞肺腺癌成人病人。</w:t>
      </w:r>
    </w:p>
    <w:p w:rsidR="002465F4" w:rsidRPr="0014655B" w:rsidRDefault="002465F4" w:rsidP="002465F4">
      <w:pPr>
        <w:spacing w:line="400" w:lineRule="exact"/>
        <w:ind w:left="1134" w:hanging="386"/>
        <w:rPr>
          <w:rFonts w:ascii="標楷體" w:eastAsia="標楷體" w:hAnsi="標楷體"/>
          <w:color w:val="000000"/>
        </w:rPr>
      </w:pPr>
      <w:r w:rsidRPr="0014655B">
        <w:rPr>
          <w:rFonts w:ascii="標楷體" w:eastAsia="標楷體" w:hAnsi="標楷體"/>
          <w:color w:val="000000"/>
        </w:rPr>
        <w:t>(3)典型何杰金氏淋巴瘤：先前已接受自體造血幹細胞移植(HSCT)與移植後brentuximab vedotin (BV)治療，但又復發或惡化的典型何杰金氏淋巴瘤成人患者。</w:t>
      </w:r>
    </w:p>
    <w:p w:rsidR="002465F4" w:rsidRPr="0014655B" w:rsidRDefault="002465F4" w:rsidP="002465F4">
      <w:pPr>
        <w:spacing w:line="400" w:lineRule="exact"/>
        <w:ind w:left="1134" w:hanging="386"/>
        <w:rPr>
          <w:rFonts w:ascii="標楷體" w:eastAsia="標楷體" w:hAnsi="標楷體"/>
          <w:color w:val="000000"/>
        </w:rPr>
      </w:pPr>
      <w:r w:rsidRPr="0014655B">
        <w:rPr>
          <w:rFonts w:ascii="標楷體" w:eastAsia="標楷體" w:hAnsi="標楷體"/>
          <w:color w:val="000000"/>
        </w:rPr>
        <w:t>(4)泌尿道上皮癌：使用含atezolizumab藥品成分須於113年8月1日前審核同意用藥。(109/11/1、112/10/1、113/8/1)</w:t>
      </w:r>
    </w:p>
    <w:p w:rsidR="002465F4" w:rsidRPr="0014655B" w:rsidRDefault="002465F4" w:rsidP="002465F4">
      <w:pPr>
        <w:spacing w:line="400" w:lineRule="exact"/>
        <w:ind w:left="1558" w:hanging="245"/>
        <w:rPr>
          <w:rFonts w:ascii="標楷體" w:eastAsia="標楷體" w:hAnsi="標楷體"/>
          <w:color w:val="000000"/>
        </w:rPr>
      </w:pPr>
      <w:r w:rsidRPr="0014655B">
        <w:rPr>
          <w:rFonts w:ascii="標楷體" w:eastAsia="標楷體" w:hAnsi="標楷體"/>
          <w:color w:val="000000"/>
        </w:rPr>
        <w:t>I.不適合接受化學治療之轉移性泌尿道上皮癌成人患者，且需符合下列條件之一：</w:t>
      </w:r>
    </w:p>
    <w:p w:rsidR="002465F4" w:rsidRPr="0014655B" w:rsidRDefault="002465F4" w:rsidP="002465F4">
      <w:pPr>
        <w:tabs>
          <w:tab w:val="left" w:pos="1185"/>
        </w:tabs>
        <w:spacing w:line="400" w:lineRule="exact"/>
        <w:ind w:left="1843" w:hanging="259"/>
        <w:rPr>
          <w:rFonts w:ascii="標楷體" w:eastAsia="標楷體" w:hAnsi="標楷體"/>
          <w:color w:val="000000"/>
        </w:rPr>
      </w:pPr>
      <w:r w:rsidRPr="0014655B">
        <w:rPr>
          <w:rFonts w:ascii="標楷體" w:eastAsia="標楷體" w:hAnsi="標楷體"/>
          <w:color w:val="000000"/>
        </w:rPr>
        <w:t>i.CTCAE(the common terminology criteria for adverse events) v4.0 grade≧2 audiometric hearing loss</w:t>
      </w:r>
    </w:p>
    <w:p w:rsidR="002465F4" w:rsidRPr="0014655B" w:rsidRDefault="002465F4" w:rsidP="002465F4">
      <w:pPr>
        <w:tabs>
          <w:tab w:val="left" w:pos="1185"/>
        </w:tabs>
        <w:spacing w:line="400" w:lineRule="exact"/>
        <w:ind w:left="1584"/>
        <w:rPr>
          <w:rFonts w:ascii="標楷體" w:eastAsia="標楷體" w:hAnsi="標楷體"/>
          <w:color w:val="000000"/>
        </w:rPr>
      </w:pPr>
      <w:r w:rsidRPr="0014655B">
        <w:rPr>
          <w:rFonts w:ascii="標楷體" w:eastAsia="標楷體" w:hAnsi="標楷體"/>
          <w:color w:val="000000"/>
        </w:rPr>
        <w:t>ii.CTCAE v4.0 grade≧2 peripheral neuropathy</w:t>
      </w:r>
    </w:p>
    <w:p w:rsidR="002465F4" w:rsidRPr="0014655B" w:rsidRDefault="002465F4" w:rsidP="002465F4">
      <w:pPr>
        <w:tabs>
          <w:tab w:val="left" w:pos="1185"/>
        </w:tabs>
        <w:spacing w:line="400" w:lineRule="exact"/>
        <w:ind w:left="1584"/>
        <w:rPr>
          <w:rFonts w:ascii="標楷體" w:eastAsia="標楷體" w:hAnsi="標楷體"/>
          <w:color w:val="000000"/>
        </w:rPr>
      </w:pPr>
      <w:r w:rsidRPr="0014655B">
        <w:rPr>
          <w:rFonts w:ascii="標楷體" w:eastAsia="標楷體" w:hAnsi="標楷體"/>
          <w:color w:val="000000"/>
        </w:rPr>
        <w:t>iii.CIRS(the cumulative illness rating scale) score &gt;6</w:t>
      </w:r>
    </w:p>
    <w:p w:rsidR="002465F4" w:rsidRPr="0014655B" w:rsidRDefault="002465F4" w:rsidP="002465F4">
      <w:pPr>
        <w:tabs>
          <w:tab w:val="left" w:pos="1185"/>
        </w:tabs>
        <w:spacing w:line="400" w:lineRule="exact"/>
        <w:ind w:left="1685" w:hanging="372"/>
        <w:rPr>
          <w:rFonts w:ascii="標楷體" w:eastAsia="標楷體" w:hAnsi="標楷體"/>
          <w:color w:val="000000"/>
        </w:rPr>
      </w:pPr>
      <w:r w:rsidRPr="0014655B">
        <w:rPr>
          <w:rFonts w:ascii="標楷體" w:eastAsia="標楷體" w:hAnsi="標楷體"/>
          <w:color w:val="000000"/>
        </w:rPr>
        <w:t>II.</w:t>
      </w:r>
      <w:r w:rsidRPr="0014655B">
        <w:rPr>
          <w:rFonts w:ascii="標楷體" w:eastAsia="標楷體" w:hAnsi="標楷體"/>
          <w:color w:val="000000"/>
        </w:rPr>
        <w:tab/>
        <w:t>先前已使用過platinum類化學治療失敗後疾病惡化的局部晚期無法切除或</w:t>
      </w:r>
      <w:r w:rsidRPr="0014655B">
        <w:rPr>
          <w:rFonts w:ascii="標楷體" w:eastAsia="標楷體" w:hAnsi="標楷體"/>
          <w:color w:val="000000"/>
        </w:rPr>
        <w:lastRenderedPageBreak/>
        <w:t>轉移性泌尿道上皮癌成人患者。</w:t>
      </w:r>
    </w:p>
    <w:p w:rsidR="002465F4" w:rsidRPr="0014655B" w:rsidRDefault="002465F4" w:rsidP="002465F4">
      <w:pPr>
        <w:tabs>
          <w:tab w:val="left" w:pos="1185"/>
        </w:tabs>
        <w:spacing w:line="400" w:lineRule="exact"/>
        <w:ind w:left="1712" w:hanging="397"/>
        <w:rPr>
          <w:rFonts w:ascii="標楷體" w:eastAsia="標楷體" w:hAnsi="標楷體"/>
        </w:rPr>
      </w:pPr>
      <w:r w:rsidRPr="0014655B">
        <w:rPr>
          <w:rFonts w:ascii="標楷體" w:eastAsia="標楷體" w:hAnsi="標楷體"/>
          <w:color w:val="000000"/>
        </w:rPr>
        <w:t>III.</w:t>
      </w:r>
      <w:r w:rsidRPr="0014655B">
        <w:rPr>
          <w:rFonts w:ascii="標楷體" w:eastAsia="標楷體" w:hAnsi="標楷體"/>
          <w:szCs w:val="24"/>
        </w:rPr>
        <w:t>限avelumab用於接受第一線含鉑化學治療4至6個療程後，疾病未惡化，</w:t>
      </w:r>
      <w:r w:rsidRPr="0014655B">
        <w:rPr>
          <w:rFonts w:ascii="標楷體" w:eastAsia="標楷體" w:hAnsi="標楷體"/>
          <w:color w:val="000000"/>
          <w:szCs w:val="24"/>
        </w:rPr>
        <w:t>且達部分緩解（PR）或疾病呈穩定狀態者(SD)</w:t>
      </w:r>
      <w:r w:rsidRPr="0014655B">
        <w:rPr>
          <w:rFonts w:ascii="標楷體" w:eastAsia="標楷體" w:hAnsi="標楷體"/>
          <w:szCs w:val="24"/>
        </w:rPr>
        <w:t>之無法手術切除局部晚期(stage Ⅲ)或轉移性泌尿上皮癌(stage Ⅳ)成人患者之維持療法。(112/10/1）</w:t>
      </w:r>
    </w:p>
    <w:p w:rsidR="002465F4" w:rsidRPr="0014655B" w:rsidRDefault="002465F4" w:rsidP="002465F4">
      <w:pPr>
        <w:spacing w:line="400" w:lineRule="exact"/>
        <w:ind w:left="1134" w:hanging="386"/>
        <w:rPr>
          <w:rFonts w:ascii="標楷體" w:eastAsia="標楷體" w:hAnsi="標楷體"/>
          <w:szCs w:val="24"/>
          <w:lang w:val="zh-TW" w:bidi="zh-TW"/>
        </w:rPr>
      </w:pPr>
      <w:r w:rsidRPr="0014655B">
        <w:rPr>
          <w:rFonts w:ascii="標楷體" w:eastAsia="標楷體" w:hAnsi="標楷體"/>
          <w:szCs w:val="24"/>
          <w:lang w:val="zh-TW" w:bidi="zh-TW"/>
        </w:rPr>
        <w:t>(5)頭頸部鱗狀細胞癌(不含鼻咽癌)：(108/4/1、109/11/1、112/12/1)</w:t>
      </w:r>
    </w:p>
    <w:p w:rsidR="002465F4" w:rsidRPr="0014655B" w:rsidRDefault="002465F4" w:rsidP="002465F4">
      <w:pPr>
        <w:tabs>
          <w:tab w:val="left" w:pos="1185"/>
        </w:tabs>
        <w:spacing w:line="400" w:lineRule="exact"/>
        <w:ind w:left="1560" w:hanging="360"/>
        <w:rPr>
          <w:rFonts w:ascii="標楷體" w:eastAsia="標楷體" w:hAnsi="標楷體"/>
        </w:rPr>
      </w:pPr>
      <w:r w:rsidRPr="0014655B">
        <w:rPr>
          <w:rFonts w:ascii="標楷體" w:eastAsia="標楷體" w:hAnsi="標楷體"/>
          <w:szCs w:val="24"/>
          <w:lang w:val="zh-TW" w:bidi="zh-TW"/>
        </w:rPr>
        <w:t>I.先前未曾接受全身性治療</w:t>
      </w:r>
      <w:r w:rsidRPr="0014655B">
        <w:rPr>
          <w:rFonts w:ascii="標楷體" w:eastAsia="標楷體" w:hAnsi="標楷體"/>
          <w:szCs w:val="24"/>
          <w:lang w:bidi="zh-TW"/>
        </w:rPr>
        <w:t>且無法手術切除之復發性或</w:t>
      </w:r>
      <w:r w:rsidRPr="0014655B">
        <w:rPr>
          <w:rFonts w:ascii="標楷體" w:eastAsia="標楷體" w:hAnsi="標楷體"/>
          <w:szCs w:val="24"/>
          <w:lang w:val="zh-TW" w:bidi="zh-TW"/>
        </w:rPr>
        <w:t>轉移性(第三期或第四期)頭頸部鱗狀細胞癌成人患者。（112/12/1)</w:t>
      </w:r>
    </w:p>
    <w:p w:rsidR="002465F4" w:rsidRPr="0014655B" w:rsidRDefault="002465F4" w:rsidP="002465F4">
      <w:pPr>
        <w:tabs>
          <w:tab w:val="left" w:pos="1185"/>
        </w:tabs>
        <w:spacing w:line="400" w:lineRule="exact"/>
        <w:ind w:left="1560" w:hanging="360"/>
        <w:rPr>
          <w:rFonts w:ascii="標楷體" w:eastAsia="標楷體" w:hAnsi="標楷體"/>
        </w:rPr>
      </w:pPr>
      <w:r w:rsidRPr="0014655B">
        <w:rPr>
          <w:rFonts w:ascii="標楷體" w:eastAsia="標楷體" w:hAnsi="標楷體"/>
          <w:szCs w:val="24"/>
          <w:lang w:val="zh-TW" w:bidi="zh-TW"/>
        </w:rPr>
        <w:t>II.先前已使用過platinum類化學治療失敗後，又有疾病惡化的復發</w:t>
      </w:r>
      <w:r w:rsidRPr="0014655B">
        <w:rPr>
          <w:rFonts w:ascii="標楷體" w:eastAsia="標楷體" w:hAnsi="標楷體"/>
          <w:szCs w:val="24"/>
          <w:lang w:bidi="zh-TW"/>
        </w:rPr>
        <w:t>性或</w:t>
      </w:r>
      <w:r w:rsidRPr="0014655B">
        <w:rPr>
          <w:rFonts w:ascii="標楷體" w:eastAsia="標楷體" w:hAnsi="標楷體"/>
          <w:szCs w:val="24"/>
          <w:lang w:val="zh-TW" w:bidi="zh-TW"/>
        </w:rPr>
        <w:t>轉移性(第三期或第四期)頭頸部鱗狀細胞癌成人患者。(108/4/1、109/11/1、112/12/1）</w:t>
      </w:r>
    </w:p>
    <w:p w:rsidR="002465F4" w:rsidRPr="0014655B" w:rsidRDefault="002465F4" w:rsidP="002465F4">
      <w:pPr>
        <w:tabs>
          <w:tab w:val="left" w:pos="1046"/>
        </w:tabs>
        <w:spacing w:line="400" w:lineRule="exact"/>
        <w:ind w:left="1080" w:hanging="360"/>
        <w:rPr>
          <w:rFonts w:ascii="標楷體" w:eastAsia="標楷體" w:hAnsi="標楷體"/>
        </w:rPr>
      </w:pPr>
      <w:r w:rsidRPr="0014655B">
        <w:rPr>
          <w:rFonts w:ascii="標楷體" w:eastAsia="標楷體" w:hAnsi="標楷體"/>
          <w:szCs w:val="24"/>
          <w:lang w:val="zh-TW" w:bidi="zh-TW"/>
        </w:rPr>
        <w:tab/>
      </w:r>
      <w:r w:rsidRPr="0014655B">
        <w:rPr>
          <w:rFonts w:ascii="標楷體" w:eastAsia="標楷體" w:hAnsi="標楷體"/>
          <w:szCs w:val="24"/>
          <w:lang w:val="zh-TW" w:bidi="zh-TW"/>
        </w:rPr>
        <w:tab/>
        <w:t xml:space="preserve"> III.本類藥品與cetuximab僅能擇一使用，且治療失敗時不可互換。(108/4/1）</w:t>
      </w:r>
    </w:p>
    <w:p w:rsidR="002465F4" w:rsidRPr="00B366AA" w:rsidRDefault="002465F4" w:rsidP="002465F4">
      <w:pPr>
        <w:spacing w:line="400" w:lineRule="exact"/>
        <w:ind w:left="1134" w:hanging="386"/>
        <w:rPr>
          <w:rFonts w:ascii="標楷體" w:eastAsia="標楷體" w:hAnsi="標楷體"/>
          <w:szCs w:val="24"/>
          <w:lang w:val="zh-TW" w:bidi="zh-TW"/>
        </w:rPr>
      </w:pPr>
      <w:r w:rsidRPr="0014655B">
        <w:rPr>
          <w:rFonts w:ascii="標楷體" w:eastAsia="標楷體" w:hAnsi="標楷體"/>
          <w:color w:val="000000"/>
        </w:rPr>
        <w:t>(6)轉移</w:t>
      </w:r>
      <w:r w:rsidRPr="00B366AA">
        <w:rPr>
          <w:rFonts w:ascii="標楷體" w:eastAsia="標楷體" w:hAnsi="標楷體"/>
          <w:szCs w:val="24"/>
          <w:lang w:val="zh-TW" w:bidi="zh-TW"/>
        </w:rPr>
        <w:t>性胃癌：先前已使用過二線(含)以上化學治療均失敗，又有疾病惡化的轉移性胃腺癌成人患者，且於109年4月1日前經審核同意用藥，後續評估符合續用申請條件者。(109/4/1)</w:t>
      </w:r>
    </w:p>
    <w:p w:rsidR="002465F4" w:rsidRPr="00B366AA" w:rsidRDefault="002465F4" w:rsidP="002465F4">
      <w:pPr>
        <w:spacing w:line="400" w:lineRule="exact"/>
        <w:ind w:left="1134" w:hanging="386"/>
        <w:rPr>
          <w:rFonts w:ascii="標楷體" w:eastAsia="標楷體" w:hAnsi="標楷體"/>
          <w:szCs w:val="24"/>
          <w:lang w:val="zh-TW" w:bidi="zh-TW"/>
        </w:rPr>
      </w:pPr>
      <w:r w:rsidRPr="00B366AA">
        <w:rPr>
          <w:rFonts w:ascii="標楷體" w:eastAsia="標楷體" w:hAnsi="標楷體"/>
          <w:szCs w:val="24"/>
          <w:lang w:val="zh-TW" w:bidi="zh-TW"/>
        </w:rPr>
        <w:t>(7)晚期腎細胞癌：先前已使用過至少二線標靶藥物治療均失敗，又有疾病惡化之晚期腎細胞癌，其病理上為亮細胞癌(clear cell renal carcinoma)之成人患者。</w:t>
      </w:r>
    </w:p>
    <w:p w:rsidR="002465F4" w:rsidRPr="0014655B" w:rsidRDefault="002465F4" w:rsidP="002465F4">
      <w:pPr>
        <w:spacing w:line="400" w:lineRule="exact"/>
        <w:ind w:left="1134" w:hanging="386"/>
        <w:rPr>
          <w:rFonts w:ascii="標楷體" w:eastAsia="標楷體" w:hAnsi="標楷體"/>
          <w:color w:val="000000"/>
        </w:rPr>
      </w:pPr>
      <w:r w:rsidRPr="00B366AA">
        <w:rPr>
          <w:rFonts w:ascii="標楷體" w:eastAsia="標楷體" w:hAnsi="標楷體"/>
          <w:szCs w:val="24"/>
          <w:lang w:val="zh-TW" w:bidi="zh-TW"/>
        </w:rPr>
        <w:t>(8)晚期肝</w:t>
      </w:r>
      <w:r w:rsidRPr="0014655B">
        <w:rPr>
          <w:rFonts w:ascii="標楷體" w:eastAsia="標楷體" w:hAnsi="標楷體"/>
          <w:color w:val="000000"/>
        </w:rPr>
        <w:t>細胞癌：需同時符合下列所有條件：</w:t>
      </w:r>
    </w:p>
    <w:p w:rsidR="002465F4" w:rsidRPr="0014655B" w:rsidRDefault="002465F4" w:rsidP="002465F4">
      <w:pPr>
        <w:tabs>
          <w:tab w:val="left" w:pos="1185"/>
        </w:tabs>
        <w:spacing w:line="400" w:lineRule="exact"/>
        <w:ind w:left="1416" w:hanging="245"/>
        <w:rPr>
          <w:rFonts w:ascii="標楷體" w:eastAsia="標楷體" w:hAnsi="標楷體"/>
          <w:color w:val="000000"/>
        </w:rPr>
      </w:pPr>
      <w:r w:rsidRPr="0014655B">
        <w:rPr>
          <w:rFonts w:ascii="標楷體" w:eastAsia="標楷體" w:hAnsi="標楷體"/>
          <w:color w:val="000000"/>
        </w:rPr>
        <w:t>Ⅰ.Child-Pugh A class肝細胞癌成人患者。</w:t>
      </w:r>
    </w:p>
    <w:p w:rsidR="002465F4" w:rsidRPr="0014655B" w:rsidRDefault="002465F4" w:rsidP="002465F4">
      <w:pPr>
        <w:tabs>
          <w:tab w:val="left" w:pos="1185"/>
        </w:tabs>
        <w:spacing w:line="400" w:lineRule="exact"/>
        <w:ind w:left="1416" w:hanging="245"/>
        <w:rPr>
          <w:rFonts w:ascii="標楷體" w:eastAsia="標楷體" w:hAnsi="標楷體"/>
          <w:color w:val="000000"/>
        </w:rPr>
      </w:pPr>
      <w:r w:rsidRPr="0014655B">
        <w:rPr>
          <w:rFonts w:ascii="標楷體" w:eastAsia="標楷體" w:hAnsi="標楷體"/>
          <w:color w:val="000000"/>
        </w:rPr>
        <w:t>Ⅱ.先前經T.A.C.E.於12個月內&gt;=3次局部治療失敗者。</w:t>
      </w:r>
    </w:p>
    <w:p w:rsidR="002465F4" w:rsidRPr="0014655B" w:rsidRDefault="002465F4" w:rsidP="002465F4">
      <w:pPr>
        <w:tabs>
          <w:tab w:val="left" w:pos="1185"/>
        </w:tabs>
        <w:spacing w:line="400" w:lineRule="exact"/>
        <w:ind w:left="1416" w:hanging="245"/>
        <w:rPr>
          <w:rFonts w:ascii="標楷體" w:eastAsia="標楷體" w:hAnsi="標楷體"/>
          <w:color w:val="000000"/>
        </w:rPr>
      </w:pPr>
      <w:r w:rsidRPr="0014655B">
        <w:rPr>
          <w:rFonts w:ascii="標楷體" w:eastAsia="標楷體" w:hAnsi="標楷體"/>
          <w:color w:val="000000"/>
        </w:rPr>
        <w:t>Ⅲ.已使用過至少一線標靶藥物治療失敗，又有疾病惡化者。本類藥品與regorafenib、ramucirumab僅能擇一使用，且治療失敗時不可互換。(108/6/1、110/5/1)</w:t>
      </w:r>
    </w:p>
    <w:p w:rsidR="002465F4" w:rsidRPr="0014655B" w:rsidRDefault="002465F4" w:rsidP="002465F4">
      <w:pPr>
        <w:tabs>
          <w:tab w:val="left" w:pos="1185"/>
        </w:tabs>
        <w:spacing w:line="400" w:lineRule="exact"/>
        <w:ind w:left="1416" w:hanging="245"/>
        <w:rPr>
          <w:rFonts w:ascii="標楷體" w:eastAsia="標楷體" w:hAnsi="標楷體"/>
          <w:color w:val="000000"/>
        </w:rPr>
      </w:pPr>
      <w:r w:rsidRPr="0014655B">
        <w:rPr>
          <w:rFonts w:ascii="標楷體" w:eastAsia="標楷體" w:hAnsi="標楷體"/>
          <w:color w:val="000000"/>
        </w:rPr>
        <w:t>Ⅳ.未曾進行肝臟移植。</w:t>
      </w:r>
    </w:p>
    <w:p w:rsidR="002465F4" w:rsidRPr="0014655B" w:rsidRDefault="002465F4" w:rsidP="002465F4">
      <w:pPr>
        <w:tabs>
          <w:tab w:val="left" w:pos="1185"/>
        </w:tabs>
        <w:spacing w:line="400" w:lineRule="exact"/>
        <w:ind w:left="1416" w:hanging="245"/>
        <w:rPr>
          <w:rFonts w:ascii="標楷體" w:eastAsia="標楷體" w:hAnsi="標楷體"/>
          <w:color w:val="000000"/>
        </w:rPr>
      </w:pPr>
      <w:r w:rsidRPr="0014655B">
        <w:rPr>
          <w:rFonts w:ascii="標楷體" w:eastAsia="標楷體" w:hAnsi="標楷體"/>
          <w:color w:val="000000"/>
        </w:rPr>
        <w:t>Ⅴ.於109年4月1日前經審核同意用藥，後續評估符合續用申請條件者。(109/4/1)</w:t>
      </w:r>
    </w:p>
    <w:p w:rsidR="002465F4" w:rsidRPr="00B366AA" w:rsidRDefault="002465F4" w:rsidP="002465F4">
      <w:pPr>
        <w:spacing w:line="400" w:lineRule="exact"/>
        <w:ind w:left="1134" w:hanging="386"/>
        <w:rPr>
          <w:rFonts w:ascii="標楷體" w:eastAsia="標楷體" w:hAnsi="標楷體"/>
          <w:szCs w:val="24"/>
          <w:lang w:val="zh-TW" w:bidi="zh-TW"/>
        </w:rPr>
      </w:pPr>
      <w:r w:rsidRPr="0014655B">
        <w:rPr>
          <w:rFonts w:ascii="標楷體" w:eastAsia="標楷體" w:hAnsi="標楷體"/>
          <w:color w:val="000000"/>
        </w:rPr>
        <w:t>(9)默克細胞</w:t>
      </w:r>
      <w:r w:rsidRPr="00B366AA">
        <w:rPr>
          <w:rFonts w:ascii="標楷體" w:eastAsia="標楷體" w:hAnsi="標楷體"/>
          <w:szCs w:val="24"/>
          <w:lang w:val="zh-TW" w:bidi="zh-TW"/>
        </w:rPr>
        <w:t>癌</w:t>
      </w:r>
      <w:r w:rsidRPr="007B6FCC">
        <w:rPr>
          <w:rFonts w:ascii="標楷體" w:eastAsia="標楷體" w:hAnsi="標楷體"/>
          <w:szCs w:val="24"/>
          <w:lang w:bidi="zh-TW"/>
        </w:rPr>
        <w:t>：</w:t>
      </w:r>
      <w:r w:rsidRPr="00B366AA">
        <w:rPr>
          <w:rFonts w:ascii="標楷體" w:eastAsia="標楷體" w:hAnsi="標楷體"/>
          <w:szCs w:val="24"/>
          <w:lang w:val="zh-TW" w:bidi="zh-TW"/>
        </w:rPr>
        <w:t>限</w:t>
      </w:r>
      <w:r w:rsidRPr="007B6FCC">
        <w:rPr>
          <w:rFonts w:ascii="標楷體" w:eastAsia="標楷體" w:hAnsi="標楷體"/>
          <w:szCs w:val="24"/>
          <w:lang w:bidi="zh-TW"/>
        </w:rPr>
        <w:t>avelumab</w:t>
      </w:r>
      <w:r w:rsidRPr="00B366AA">
        <w:rPr>
          <w:rFonts w:ascii="標楷體" w:eastAsia="標楷體" w:hAnsi="標楷體"/>
          <w:szCs w:val="24"/>
          <w:lang w:val="zh-TW" w:bidi="zh-TW"/>
        </w:rPr>
        <w:t>用於先前已使用過</w:t>
      </w:r>
      <w:r w:rsidRPr="007B6FCC">
        <w:rPr>
          <w:rFonts w:ascii="標楷體" w:eastAsia="標楷體" w:hAnsi="標楷體"/>
          <w:szCs w:val="24"/>
          <w:lang w:bidi="zh-TW"/>
        </w:rPr>
        <w:t>platinum</w:t>
      </w:r>
      <w:r w:rsidRPr="00B366AA">
        <w:rPr>
          <w:rFonts w:ascii="標楷體" w:eastAsia="標楷體" w:hAnsi="標楷體"/>
          <w:szCs w:val="24"/>
          <w:lang w:val="zh-TW" w:bidi="zh-TW"/>
        </w:rPr>
        <w:t>類化學治療失敗後</w:t>
      </w:r>
      <w:r w:rsidRPr="007B6FCC">
        <w:rPr>
          <w:rFonts w:ascii="標楷體" w:eastAsia="標楷體" w:hAnsi="標楷體"/>
          <w:szCs w:val="24"/>
          <w:lang w:bidi="zh-TW"/>
        </w:rPr>
        <w:t>，</w:t>
      </w:r>
      <w:r w:rsidRPr="00B366AA">
        <w:rPr>
          <w:rFonts w:ascii="標楷體" w:eastAsia="標楷體" w:hAnsi="標楷體"/>
          <w:szCs w:val="24"/>
          <w:lang w:val="zh-TW" w:bidi="zh-TW"/>
        </w:rPr>
        <w:t>又有疾病惡化之轉移性第四期默克細胞癌</w:t>
      </w:r>
      <w:r w:rsidRPr="007B6FCC">
        <w:rPr>
          <w:rFonts w:ascii="標楷體" w:eastAsia="標楷體" w:hAnsi="標楷體"/>
          <w:szCs w:val="24"/>
          <w:lang w:bidi="zh-TW"/>
        </w:rPr>
        <w:t>(Merkel Cell Carcinoma)</w:t>
      </w:r>
      <w:r w:rsidRPr="00B366AA">
        <w:rPr>
          <w:rFonts w:ascii="標楷體" w:eastAsia="標楷體" w:hAnsi="標楷體"/>
          <w:szCs w:val="24"/>
          <w:lang w:val="zh-TW" w:bidi="zh-TW"/>
        </w:rPr>
        <w:t>之成人患者。(109/6/1)</w:t>
      </w:r>
    </w:p>
    <w:p w:rsidR="002465F4" w:rsidRPr="00B366AA" w:rsidRDefault="002465F4" w:rsidP="002465F4">
      <w:pPr>
        <w:spacing w:line="400" w:lineRule="exact"/>
        <w:ind w:left="1134" w:hanging="386"/>
        <w:rPr>
          <w:rFonts w:ascii="標楷體" w:eastAsia="標楷體" w:hAnsi="標楷體"/>
          <w:szCs w:val="24"/>
          <w:lang w:val="zh-TW" w:bidi="zh-TW"/>
        </w:rPr>
      </w:pPr>
      <w:r w:rsidRPr="00B366AA">
        <w:rPr>
          <w:rFonts w:ascii="標楷體" w:eastAsia="標楷體" w:hAnsi="標楷體"/>
          <w:szCs w:val="24"/>
          <w:lang w:val="zh-TW" w:bidi="zh-TW"/>
        </w:rPr>
        <w:t>(10)食道鱗狀細胞癌：限以nivolumab 120mg規格量品項用於曾接受合併含鉑及fluoropyrimidine化學治療之後惡化的無法切除晚期或復發性食道鱗狀細胞癌病人。(113/4/1、113/6/1)</w:t>
      </w:r>
    </w:p>
    <w:p w:rsidR="002465F4" w:rsidRPr="0014655B" w:rsidRDefault="002465F4" w:rsidP="002465F4">
      <w:pPr>
        <w:spacing w:line="400" w:lineRule="exact"/>
        <w:ind w:left="1134" w:hanging="386"/>
        <w:rPr>
          <w:rFonts w:ascii="標楷體" w:eastAsia="標楷體" w:hAnsi="標楷體" w:cs="標楷體.鬁..."/>
          <w:color w:val="000000"/>
          <w:kern w:val="0"/>
          <w:szCs w:val="24"/>
        </w:rPr>
      </w:pPr>
      <w:r w:rsidRPr="00B366AA">
        <w:rPr>
          <w:rFonts w:ascii="標楷體" w:eastAsia="標楷體" w:hAnsi="標楷體"/>
          <w:szCs w:val="24"/>
          <w:lang w:val="zh-TW" w:bidi="zh-TW"/>
        </w:rPr>
        <w:t>(11)大腸直腸癌</w:t>
      </w:r>
      <w:r w:rsidRPr="0014655B">
        <w:rPr>
          <w:rFonts w:ascii="標楷體" w:eastAsia="標楷體" w:hAnsi="標楷體" w:cs="標楷體.鬁..."/>
          <w:color w:val="000000"/>
          <w:kern w:val="0"/>
          <w:szCs w:val="24"/>
        </w:rPr>
        <w:t>：限pembrolizumab做為無法切除或轉移性高微衛星不穩定性(MSI-H)或錯誤配對修復功能不足性(dMMR)大腸直腸癌(CRC)之成年病人第一線治療。(114/6/1)</w:t>
      </w:r>
    </w:p>
    <w:p w:rsidR="002465F4" w:rsidRDefault="002465F4" w:rsidP="002465F4">
      <w:pPr>
        <w:tabs>
          <w:tab w:val="left" w:pos="945"/>
        </w:tabs>
        <w:spacing w:line="400" w:lineRule="exact"/>
        <w:ind w:leftChars="236" w:left="708" w:hangingChars="59" w:hanging="142"/>
        <w:rPr>
          <w:rFonts w:ascii="標楷體" w:eastAsia="標楷體" w:hAnsi="標楷體"/>
          <w:szCs w:val="24"/>
        </w:rPr>
      </w:pPr>
      <w:r w:rsidRPr="0014655B">
        <w:rPr>
          <w:rFonts w:ascii="標楷體" w:eastAsia="標楷體" w:hAnsi="標楷體"/>
          <w:color w:val="000000"/>
          <w:szCs w:val="24"/>
        </w:rPr>
        <w:t>2.</w:t>
      </w:r>
      <w:r w:rsidRPr="0014655B">
        <w:rPr>
          <w:rFonts w:ascii="標楷體" w:eastAsia="標楷體" w:hAnsi="標楷體"/>
          <w:szCs w:val="24"/>
        </w:rPr>
        <w:t>本類藥品得於藥品</w:t>
      </w:r>
      <w:r w:rsidRPr="00B366AA">
        <w:rPr>
          <w:rFonts w:ascii="標楷體" w:eastAsia="標楷體" w:hAnsi="標楷體"/>
          <w:color w:val="000000"/>
        </w:rPr>
        <w:t>許可證</w:t>
      </w:r>
      <w:r w:rsidRPr="0014655B">
        <w:rPr>
          <w:rFonts w:ascii="標楷體" w:eastAsia="標楷體" w:hAnsi="標楷體"/>
          <w:szCs w:val="24"/>
        </w:rPr>
        <w:t>登載之適應症及藥品仿單內，併用其他藥品於下列患者：</w:t>
      </w:r>
    </w:p>
    <w:p w:rsidR="002465F4" w:rsidRPr="0014655B" w:rsidRDefault="002465F4" w:rsidP="002465F4">
      <w:pPr>
        <w:tabs>
          <w:tab w:val="left" w:pos="945"/>
        </w:tabs>
        <w:spacing w:line="400" w:lineRule="exact"/>
        <w:ind w:leftChars="295" w:left="708" w:firstLineChars="59" w:firstLine="142"/>
        <w:rPr>
          <w:rFonts w:ascii="標楷體" w:eastAsia="標楷體" w:hAnsi="標楷體"/>
        </w:rPr>
      </w:pPr>
      <w:r w:rsidRPr="0014655B">
        <w:rPr>
          <w:rFonts w:ascii="標楷體" w:eastAsia="標楷體" w:hAnsi="標楷體"/>
          <w:szCs w:val="24"/>
        </w:rPr>
        <w:t>(112/12/1</w:t>
      </w:r>
      <w:r w:rsidRPr="0014655B">
        <w:rPr>
          <w:rFonts w:ascii="標楷體" w:eastAsia="標楷體" w:hAnsi="標楷體"/>
          <w:color w:val="000000"/>
        </w:rPr>
        <w:t>、113/4/1、113/6/1、113/8/1、114/2/1、</w:t>
      </w:r>
      <w:r w:rsidRPr="0014655B">
        <w:rPr>
          <w:rFonts w:ascii="標楷體" w:eastAsia="標楷體" w:hAnsi="標楷體" w:cs="標楷體.鬁..."/>
          <w:color w:val="000000"/>
          <w:kern w:val="0"/>
          <w:szCs w:val="24"/>
        </w:rPr>
        <w:t>114/6/1</w:t>
      </w:r>
      <w:r w:rsidRPr="0014655B">
        <w:rPr>
          <w:rFonts w:ascii="標楷體" w:eastAsia="標楷體" w:hAnsi="標楷體"/>
          <w:szCs w:val="24"/>
        </w:rPr>
        <w:t>)</w:t>
      </w:r>
    </w:p>
    <w:p w:rsidR="002465F4" w:rsidRPr="0014655B" w:rsidRDefault="002465F4" w:rsidP="002465F4">
      <w:pPr>
        <w:spacing w:line="400" w:lineRule="exact"/>
        <w:ind w:left="1134" w:hanging="386"/>
        <w:rPr>
          <w:rFonts w:ascii="標楷體" w:eastAsia="標楷體" w:hAnsi="標楷體"/>
        </w:rPr>
      </w:pPr>
      <w:r w:rsidRPr="0014655B">
        <w:rPr>
          <w:rFonts w:ascii="標楷體" w:eastAsia="標楷體" w:hAnsi="標楷體"/>
          <w:szCs w:val="24"/>
        </w:rPr>
        <w:lastRenderedPageBreak/>
        <w:t>(1)</w:t>
      </w:r>
      <w:r w:rsidRPr="00B366AA">
        <w:rPr>
          <w:rFonts w:ascii="標楷體" w:eastAsia="標楷體" w:hAnsi="標楷體"/>
          <w:szCs w:val="24"/>
          <w:lang w:val="zh-TW" w:bidi="zh-TW"/>
        </w:rPr>
        <w:t>晚期</w:t>
      </w:r>
      <w:r w:rsidRPr="0014655B">
        <w:rPr>
          <w:rFonts w:ascii="標楷體" w:eastAsia="標楷體" w:hAnsi="標楷體"/>
          <w:szCs w:val="24"/>
        </w:rPr>
        <w:t>肝細胞癌第一線用藥(112/8/1、112/10/1、114/2/1):</w:t>
      </w:r>
    </w:p>
    <w:p w:rsidR="002465F4" w:rsidRPr="0014655B" w:rsidRDefault="002465F4" w:rsidP="002465F4">
      <w:pPr>
        <w:spacing w:line="400" w:lineRule="exact"/>
        <w:ind w:left="1514" w:hanging="386"/>
        <w:rPr>
          <w:rFonts w:ascii="標楷體" w:eastAsia="標楷體" w:hAnsi="標楷體"/>
        </w:rPr>
      </w:pPr>
      <w:r w:rsidRPr="0014655B">
        <w:rPr>
          <w:rFonts w:ascii="標楷體" w:eastAsia="標楷體" w:hAnsi="標楷體"/>
          <w:szCs w:val="24"/>
        </w:rPr>
        <w:t>Ⅰ.限atezolizumab與bevacizumab併用，或限durvalumab與tremelimumab併用，適用於治療未曾接受全身性療法之轉移性或無法手術切除且不適合局部治療或局部治療失敗之Child-Pugh A class晚期肝細胞癌成人患者，並符合下列條件之一：（112/8/1、112/10/1、114/2/1)</w:t>
      </w:r>
    </w:p>
    <w:p w:rsidR="002465F4" w:rsidRPr="0014655B" w:rsidRDefault="002465F4" w:rsidP="002465F4">
      <w:pPr>
        <w:tabs>
          <w:tab w:val="left" w:pos="1185"/>
        </w:tabs>
        <w:spacing w:line="400" w:lineRule="exact"/>
        <w:ind w:left="1771" w:hanging="245"/>
        <w:rPr>
          <w:rFonts w:ascii="標楷體" w:eastAsia="標楷體" w:hAnsi="標楷體"/>
          <w:szCs w:val="24"/>
        </w:rPr>
      </w:pPr>
      <w:r w:rsidRPr="0014655B">
        <w:rPr>
          <w:rFonts w:ascii="標楷體" w:eastAsia="標楷體" w:hAnsi="標楷體"/>
          <w:szCs w:val="24"/>
        </w:rPr>
        <w:t>i.肝外轉移（遠端轉移或肝外淋巴結侵犯）。</w:t>
      </w:r>
    </w:p>
    <w:p w:rsidR="002465F4" w:rsidRPr="0014655B" w:rsidRDefault="002465F4" w:rsidP="002465F4">
      <w:pPr>
        <w:tabs>
          <w:tab w:val="left" w:pos="1185"/>
        </w:tabs>
        <w:spacing w:line="400" w:lineRule="exact"/>
        <w:ind w:left="1771" w:hanging="245"/>
        <w:rPr>
          <w:rFonts w:ascii="標楷體" w:eastAsia="標楷體" w:hAnsi="標楷體"/>
          <w:szCs w:val="24"/>
        </w:rPr>
      </w:pPr>
      <w:r w:rsidRPr="0014655B">
        <w:rPr>
          <w:rFonts w:ascii="標楷體" w:eastAsia="標楷體" w:hAnsi="標楷體"/>
          <w:szCs w:val="24"/>
        </w:rPr>
        <w:t>ii.大血管侵犯（腫瘤侵犯主門靜脈或侵犯左/右靜脈第一或第二分支）。</w:t>
      </w:r>
    </w:p>
    <w:p w:rsidR="002465F4" w:rsidRPr="0014655B" w:rsidRDefault="002465F4" w:rsidP="002465F4">
      <w:pPr>
        <w:tabs>
          <w:tab w:val="left" w:pos="1185"/>
        </w:tabs>
        <w:spacing w:line="400" w:lineRule="exact"/>
        <w:ind w:left="1980" w:hanging="454"/>
        <w:rPr>
          <w:rFonts w:ascii="標楷體" w:eastAsia="標楷體" w:hAnsi="標楷體"/>
        </w:rPr>
      </w:pPr>
      <w:r w:rsidRPr="0014655B">
        <w:rPr>
          <w:rFonts w:ascii="標楷體" w:eastAsia="標楷體" w:hAnsi="標楷體"/>
          <w:szCs w:val="24"/>
        </w:rPr>
        <w:t>iii.經導管動脈化學藥物栓塞治療（Transcatheter arterial chemo embolization, T.A.C.E.）失敗者，需提供患者於12個月內&gt;=3次局部治療之紀錄。</w:t>
      </w:r>
    </w:p>
    <w:p w:rsidR="002465F4" w:rsidRPr="0014655B" w:rsidRDefault="002465F4" w:rsidP="002465F4">
      <w:pPr>
        <w:spacing w:line="400" w:lineRule="exact"/>
        <w:ind w:left="1514" w:hanging="386"/>
        <w:rPr>
          <w:rFonts w:ascii="標楷體" w:eastAsia="標楷體" w:hAnsi="標楷體"/>
        </w:rPr>
      </w:pPr>
      <w:r w:rsidRPr="0014655B">
        <w:rPr>
          <w:rFonts w:ascii="標楷體" w:eastAsia="標楷體" w:hAnsi="標楷體"/>
          <w:color w:val="000000"/>
        </w:rPr>
        <w:t>II.</w:t>
      </w:r>
      <w:r w:rsidRPr="0014655B">
        <w:rPr>
          <w:rFonts w:ascii="標楷體" w:eastAsia="標楷體" w:hAnsi="標楷體"/>
          <w:szCs w:val="24"/>
        </w:rPr>
        <w:t>須排除有以下任一情形：</w:t>
      </w:r>
    </w:p>
    <w:p w:rsidR="002465F4" w:rsidRPr="0014655B" w:rsidRDefault="002465F4" w:rsidP="002465F4">
      <w:pPr>
        <w:tabs>
          <w:tab w:val="left" w:pos="1185"/>
        </w:tabs>
        <w:spacing w:line="400" w:lineRule="exact"/>
        <w:ind w:left="1798" w:hanging="245"/>
        <w:rPr>
          <w:rFonts w:ascii="標楷體" w:eastAsia="標楷體" w:hAnsi="標楷體"/>
          <w:szCs w:val="24"/>
        </w:rPr>
      </w:pPr>
      <w:r w:rsidRPr="0014655B">
        <w:rPr>
          <w:rFonts w:ascii="標楷體" w:eastAsia="標楷體" w:hAnsi="標楷體"/>
          <w:szCs w:val="24"/>
        </w:rPr>
        <w:t>i.曾接受器官移植。</w:t>
      </w:r>
    </w:p>
    <w:p w:rsidR="002465F4" w:rsidRPr="0014655B" w:rsidRDefault="002465F4" w:rsidP="002465F4">
      <w:pPr>
        <w:tabs>
          <w:tab w:val="left" w:pos="1185"/>
        </w:tabs>
        <w:spacing w:line="400" w:lineRule="exact"/>
        <w:ind w:left="1798" w:hanging="245"/>
        <w:rPr>
          <w:rFonts w:ascii="標楷體" w:eastAsia="標楷體" w:hAnsi="標楷體"/>
          <w:szCs w:val="24"/>
        </w:rPr>
      </w:pPr>
      <w:r w:rsidRPr="0014655B">
        <w:rPr>
          <w:rFonts w:ascii="標楷體" w:eastAsia="標楷體" w:hAnsi="標楷體"/>
          <w:szCs w:val="24"/>
        </w:rPr>
        <w:t>ii.正在接受免疫抑制藥物治療。</w:t>
      </w:r>
    </w:p>
    <w:p w:rsidR="002465F4" w:rsidRPr="0014655B" w:rsidRDefault="002465F4" w:rsidP="002465F4">
      <w:pPr>
        <w:tabs>
          <w:tab w:val="left" w:pos="1185"/>
        </w:tabs>
        <w:spacing w:line="400" w:lineRule="exact"/>
        <w:ind w:left="2007" w:hanging="454"/>
        <w:rPr>
          <w:rFonts w:ascii="標楷體" w:eastAsia="標楷體" w:hAnsi="標楷體"/>
          <w:szCs w:val="24"/>
        </w:rPr>
      </w:pPr>
      <w:r w:rsidRPr="0014655B">
        <w:rPr>
          <w:rFonts w:ascii="標楷體" w:eastAsia="標楷體" w:hAnsi="標楷體"/>
          <w:szCs w:val="24"/>
        </w:rPr>
        <w:t>iii.有上消化道出血之疑慮且未接受完全治療 (須有半年內之內視鏡評估報告)。</w:t>
      </w:r>
    </w:p>
    <w:p w:rsidR="002465F4" w:rsidRPr="0014655B" w:rsidRDefault="002465F4" w:rsidP="002465F4">
      <w:pPr>
        <w:spacing w:line="400" w:lineRule="exact"/>
        <w:ind w:left="1514" w:hanging="386"/>
        <w:rPr>
          <w:rFonts w:ascii="標楷體" w:eastAsia="標楷體" w:hAnsi="標楷體"/>
        </w:rPr>
      </w:pPr>
      <w:r w:rsidRPr="0014655B">
        <w:rPr>
          <w:rFonts w:ascii="標楷體" w:eastAsia="標楷體" w:hAnsi="標楷體"/>
          <w:color w:val="000000"/>
        </w:rPr>
        <w:t>III.</w:t>
      </w:r>
      <w:r w:rsidRPr="0014655B">
        <w:rPr>
          <w:rFonts w:ascii="標楷體" w:eastAsia="標楷體" w:hAnsi="標楷體" w:cs="Liberation Serif"/>
          <w:szCs w:val="24"/>
        </w:rPr>
        <w:t>sorafenib、lenvatinib、atezolizumab與bevacizumab併用、durvalumab與tremelimumab併用僅得擇一給付，不得互換。(114/2/1)</w:t>
      </w:r>
    </w:p>
    <w:p w:rsidR="002465F4" w:rsidRPr="0014655B" w:rsidRDefault="002465F4" w:rsidP="002465F4">
      <w:pPr>
        <w:spacing w:line="400" w:lineRule="exact"/>
        <w:ind w:left="1514" w:hanging="386"/>
        <w:rPr>
          <w:rFonts w:ascii="標楷體" w:eastAsia="標楷體" w:hAnsi="標楷體"/>
        </w:rPr>
      </w:pPr>
      <w:r w:rsidRPr="0014655B">
        <w:rPr>
          <w:rFonts w:ascii="標楷體" w:eastAsia="標楷體" w:hAnsi="標楷體"/>
          <w:color w:val="000000"/>
        </w:rPr>
        <w:t>IV.</w:t>
      </w:r>
      <w:r w:rsidRPr="0014655B">
        <w:rPr>
          <w:rFonts w:ascii="標楷體" w:eastAsia="標楷體" w:hAnsi="標楷體"/>
          <w:szCs w:val="24"/>
        </w:rPr>
        <w:t>atezolizumab與bevacizumab併用或durvalumab與tremelimumab併用治療失敗後，不得申請使用regorafenib或ramucirumab。(114/2/1)</w:t>
      </w:r>
    </w:p>
    <w:p w:rsidR="002465F4" w:rsidRPr="0014655B" w:rsidRDefault="002465F4" w:rsidP="002465F4">
      <w:pPr>
        <w:spacing w:line="400" w:lineRule="exact"/>
        <w:ind w:left="1134" w:hanging="386"/>
        <w:rPr>
          <w:rFonts w:ascii="標楷體" w:eastAsia="標楷體" w:hAnsi="標楷體"/>
        </w:rPr>
      </w:pPr>
      <w:r>
        <w:rPr>
          <w:rFonts w:ascii="標楷體" w:eastAsia="標楷體" w:hAnsi="標楷體" w:hint="eastAsia"/>
          <w:kern w:val="0"/>
          <w:szCs w:val="24"/>
        </w:rPr>
        <w:t>(2)</w:t>
      </w:r>
      <w:r w:rsidRPr="0014655B">
        <w:rPr>
          <w:rFonts w:ascii="標楷體" w:eastAsia="標楷體" w:hAnsi="標楷體"/>
          <w:kern w:val="0"/>
          <w:szCs w:val="24"/>
        </w:rPr>
        <w:t>非小細胞肺癌：(112/12/1、113/4/1、113/8/1、</w:t>
      </w:r>
      <w:r w:rsidRPr="0014655B">
        <w:rPr>
          <w:rFonts w:ascii="標楷體" w:eastAsia="標楷體" w:hAnsi="標楷體" w:cs="標楷體.鬁..."/>
          <w:color w:val="000000"/>
          <w:kern w:val="0"/>
          <w:szCs w:val="24"/>
        </w:rPr>
        <w:t>114/6/1</w:t>
      </w:r>
      <w:r w:rsidRPr="0014655B">
        <w:rPr>
          <w:rFonts w:ascii="標楷體" w:eastAsia="標楷體" w:hAnsi="標楷體" w:cs="新細明體"/>
          <w:kern w:val="0"/>
          <w:szCs w:val="24"/>
        </w:rPr>
        <w:t>)</w:t>
      </w:r>
    </w:p>
    <w:p w:rsidR="002465F4" w:rsidRPr="0014655B" w:rsidRDefault="002465F4" w:rsidP="002465F4">
      <w:pPr>
        <w:numPr>
          <w:ilvl w:val="0"/>
          <w:numId w:val="27"/>
        </w:numPr>
        <w:spacing w:line="400" w:lineRule="exact"/>
        <w:ind w:left="1560" w:hanging="284"/>
        <w:rPr>
          <w:rFonts w:ascii="標楷體" w:eastAsia="標楷體" w:hAnsi="標楷體"/>
          <w:kern w:val="0"/>
          <w:szCs w:val="24"/>
        </w:rPr>
      </w:pPr>
      <w:r w:rsidRPr="0014655B">
        <w:rPr>
          <w:rFonts w:ascii="標楷體" w:eastAsia="標楷體" w:hAnsi="標楷體"/>
          <w:kern w:val="0"/>
          <w:szCs w:val="24"/>
        </w:rPr>
        <w:t>轉移性鱗狀非小細胞肺癌第一線用藥：限pembrolizumab與carboplatin及paclitaxel併用至多使用4個療程，接續單用pembrolizumab治療。(112/12/1、113/4/1、113/8/1)</w:t>
      </w:r>
    </w:p>
    <w:p w:rsidR="002465F4" w:rsidRPr="0014655B" w:rsidRDefault="002465F4" w:rsidP="002465F4">
      <w:pPr>
        <w:numPr>
          <w:ilvl w:val="0"/>
          <w:numId w:val="27"/>
        </w:numPr>
        <w:spacing w:line="400" w:lineRule="exact"/>
        <w:ind w:left="1701" w:hanging="426"/>
        <w:rPr>
          <w:rFonts w:ascii="標楷體" w:eastAsia="標楷體" w:hAnsi="標楷體"/>
        </w:rPr>
      </w:pPr>
      <w:r w:rsidRPr="0014655B">
        <w:rPr>
          <w:rFonts w:ascii="標楷體" w:eastAsia="標楷體" w:hAnsi="標楷體" w:cs="新細明體"/>
          <w:kern w:val="0"/>
          <w:szCs w:val="24"/>
        </w:rPr>
        <w:t>轉移</w:t>
      </w:r>
      <w:r w:rsidRPr="0014655B">
        <w:rPr>
          <w:rFonts w:ascii="標楷體" w:eastAsia="標楷體" w:hAnsi="標楷體"/>
          <w:kern w:val="0"/>
          <w:szCs w:val="24"/>
        </w:rPr>
        <w:t>性非鱗狀非小細胞肺癌第一線：限pembrolizumab與</w:t>
      </w:r>
      <w:bookmarkStart w:id="20" w:name="_Hlk175765322"/>
      <w:r w:rsidRPr="0014655B">
        <w:rPr>
          <w:rFonts w:ascii="標楷體" w:eastAsia="標楷體" w:hAnsi="標楷體"/>
          <w:kern w:val="0"/>
          <w:szCs w:val="24"/>
        </w:rPr>
        <w:t>pemetrexed</w:t>
      </w:r>
      <w:bookmarkEnd w:id="20"/>
      <w:r w:rsidRPr="0014655B">
        <w:rPr>
          <w:rFonts w:ascii="標楷體" w:eastAsia="標楷體" w:hAnsi="標楷體"/>
          <w:kern w:val="0"/>
          <w:szCs w:val="24"/>
        </w:rPr>
        <w:t>(限使用Pexeda、Apeta或Pemetrexed Sandoz)及含鉑類化學療法併用，或限atezolizumab與bevacizumab(限使用Alymsys、Avastin、Abevmy、Vegzelma或Mvasi)及carboplatin、paclitaxel併用，做為轉移性且不具有EGFR/ALK/ROS-1腫瘤基因異常的非鱗狀非小細胞肺癌第一線治療。(114/6/1、114/8/1)</w:t>
      </w:r>
    </w:p>
    <w:p w:rsidR="002465F4" w:rsidRPr="007F2B01" w:rsidRDefault="002465F4" w:rsidP="002465F4">
      <w:pPr>
        <w:spacing w:line="400" w:lineRule="exact"/>
        <w:ind w:left="1134" w:hanging="386"/>
        <w:rPr>
          <w:rFonts w:ascii="標楷體" w:eastAsia="標楷體" w:hAnsi="標楷體"/>
          <w:kern w:val="0"/>
          <w:szCs w:val="24"/>
        </w:rPr>
      </w:pPr>
      <w:r w:rsidRPr="0014655B">
        <w:rPr>
          <w:rFonts w:ascii="標楷體" w:eastAsia="標楷體" w:hAnsi="標楷體"/>
          <w:szCs w:val="24"/>
        </w:rPr>
        <w:t>(3)小細胞肺癌：</w:t>
      </w:r>
      <w:r w:rsidRPr="007F2B01">
        <w:rPr>
          <w:rFonts w:ascii="標楷體" w:eastAsia="標楷體" w:hAnsi="標楷體"/>
          <w:kern w:val="0"/>
          <w:szCs w:val="24"/>
        </w:rPr>
        <w:t>限atezolizumab與carboplatin及etoposide併用，或durvalumab與etoposide及carboplatin或cisplatin兩者之一併用，適用於先前未曾接受化療，且無腦部或無脊髓轉移之擴散期(extensive stage)小細胞肺癌成人患者。(112/12/1、114/2/1)</w:t>
      </w:r>
    </w:p>
    <w:p w:rsidR="002465F4" w:rsidRPr="007F2B01" w:rsidRDefault="002465F4" w:rsidP="002465F4">
      <w:pPr>
        <w:spacing w:line="400" w:lineRule="exact"/>
        <w:ind w:left="1134" w:hanging="386"/>
        <w:rPr>
          <w:rFonts w:ascii="標楷體" w:eastAsia="標楷體" w:hAnsi="標楷體"/>
          <w:kern w:val="0"/>
          <w:szCs w:val="24"/>
        </w:rPr>
      </w:pPr>
      <w:r w:rsidRPr="0014655B">
        <w:rPr>
          <w:rFonts w:ascii="標楷體" w:eastAsia="標楷體" w:hAnsi="標楷體"/>
          <w:kern w:val="0"/>
          <w:szCs w:val="24"/>
        </w:rPr>
        <w:t>(4)惡性肋膜間皮瘤：限ipilimumab與nivolumab 120mg規格量品項併用於無法切除之惡性肋膜間皮瘤且病理組織顯示為非上皮型(Non-epithelioid)成人病人的第一線治療。(</w:t>
      </w:r>
      <w:r w:rsidRPr="007F2B01">
        <w:rPr>
          <w:rFonts w:ascii="標楷體" w:eastAsia="標楷體" w:hAnsi="標楷體"/>
          <w:kern w:val="0"/>
          <w:szCs w:val="24"/>
        </w:rPr>
        <w:t>113/4/1、113/6/1</w:t>
      </w:r>
      <w:r w:rsidRPr="0014655B">
        <w:rPr>
          <w:rFonts w:ascii="標楷體" w:eastAsia="標楷體" w:hAnsi="標楷體"/>
          <w:kern w:val="0"/>
          <w:szCs w:val="24"/>
        </w:rPr>
        <w:t>)</w:t>
      </w:r>
    </w:p>
    <w:p w:rsidR="002465F4" w:rsidRPr="007F2B01" w:rsidRDefault="002465F4" w:rsidP="002465F4">
      <w:pPr>
        <w:spacing w:line="400" w:lineRule="exact"/>
        <w:ind w:left="1134" w:hanging="386"/>
        <w:rPr>
          <w:rFonts w:ascii="標楷體" w:eastAsia="標楷體" w:hAnsi="標楷體"/>
          <w:kern w:val="0"/>
          <w:szCs w:val="24"/>
        </w:rPr>
      </w:pPr>
      <w:r w:rsidRPr="0014655B">
        <w:rPr>
          <w:rFonts w:ascii="標楷體" w:eastAsia="標楷體" w:hAnsi="標楷體"/>
          <w:kern w:val="0"/>
          <w:szCs w:val="24"/>
        </w:rPr>
        <w:lastRenderedPageBreak/>
        <w:t>(5)胃癌（不含胃腸基質瘤及神經內分泌腫瘤/癌）：限以nivolumab 120mg規格量品項併用fluoropyrimidine（5-FU或capecitabine）及oxaliplatin，用於第一線治療晚期或轉移性且不具有HER2過度表現的胃癌病人。(</w:t>
      </w:r>
      <w:r w:rsidRPr="007F2B01">
        <w:rPr>
          <w:rFonts w:ascii="標楷體" w:eastAsia="標楷體" w:hAnsi="標楷體"/>
          <w:kern w:val="0"/>
          <w:szCs w:val="24"/>
        </w:rPr>
        <w:t>113/4/1、113/6/1</w:t>
      </w:r>
      <w:r w:rsidRPr="0014655B">
        <w:rPr>
          <w:rFonts w:ascii="標楷體" w:eastAsia="標楷體" w:hAnsi="標楷體"/>
          <w:kern w:val="0"/>
          <w:szCs w:val="24"/>
        </w:rPr>
        <w:t>)</w:t>
      </w:r>
    </w:p>
    <w:p w:rsidR="002465F4" w:rsidRPr="0014655B" w:rsidRDefault="002465F4" w:rsidP="002465F4">
      <w:pPr>
        <w:spacing w:line="400" w:lineRule="exact"/>
        <w:ind w:left="1134" w:hanging="386"/>
        <w:rPr>
          <w:rFonts w:ascii="標楷體" w:eastAsia="標楷體" w:hAnsi="標楷體"/>
          <w:kern w:val="0"/>
          <w:szCs w:val="24"/>
        </w:rPr>
      </w:pPr>
      <w:r w:rsidRPr="0014655B">
        <w:rPr>
          <w:rFonts w:ascii="標楷體" w:eastAsia="標楷體" w:hAnsi="標楷體"/>
          <w:kern w:val="0"/>
          <w:szCs w:val="24"/>
        </w:rPr>
        <w:t>(6)膽道癌第一線用藥：限durvalumab與cisplatin及 gemcitabine併用至多使用8個療程，接續單用durvalumab於先前未接受過治療或不可手術之局部晚期或轉移性膽道癌 (biliary tract cancer)，並須排除以下任一情形：(114/2/1)</w:t>
      </w:r>
    </w:p>
    <w:p w:rsidR="002465F4" w:rsidRPr="0014655B" w:rsidRDefault="002465F4" w:rsidP="002465F4">
      <w:pPr>
        <w:tabs>
          <w:tab w:val="left" w:pos="1418"/>
        </w:tabs>
        <w:spacing w:line="400" w:lineRule="exact"/>
        <w:ind w:left="1166" w:firstLine="110"/>
        <w:rPr>
          <w:rFonts w:ascii="標楷體" w:eastAsia="標楷體" w:hAnsi="標楷體"/>
          <w:kern w:val="0"/>
          <w:szCs w:val="24"/>
        </w:rPr>
      </w:pPr>
      <w:r w:rsidRPr="0014655B">
        <w:rPr>
          <w:rFonts w:ascii="標楷體" w:eastAsia="標楷體" w:hAnsi="標楷體"/>
          <w:kern w:val="0"/>
          <w:szCs w:val="24"/>
        </w:rPr>
        <w:t>Ⅰ.壺腹癌。</w:t>
      </w:r>
    </w:p>
    <w:p w:rsidR="002465F4" w:rsidRPr="0014655B" w:rsidRDefault="002465F4" w:rsidP="002465F4">
      <w:pPr>
        <w:tabs>
          <w:tab w:val="left" w:pos="1418"/>
        </w:tabs>
        <w:spacing w:line="400" w:lineRule="exact"/>
        <w:ind w:left="1166" w:firstLine="110"/>
        <w:rPr>
          <w:rFonts w:ascii="標楷體" w:eastAsia="標楷體" w:hAnsi="標楷體"/>
          <w:kern w:val="0"/>
          <w:szCs w:val="24"/>
        </w:rPr>
      </w:pPr>
      <w:r w:rsidRPr="0014655B">
        <w:rPr>
          <w:rFonts w:ascii="標楷體" w:eastAsia="標楷體" w:hAnsi="標楷體"/>
          <w:kern w:val="0"/>
          <w:szCs w:val="24"/>
        </w:rPr>
        <w:t>Ⅱ.曾接受異體器官移植。</w:t>
      </w:r>
    </w:p>
    <w:p w:rsidR="002465F4" w:rsidRPr="0014655B" w:rsidRDefault="002465F4" w:rsidP="002465F4">
      <w:pPr>
        <w:tabs>
          <w:tab w:val="left" w:pos="1418"/>
        </w:tabs>
        <w:spacing w:line="400" w:lineRule="exact"/>
        <w:ind w:left="1166" w:firstLine="110"/>
        <w:rPr>
          <w:rFonts w:ascii="標楷體" w:eastAsia="標楷體" w:hAnsi="標楷體"/>
          <w:kern w:val="0"/>
          <w:szCs w:val="24"/>
        </w:rPr>
      </w:pPr>
      <w:r w:rsidRPr="0014655B">
        <w:rPr>
          <w:rFonts w:ascii="標楷體" w:eastAsia="標楷體" w:hAnsi="標楷體"/>
          <w:kern w:val="0"/>
          <w:szCs w:val="24"/>
        </w:rPr>
        <w:t>Ⅲ.具有或曾有活動性自體免疫或發炎性疾病。</w:t>
      </w:r>
    </w:p>
    <w:p w:rsidR="002465F4" w:rsidRPr="0014655B" w:rsidRDefault="002465F4" w:rsidP="002465F4">
      <w:pPr>
        <w:spacing w:line="400" w:lineRule="exact"/>
        <w:ind w:left="1134" w:hanging="386"/>
        <w:rPr>
          <w:rFonts w:ascii="標楷體" w:eastAsia="標楷體" w:hAnsi="標楷體"/>
          <w:kern w:val="0"/>
          <w:szCs w:val="24"/>
        </w:rPr>
      </w:pPr>
      <w:bookmarkStart w:id="21" w:name="_Hlk191060681"/>
      <w:r>
        <w:rPr>
          <w:rFonts w:ascii="標楷體" w:eastAsia="標楷體" w:hAnsi="標楷體" w:hint="eastAsia"/>
          <w:kern w:val="0"/>
          <w:szCs w:val="24"/>
        </w:rPr>
        <w:t>(7)</w:t>
      </w:r>
      <w:r w:rsidRPr="0014655B">
        <w:rPr>
          <w:rFonts w:ascii="標楷體" w:eastAsia="標楷體" w:hAnsi="標楷體"/>
          <w:kern w:val="0"/>
          <w:szCs w:val="24"/>
        </w:rPr>
        <w:t>早期三陰性乳癌：非轉移性、第II期至第IIIb期</w:t>
      </w:r>
      <w:bookmarkEnd w:id="21"/>
      <w:r w:rsidRPr="0014655B">
        <w:rPr>
          <w:rFonts w:ascii="標楷體" w:eastAsia="標楷體" w:hAnsi="標楷體"/>
          <w:kern w:val="0"/>
          <w:szCs w:val="24"/>
        </w:rPr>
        <w:t>（cT1c N1-2 或 T2-4 N0-2）成年病人(114/6/1)：</w:t>
      </w:r>
    </w:p>
    <w:p w:rsidR="002465F4" w:rsidRPr="0014655B" w:rsidRDefault="002465F4" w:rsidP="002465F4">
      <w:pPr>
        <w:numPr>
          <w:ilvl w:val="0"/>
          <w:numId w:val="29"/>
        </w:numPr>
        <w:tabs>
          <w:tab w:val="left" w:pos="1418"/>
        </w:tabs>
        <w:suppressAutoHyphens w:val="0"/>
        <w:spacing w:line="400" w:lineRule="exact"/>
        <w:ind w:left="1701" w:hanging="425"/>
        <w:jc w:val="both"/>
        <w:textAlignment w:val="auto"/>
        <w:rPr>
          <w:rFonts w:ascii="標楷體" w:eastAsia="標楷體" w:hAnsi="標楷體"/>
        </w:rPr>
      </w:pPr>
      <w:r w:rsidRPr="0014655B">
        <w:rPr>
          <w:rFonts w:ascii="標楷體" w:eastAsia="標楷體" w:hAnsi="標楷體"/>
          <w:kern w:val="0"/>
          <w:szCs w:val="24"/>
        </w:rPr>
        <w:t>術前前導性治療：</w:t>
      </w:r>
      <w:r w:rsidRPr="0014655B">
        <w:rPr>
          <w:rFonts w:ascii="標楷體" w:eastAsia="標楷體" w:hAnsi="標楷體" w:cs="新細明體"/>
          <w:kern w:val="0"/>
          <w:szCs w:val="24"/>
        </w:rPr>
        <w:t>限pembrolizumab每3週1次與carboplatin和paclitaxel併用至多4個療程，接續限pembrolizumab每3週1次與cyclophosphamide和doxorubicin或epirubicin併用至多4個療程，做為初診斷病人前導性治療用藥。</w:t>
      </w:r>
      <w:bookmarkStart w:id="22" w:name="_Hlk191373815"/>
    </w:p>
    <w:bookmarkEnd w:id="22"/>
    <w:p w:rsidR="002465F4" w:rsidRPr="0014655B" w:rsidRDefault="002465F4" w:rsidP="002465F4">
      <w:pPr>
        <w:numPr>
          <w:ilvl w:val="0"/>
          <w:numId w:val="29"/>
        </w:numPr>
        <w:tabs>
          <w:tab w:val="left" w:pos="1418"/>
        </w:tabs>
        <w:suppressAutoHyphens w:val="0"/>
        <w:spacing w:line="400" w:lineRule="exact"/>
        <w:ind w:left="1701" w:hanging="425"/>
        <w:jc w:val="both"/>
        <w:textAlignment w:val="auto"/>
        <w:rPr>
          <w:rFonts w:ascii="標楷體" w:eastAsia="標楷體" w:hAnsi="標楷體"/>
          <w:kern w:val="0"/>
          <w:szCs w:val="24"/>
        </w:rPr>
      </w:pPr>
      <w:r w:rsidRPr="0014655B">
        <w:rPr>
          <w:rFonts w:ascii="標楷體" w:eastAsia="標楷體" w:hAnsi="標楷體"/>
          <w:kern w:val="0"/>
          <w:szCs w:val="24"/>
        </w:rPr>
        <w:t>術後輔助治療：上述病人接受過術前前導性治療後，限手術後未達pCR者，單用pembrolizumab每3週1次，做為輔助治療用藥，且至多使用9個療程。</w:t>
      </w:r>
    </w:p>
    <w:p w:rsidR="002465F4" w:rsidRPr="0014655B" w:rsidRDefault="002465F4" w:rsidP="002465F4">
      <w:pPr>
        <w:numPr>
          <w:ilvl w:val="0"/>
          <w:numId w:val="29"/>
        </w:numPr>
        <w:tabs>
          <w:tab w:val="left" w:pos="1418"/>
        </w:tabs>
        <w:suppressAutoHyphens w:val="0"/>
        <w:spacing w:line="400" w:lineRule="exact"/>
        <w:ind w:left="1701" w:hanging="425"/>
        <w:jc w:val="both"/>
        <w:textAlignment w:val="auto"/>
        <w:rPr>
          <w:rFonts w:ascii="標楷體" w:eastAsia="標楷體" w:hAnsi="標楷體"/>
          <w:kern w:val="0"/>
          <w:szCs w:val="24"/>
        </w:rPr>
      </w:pPr>
      <w:r w:rsidRPr="0014655B">
        <w:rPr>
          <w:rFonts w:ascii="標楷體" w:eastAsia="標楷體" w:hAnsi="標楷體"/>
          <w:kern w:val="0"/>
          <w:szCs w:val="24"/>
        </w:rPr>
        <w:t>上述pembrolizumab用於早期三陰性乳癌依前述療程規定至多使用17個療程，且用於術後輔助治療，pembrolizumab與olaparib僅能擇一支付。</w:t>
      </w:r>
    </w:p>
    <w:p w:rsidR="002465F4" w:rsidRPr="0014655B" w:rsidRDefault="002465F4" w:rsidP="002465F4">
      <w:pPr>
        <w:tabs>
          <w:tab w:val="left" w:pos="945"/>
        </w:tabs>
        <w:spacing w:line="400" w:lineRule="exact"/>
        <w:ind w:leftChars="-1" w:left="-2" w:firstLineChars="237" w:firstLine="569"/>
        <w:rPr>
          <w:rFonts w:ascii="標楷體" w:eastAsia="標楷體" w:hAnsi="標楷體"/>
          <w:color w:val="000000"/>
        </w:rPr>
      </w:pPr>
      <w:r w:rsidRPr="0014655B">
        <w:rPr>
          <w:rFonts w:ascii="標楷體" w:eastAsia="標楷體" w:hAnsi="標楷體"/>
          <w:color w:val="000000"/>
        </w:rPr>
        <w:t>3.使用條件：</w:t>
      </w:r>
    </w:p>
    <w:p w:rsidR="002465F4" w:rsidRPr="007F2B01" w:rsidRDefault="002465F4" w:rsidP="002465F4">
      <w:pPr>
        <w:spacing w:line="400" w:lineRule="exact"/>
        <w:ind w:left="1134" w:hanging="386"/>
        <w:rPr>
          <w:rFonts w:ascii="標楷體" w:eastAsia="標楷體" w:hAnsi="標楷體"/>
          <w:kern w:val="0"/>
          <w:szCs w:val="24"/>
        </w:rPr>
      </w:pPr>
      <w:r w:rsidRPr="0014655B">
        <w:rPr>
          <w:rFonts w:ascii="標楷體" w:eastAsia="標楷體" w:hAnsi="標楷體"/>
          <w:color w:val="000000"/>
        </w:rPr>
        <w:t>(1)</w:t>
      </w:r>
      <w:r w:rsidRPr="0014655B">
        <w:rPr>
          <w:rFonts w:ascii="標楷體" w:eastAsia="標楷體" w:hAnsi="標楷體"/>
          <w:color w:val="000000"/>
        </w:rPr>
        <w:tab/>
        <w:t>病人</w:t>
      </w:r>
      <w:r w:rsidRPr="007F2B01">
        <w:rPr>
          <w:rFonts w:ascii="標楷體" w:eastAsia="標楷體" w:hAnsi="標楷體"/>
          <w:kern w:val="0"/>
          <w:szCs w:val="24"/>
        </w:rPr>
        <w:t>身體狀況良好(ECOG≦1)。</w:t>
      </w:r>
    </w:p>
    <w:p w:rsidR="002465F4" w:rsidRPr="0014655B" w:rsidRDefault="002465F4" w:rsidP="002465F4">
      <w:pPr>
        <w:spacing w:line="400" w:lineRule="exact"/>
        <w:ind w:left="1134" w:hanging="386"/>
        <w:rPr>
          <w:rFonts w:ascii="標楷體" w:eastAsia="標楷體" w:hAnsi="標楷體"/>
          <w:color w:val="000000"/>
        </w:rPr>
      </w:pPr>
      <w:r w:rsidRPr="007F2B01">
        <w:rPr>
          <w:rFonts w:ascii="標楷體" w:eastAsia="標楷體" w:hAnsi="標楷體"/>
          <w:kern w:val="0"/>
          <w:szCs w:val="24"/>
        </w:rPr>
        <w:t>(2)</w:t>
      </w:r>
      <w:r w:rsidRPr="007F2B01">
        <w:rPr>
          <w:rFonts w:ascii="標楷體" w:eastAsia="標楷體" w:hAnsi="標楷體"/>
          <w:kern w:val="0"/>
          <w:szCs w:val="24"/>
        </w:rPr>
        <w:tab/>
        <w:t>病人之</w:t>
      </w:r>
      <w:r w:rsidRPr="0014655B">
        <w:rPr>
          <w:rFonts w:ascii="標楷體" w:eastAsia="標楷體" w:hAnsi="標楷體"/>
          <w:color w:val="000000"/>
        </w:rPr>
        <w:t>心肺與肝腎功能須符合下列所有條件：</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I.NYHA(the New York Heart Association) Functional Class I或II</w:t>
      </w:r>
    </w:p>
    <w:p w:rsidR="002465F4" w:rsidRDefault="002465F4" w:rsidP="002465F4">
      <w:pPr>
        <w:tabs>
          <w:tab w:val="left" w:pos="2552"/>
        </w:tabs>
        <w:spacing w:line="400" w:lineRule="exact"/>
        <w:ind w:left="1276"/>
        <w:jc w:val="both"/>
        <w:rPr>
          <w:rFonts w:ascii="標楷體" w:eastAsia="標楷體" w:hAnsi="標楷體"/>
          <w:color w:val="000000"/>
        </w:rPr>
      </w:pPr>
      <w:r w:rsidRPr="0014655B">
        <w:rPr>
          <w:rFonts w:ascii="標楷體" w:eastAsia="標楷體" w:hAnsi="標楷體"/>
          <w:color w:val="000000"/>
        </w:rPr>
        <w:t>II.GOT&lt;60U/L及GPT&lt;60U/L，且T-bilirubin&lt;1.5mg/dL (晚期肝細胞癌以及膽</w:t>
      </w:r>
    </w:p>
    <w:p w:rsidR="002465F4" w:rsidRPr="0014655B" w:rsidRDefault="002465F4" w:rsidP="002465F4">
      <w:pPr>
        <w:tabs>
          <w:tab w:val="left" w:pos="2552"/>
        </w:tabs>
        <w:spacing w:line="400" w:lineRule="exact"/>
        <w:ind w:left="1701"/>
        <w:jc w:val="both"/>
        <w:rPr>
          <w:rFonts w:ascii="標楷體" w:eastAsia="標楷體" w:hAnsi="標楷體"/>
          <w:color w:val="000000"/>
        </w:rPr>
      </w:pPr>
      <w:r w:rsidRPr="0014655B">
        <w:rPr>
          <w:rFonts w:ascii="標楷體" w:eastAsia="標楷體" w:hAnsi="標楷體"/>
          <w:color w:val="000000"/>
        </w:rPr>
        <w:t>道癌病人可免除此條件)(114/2/1)</w:t>
      </w:r>
    </w:p>
    <w:p w:rsidR="002465F4" w:rsidRPr="0014655B" w:rsidRDefault="002465F4" w:rsidP="002465F4">
      <w:pPr>
        <w:tabs>
          <w:tab w:val="left" w:pos="2552"/>
        </w:tabs>
        <w:spacing w:line="400" w:lineRule="exact"/>
        <w:ind w:left="1276"/>
        <w:jc w:val="both"/>
        <w:rPr>
          <w:rFonts w:ascii="標楷體" w:eastAsia="標楷體" w:hAnsi="標楷體"/>
          <w:color w:val="000000"/>
        </w:rPr>
      </w:pPr>
      <w:r w:rsidRPr="0014655B">
        <w:rPr>
          <w:rFonts w:ascii="標楷體" w:eastAsia="標楷體" w:hAnsi="標楷體"/>
          <w:color w:val="000000"/>
        </w:rPr>
        <w:t>III.腎功能：(晚期腎細胞癌病人可免除此條件) (109/4/1、112/10/1)</w:t>
      </w:r>
    </w:p>
    <w:p w:rsidR="002465F4" w:rsidRPr="0014655B" w:rsidRDefault="002465F4" w:rsidP="002465F4">
      <w:pPr>
        <w:tabs>
          <w:tab w:val="left" w:pos="1185"/>
        </w:tabs>
        <w:spacing w:line="400" w:lineRule="exact"/>
        <w:ind w:left="1985" w:hanging="284"/>
        <w:jc w:val="both"/>
        <w:rPr>
          <w:rFonts w:ascii="標楷體" w:eastAsia="標楷體" w:hAnsi="標楷體"/>
        </w:rPr>
      </w:pPr>
      <w:r w:rsidRPr="0014655B">
        <w:rPr>
          <w:rFonts w:ascii="標楷體" w:eastAsia="標楷體" w:hAnsi="標楷體"/>
          <w:color w:val="000000"/>
        </w:rPr>
        <w:t>i.泌尿道上皮癌第一線用藥：eGFR&gt;30mL/min/1.73</w:t>
      </w:r>
      <w:r w:rsidRPr="0014655B">
        <w:rPr>
          <w:rFonts w:ascii="標楷體" w:eastAsia="標楷體" w:hAnsi="標楷體"/>
          <w:szCs w:val="24"/>
        </w:rPr>
        <w:t>m</w:t>
      </w:r>
      <w:r w:rsidRPr="0014655B">
        <w:rPr>
          <w:rFonts w:ascii="標楷體" w:eastAsia="標楷體" w:hAnsi="標楷體"/>
          <w:szCs w:val="24"/>
          <w:vertAlign w:val="superscript"/>
        </w:rPr>
        <w:t>2</w:t>
      </w:r>
      <w:r w:rsidRPr="0014655B">
        <w:rPr>
          <w:rFonts w:ascii="標楷體" w:eastAsia="標楷體" w:hAnsi="標楷體"/>
          <w:color w:val="000000"/>
        </w:rPr>
        <w:t>且&lt;60mL/min/1.73</w:t>
      </w:r>
      <w:r w:rsidRPr="0014655B">
        <w:rPr>
          <w:rFonts w:ascii="標楷體" w:eastAsia="標楷體" w:hAnsi="標楷體"/>
          <w:szCs w:val="24"/>
        </w:rPr>
        <w:t>m</w:t>
      </w:r>
      <w:r w:rsidRPr="0014655B">
        <w:rPr>
          <w:rFonts w:ascii="標楷體" w:eastAsia="標楷體" w:hAnsi="標楷體"/>
          <w:szCs w:val="24"/>
          <w:vertAlign w:val="superscript"/>
        </w:rPr>
        <w:t>2</w:t>
      </w:r>
      <w:r w:rsidRPr="0014655B">
        <w:rPr>
          <w:rFonts w:ascii="標楷體" w:eastAsia="標楷體" w:hAnsi="標楷體"/>
          <w:color w:val="000000"/>
        </w:rPr>
        <w:t>。</w:t>
      </w:r>
    </w:p>
    <w:p w:rsidR="002465F4" w:rsidRPr="0014655B" w:rsidRDefault="002465F4" w:rsidP="002465F4">
      <w:pPr>
        <w:tabs>
          <w:tab w:val="left" w:pos="1185"/>
        </w:tabs>
        <w:spacing w:line="400" w:lineRule="exact"/>
        <w:ind w:left="1985" w:hanging="284"/>
        <w:jc w:val="both"/>
        <w:rPr>
          <w:rFonts w:ascii="標楷體" w:eastAsia="標楷體" w:hAnsi="標楷體"/>
        </w:rPr>
      </w:pPr>
      <w:r w:rsidRPr="0014655B">
        <w:rPr>
          <w:rFonts w:ascii="標楷體" w:eastAsia="標楷體" w:hAnsi="標楷體"/>
          <w:color w:val="000000"/>
        </w:rPr>
        <w:t>ii.泌尿道上皮癌第二線用藥：eGFR&gt;30mL/min/1.73</w:t>
      </w:r>
      <w:r w:rsidRPr="0014655B">
        <w:rPr>
          <w:rFonts w:ascii="標楷體" w:eastAsia="標楷體" w:hAnsi="標楷體"/>
          <w:szCs w:val="24"/>
        </w:rPr>
        <w:t>m</w:t>
      </w:r>
      <w:r w:rsidRPr="0014655B">
        <w:rPr>
          <w:rFonts w:ascii="標楷體" w:eastAsia="標楷體" w:hAnsi="標楷體"/>
          <w:szCs w:val="24"/>
          <w:vertAlign w:val="superscript"/>
        </w:rPr>
        <w:t>2</w:t>
      </w:r>
      <w:r w:rsidRPr="0014655B">
        <w:rPr>
          <w:rFonts w:ascii="標楷體" w:eastAsia="標楷體" w:hAnsi="標楷體"/>
          <w:color w:val="000000"/>
        </w:rPr>
        <w:t>。</w:t>
      </w:r>
    </w:p>
    <w:p w:rsidR="002465F4" w:rsidRPr="0014655B" w:rsidRDefault="002465F4" w:rsidP="002465F4">
      <w:pPr>
        <w:tabs>
          <w:tab w:val="left" w:pos="1185"/>
        </w:tabs>
        <w:spacing w:line="400" w:lineRule="exact"/>
        <w:ind w:left="1985" w:hanging="284"/>
        <w:jc w:val="both"/>
        <w:rPr>
          <w:rFonts w:ascii="標楷體" w:eastAsia="標楷體" w:hAnsi="標楷體"/>
        </w:rPr>
      </w:pPr>
      <w:r w:rsidRPr="0014655B">
        <w:rPr>
          <w:rFonts w:ascii="標楷體" w:eastAsia="標楷體" w:hAnsi="標楷體"/>
          <w:color w:val="000000"/>
          <w:szCs w:val="24"/>
        </w:rPr>
        <w:t>iii.</w:t>
      </w:r>
      <w:r w:rsidRPr="0014655B">
        <w:rPr>
          <w:rFonts w:ascii="標楷體" w:eastAsia="標楷體" w:hAnsi="標楷體"/>
          <w:szCs w:val="24"/>
        </w:rPr>
        <w:t>泌尿道上皮癌維持治療（112/10/1）</w:t>
      </w:r>
      <w:r w:rsidRPr="0014655B">
        <w:rPr>
          <w:rFonts w:ascii="標楷體" w:eastAsia="標楷體" w:hAnsi="標楷體"/>
          <w:color w:val="000000"/>
        </w:rPr>
        <w:t>：</w:t>
      </w:r>
      <w:r w:rsidRPr="0014655B">
        <w:rPr>
          <w:rFonts w:ascii="標楷體" w:eastAsia="標楷體" w:hAnsi="標楷體"/>
          <w:szCs w:val="24"/>
        </w:rPr>
        <w:t>eGFR&gt;30mL/min/1.73m</w:t>
      </w:r>
      <w:r w:rsidRPr="0014655B">
        <w:rPr>
          <w:rFonts w:ascii="標楷體" w:eastAsia="標楷體" w:hAnsi="標楷體"/>
          <w:szCs w:val="24"/>
          <w:vertAlign w:val="superscript"/>
        </w:rPr>
        <w:t>2</w:t>
      </w:r>
      <w:r w:rsidRPr="0014655B">
        <w:rPr>
          <w:rFonts w:ascii="標楷體" w:eastAsia="標楷體" w:hAnsi="標楷體"/>
          <w:szCs w:val="24"/>
        </w:rPr>
        <w:t>。</w:t>
      </w:r>
    </w:p>
    <w:p w:rsidR="002465F4" w:rsidRPr="0014655B" w:rsidRDefault="002465F4" w:rsidP="002465F4">
      <w:pPr>
        <w:tabs>
          <w:tab w:val="left" w:pos="1185"/>
        </w:tabs>
        <w:spacing w:line="400" w:lineRule="exact"/>
        <w:ind w:left="1985" w:hanging="284"/>
        <w:jc w:val="both"/>
        <w:rPr>
          <w:rFonts w:ascii="標楷體" w:eastAsia="標楷體" w:hAnsi="標楷體"/>
        </w:rPr>
      </w:pPr>
      <w:r w:rsidRPr="0014655B">
        <w:rPr>
          <w:rFonts w:ascii="標楷體" w:eastAsia="標楷體" w:hAnsi="標楷體"/>
          <w:szCs w:val="24"/>
        </w:rPr>
        <w:t>iv.</w:t>
      </w:r>
      <w:r w:rsidRPr="0014655B">
        <w:rPr>
          <w:rFonts w:ascii="標楷體" w:eastAsia="標楷體" w:hAnsi="標楷體"/>
          <w:color w:val="000000"/>
        </w:rPr>
        <w:t>其他癌別：Creatinine&lt;1.5mg/dL且eGFR&gt;60mL/min/1.73m</w:t>
      </w:r>
      <w:r w:rsidRPr="0014655B">
        <w:rPr>
          <w:rFonts w:ascii="標楷體" w:eastAsia="標楷體" w:hAnsi="標楷體"/>
          <w:color w:val="000000"/>
          <w:vertAlign w:val="superscript"/>
        </w:rPr>
        <w:t>2</w:t>
      </w:r>
      <w:r w:rsidRPr="0014655B">
        <w:rPr>
          <w:rFonts w:ascii="標楷體" w:eastAsia="標楷體" w:hAnsi="標楷體"/>
          <w:color w:val="000000"/>
        </w:rPr>
        <w:t>。</w:t>
      </w:r>
    </w:p>
    <w:p w:rsidR="002465F4" w:rsidRPr="0014655B" w:rsidRDefault="002465F4" w:rsidP="002465F4">
      <w:pPr>
        <w:tabs>
          <w:tab w:val="left" w:pos="2552"/>
        </w:tabs>
        <w:spacing w:line="400" w:lineRule="exact"/>
        <w:ind w:leftChars="237" w:left="1133" w:hangingChars="235" w:hanging="564"/>
        <w:jc w:val="both"/>
        <w:rPr>
          <w:rFonts w:ascii="標楷體" w:eastAsia="標楷體" w:hAnsi="標楷體"/>
        </w:rPr>
      </w:pPr>
      <w:r w:rsidRPr="0014655B">
        <w:rPr>
          <w:rFonts w:ascii="標楷體" w:eastAsia="標楷體" w:hAnsi="標楷體"/>
          <w:color w:val="000000"/>
        </w:rPr>
        <w:t xml:space="preserve"> (3)</w:t>
      </w:r>
      <w:r w:rsidRPr="00FE6497">
        <w:rPr>
          <w:rFonts w:ascii="標楷體" w:eastAsia="標楷體" w:hAnsi="標楷體"/>
          <w:color w:val="000000"/>
        </w:rPr>
        <w:t>病人</w:t>
      </w:r>
      <w:r w:rsidRPr="0014655B">
        <w:rPr>
          <w:rFonts w:ascii="標楷體" w:eastAsia="標楷體" w:hAnsi="標楷體"/>
          <w:szCs w:val="24"/>
        </w:rPr>
        <w:t>之生物標記表現：除ipilimumab與nivolumab併用於惡性肋膜間皮瘤外，依個別藥品使用其對應之第三等級體外診斷醫療器材(class III IVD)所檢測之PD-L1表現量需符合下表：(109/4/1、109/6/1、111/4/1、112/8/1、112/10/1、112/12/1、113/2/1、113/4/1、113/6/1、113/8/1、114/2/1、114/6/1</w:t>
      </w:r>
      <w:r w:rsidRPr="0014655B">
        <w:rPr>
          <w:rFonts w:ascii="標楷體" w:eastAsia="標楷體" w:hAnsi="標楷體" w:hint="eastAsia"/>
          <w:szCs w:val="24"/>
        </w:rPr>
        <w:t>、114/8/1</w:t>
      </w:r>
      <w:r>
        <w:rPr>
          <w:rFonts w:ascii="標楷體" w:eastAsia="標楷體" w:hAnsi="標楷體" w:hint="eastAsia"/>
          <w:szCs w:val="24"/>
        </w:rPr>
        <w:t>、114/10/1</w:t>
      </w:r>
      <w:r w:rsidRPr="0014655B">
        <w:rPr>
          <w:rFonts w:ascii="標楷體" w:eastAsia="標楷體" w:hAnsi="標楷體"/>
          <w:szCs w:val="24"/>
        </w:rPr>
        <w:t>)</w:t>
      </w:r>
    </w:p>
    <w:tbl>
      <w:tblPr>
        <w:tblW w:w="5000" w:type="pct"/>
        <w:jc w:val="center"/>
        <w:tblCellMar>
          <w:left w:w="10" w:type="dxa"/>
          <w:right w:w="10" w:type="dxa"/>
        </w:tblCellMar>
        <w:tblLook w:val="0000" w:firstRow="0" w:lastRow="0" w:firstColumn="0" w:lastColumn="0" w:noHBand="0" w:noVBand="0"/>
      </w:tblPr>
      <w:tblGrid>
        <w:gridCol w:w="1781"/>
        <w:gridCol w:w="645"/>
        <w:gridCol w:w="1673"/>
        <w:gridCol w:w="1279"/>
        <w:gridCol w:w="1628"/>
        <w:gridCol w:w="1302"/>
        <w:gridCol w:w="1320"/>
      </w:tblGrid>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widowControl/>
              <w:spacing w:line="400" w:lineRule="exact"/>
              <w:jc w:val="center"/>
              <w:rPr>
                <w:rFonts w:ascii="標楷體" w:eastAsia="標楷體" w:hAnsi="標楷體"/>
                <w:kern w:val="0"/>
                <w:sz w:val="20"/>
                <w:szCs w:val="20"/>
              </w:rPr>
            </w:pPr>
            <w:r w:rsidRPr="0014655B">
              <w:rPr>
                <w:rFonts w:ascii="標楷體" w:eastAsia="標楷體" w:hAnsi="標楷體"/>
                <w:kern w:val="0"/>
                <w:sz w:val="20"/>
                <w:szCs w:val="20"/>
              </w:rPr>
              <w:lastRenderedPageBreak/>
              <w:t>給付範圍</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事審代碼</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pembrolizumab</w:t>
            </w:r>
          </w:p>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(Dako 22C3或Ventana SP263*)</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nivolumab</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(Dako 28-8或Ventana SP263*)</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atezolizumab</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(Ventana SP142)</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avelumab</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(Ventana SP263*)</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Durvalumab</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(Ventana SP263*)</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黑色素瘤</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P001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kern w:val="0"/>
                <w:sz w:val="20"/>
                <w:szCs w:val="20"/>
              </w:rPr>
            </w:pPr>
            <w:r w:rsidRPr="0014655B">
              <w:rPr>
                <w:rFonts w:ascii="標楷體" w:eastAsia="標楷體" w:hAnsi="標楷體"/>
                <w:kern w:val="0"/>
                <w:sz w:val="20"/>
                <w:szCs w:val="20"/>
              </w:rPr>
              <w:t>非小細胞肺癌</w:t>
            </w:r>
          </w:p>
          <w:p w:rsidR="002465F4" w:rsidRPr="0014655B" w:rsidRDefault="002465F4" w:rsidP="00336F3D">
            <w:pPr>
              <w:spacing w:line="400" w:lineRule="exact"/>
              <w:jc w:val="center"/>
              <w:rPr>
                <w:rFonts w:ascii="標楷體" w:eastAsia="標楷體" w:hAnsi="標楷體"/>
                <w:kern w:val="0"/>
                <w:sz w:val="20"/>
                <w:szCs w:val="20"/>
              </w:rPr>
            </w:pPr>
            <w:r w:rsidRPr="0014655B">
              <w:rPr>
                <w:rFonts w:ascii="標楷體" w:eastAsia="標楷體" w:hAnsi="標楷體"/>
                <w:kern w:val="0"/>
                <w:sz w:val="20"/>
                <w:szCs w:val="20"/>
              </w:rPr>
              <w:t>鞏固治療</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kern w:val="0"/>
                <w:sz w:val="20"/>
                <w:szCs w:val="20"/>
              </w:rPr>
            </w:pPr>
            <w:r w:rsidRPr="0014655B">
              <w:rPr>
                <w:rFonts w:ascii="標楷體" w:eastAsia="標楷體" w:hAnsi="標楷體"/>
                <w:kern w:val="0"/>
                <w:sz w:val="20"/>
                <w:szCs w:val="20"/>
              </w:rPr>
              <w:t>P015</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napToGrid w:val="0"/>
              <w:spacing w:line="400" w:lineRule="exact"/>
              <w:jc w:val="both"/>
              <w:rPr>
                <w:rFonts w:ascii="標楷體" w:eastAsia="標楷體" w:hAnsi="標楷體"/>
                <w:kern w:val="0"/>
                <w:sz w:val="20"/>
                <w:szCs w:val="20"/>
              </w:rPr>
            </w:pPr>
            <w:r w:rsidRPr="0014655B">
              <w:rPr>
                <w:rFonts w:ascii="標楷體" w:eastAsia="標楷體" w:hAnsi="標楷體"/>
                <w:kern w:val="0"/>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napToGrid w:val="0"/>
              <w:spacing w:line="400" w:lineRule="exact"/>
              <w:jc w:val="both"/>
              <w:rPr>
                <w:rFonts w:ascii="標楷體" w:eastAsia="標楷體" w:hAnsi="標楷體"/>
                <w:kern w:val="0"/>
                <w:sz w:val="20"/>
                <w:szCs w:val="20"/>
              </w:rPr>
            </w:pPr>
            <w:r w:rsidRPr="0014655B">
              <w:rPr>
                <w:rFonts w:ascii="標楷體" w:eastAsia="標楷體" w:hAnsi="標楷體"/>
                <w:kern w:val="0"/>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napToGrid w:val="0"/>
              <w:spacing w:line="400" w:lineRule="exact"/>
              <w:jc w:val="both"/>
              <w:rPr>
                <w:rFonts w:ascii="標楷體" w:eastAsia="標楷體" w:hAnsi="標楷體"/>
                <w:kern w:val="0"/>
                <w:sz w:val="20"/>
                <w:szCs w:val="20"/>
              </w:rPr>
            </w:pPr>
            <w:r w:rsidRPr="0014655B">
              <w:rPr>
                <w:rFonts w:ascii="標楷體" w:eastAsia="標楷體" w:hAnsi="標楷體"/>
                <w:kern w:val="0"/>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autoSpaceDE w:val="0"/>
              <w:snapToGrid w:val="0"/>
              <w:spacing w:line="400" w:lineRule="exact"/>
              <w:jc w:val="both"/>
              <w:rPr>
                <w:rFonts w:ascii="標楷體" w:eastAsia="標楷體" w:hAnsi="標楷體"/>
                <w:kern w:val="0"/>
                <w:sz w:val="20"/>
                <w:szCs w:val="20"/>
              </w:rPr>
            </w:pPr>
            <w:r w:rsidRPr="0014655B">
              <w:rPr>
                <w:rFonts w:ascii="標楷體" w:eastAsia="標楷體" w:hAnsi="標楷體"/>
                <w:kern w:val="0"/>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autoSpaceDE w:val="0"/>
              <w:snapToGrid w:val="0"/>
              <w:spacing w:line="400" w:lineRule="exact"/>
              <w:jc w:val="center"/>
              <w:rPr>
                <w:rFonts w:ascii="標楷體" w:eastAsia="標楷體" w:hAnsi="標楷體"/>
                <w:kern w:val="0"/>
                <w:sz w:val="20"/>
                <w:szCs w:val="20"/>
              </w:rPr>
            </w:pPr>
            <w:r w:rsidRPr="0014655B">
              <w:rPr>
                <w:rFonts w:ascii="標楷體" w:eastAsia="標楷體" w:hAnsi="標楷體"/>
                <w:kern w:val="0"/>
                <w:sz w:val="20"/>
                <w:szCs w:val="20"/>
              </w:rPr>
              <w:t>PD-L1</w:t>
            </w:r>
            <w:r w:rsidRPr="0014655B">
              <w:rPr>
                <w:rFonts w:ascii="標楷體" w:eastAsia="標楷體" w:hAnsi="標楷體" w:cs="微軟正黑體" w:hint="eastAsia"/>
                <w:kern w:val="0"/>
                <w:sz w:val="20"/>
                <w:szCs w:val="20"/>
              </w:rPr>
              <w:t>≧</w:t>
            </w:r>
            <w:r w:rsidRPr="0014655B">
              <w:rPr>
                <w:rFonts w:ascii="標楷體" w:eastAsia="標楷體" w:hAnsi="標楷體"/>
                <w:kern w:val="0"/>
                <w:sz w:val="20"/>
                <w:szCs w:val="20"/>
              </w:rPr>
              <w:t xml:space="preserve"> 1%</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kern w:val="0"/>
                <w:sz w:val="20"/>
                <w:szCs w:val="20"/>
              </w:rPr>
              <w:t>鱗狀、非鱗狀非小細胞肺癌第一線用藥(單用)</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P013</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TPS</w:t>
            </w:r>
            <w:r w:rsidRPr="0014655B">
              <w:rPr>
                <w:rFonts w:ascii="標楷體" w:eastAsia="標楷體" w:hAnsi="標楷體" w:cs="新細明體"/>
                <w:sz w:val="20"/>
                <w:szCs w:val="20"/>
              </w:rPr>
              <w:t>≧</w:t>
            </w:r>
            <w:r w:rsidRPr="0014655B">
              <w:rPr>
                <w:rFonts w:ascii="標楷體" w:eastAsia="標楷體" w:hAnsi="標楷體"/>
                <w:sz w:val="20"/>
                <w:szCs w:val="20"/>
              </w:rPr>
              <w:t>50%</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TC≧50%或IC≧10%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非鱗狀非小細胞肺癌第一線用藥</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(併用)</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P013</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color w:val="000000"/>
                <w:sz w:val="20"/>
                <w:szCs w:val="20"/>
              </w:rPr>
              <w:t>鱗狀</w:t>
            </w:r>
            <w:r w:rsidRPr="0014655B">
              <w:rPr>
                <w:rFonts w:ascii="標楷體" w:eastAsia="標楷體" w:hAnsi="標楷體"/>
                <w:sz w:val="20"/>
                <w:szCs w:val="20"/>
              </w:rPr>
              <w:t>非小細胞肺癌第二線用藥</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P011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TPS</w:t>
            </w:r>
            <w:r w:rsidRPr="0014655B">
              <w:rPr>
                <w:rFonts w:ascii="標楷體" w:eastAsia="標楷體" w:hAnsi="標楷體" w:cs="新細明體"/>
                <w:sz w:val="20"/>
                <w:szCs w:val="20"/>
              </w:rPr>
              <w:t>≧</w:t>
            </w:r>
            <w:r w:rsidRPr="0014655B">
              <w:rPr>
                <w:rFonts w:ascii="標楷體" w:eastAsia="標楷體" w:hAnsi="標楷體"/>
                <w:sz w:val="20"/>
                <w:szCs w:val="20"/>
              </w:rPr>
              <w:t>50%</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TC</w:t>
            </w:r>
            <w:r w:rsidRPr="0014655B">
              <w:rPr>
                <w:rFonts w:ascii="標楷體" w:eastAsia="標楷體" w:hAnsi="標楷體" w:cs="新細明體"/>
                <w:sz w:val="20"/>
                <w:szCs w:val="20"/>
              </w:rPr>
              <w:t>≧</w:t>
            </w:r>
            <w:r w:rsidRPr="0014655B">
              <w:rPr>
                <w:rFonts w:ascii="標楷體" w:eastAsia="標楷體" w:hAnsi="標楷體"/>
                <w:sz w:val="20"/>
                <w:szCs w:val="20"/>
              </w:rPr>
              <w:t>50%</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TC</w:t>
            </w:r>
            <w:r w:rsidRPr="0014655B">
              <w:rPr>
                <w:rFonts w:ascii="標楷體" w:eastAsia="標楷體" w:hAnsi="標楷體" w:cs="新細明體"/>
                <w:sz w:val="20"/>
                <w:szCs w:val="20"/>
              </w:rPr>
              <w:t>≧</w:t>
            </w:r>
            <w:r w:rsidRPr="0014655B">
              <w:rPr>
                <w:rFonts w:ascii="標楷體" w:eastAsia="標楷體" w:hAnsi="標楷體"/>
                <w:sz w:val="20"/>
                <w:szCs w:val="20"/>
              </w:rPr>
              <w:t>50%或IC</w:t>
            </w:r>
            <w:r w:rsidRPr="0014655B">
              <w:rPr>
                <w:rFonts w:ascii="標楷體" w:eastAsia="標楷體" w:hAnsi="標楷體" w:cs="新細明體"/>
                <w:sz w:val="20"/>
                <w:szCs w:val="20"/>
              </w:rPr>
              <w:t>≧</w:t>
            </w:r>
            <w:r w:rsidRPr="0014655B">
              <w:rPr>
                <w:rFonts w:ascii="標楷體" w:eastAsia="標楷體" w:hAnsi="標楷體"/>
                <w:sz w:val="20"/>
                <w:szCs w:val="20"/>
              </w:rPr>
              <w:t>10%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color w:val="000000"/>
                <w:sz w:val="20"/>
                <w:szCs w:val="20"/>
              </w:rPr>
              <w:t>非鱗狀</w:t>
            </w:r>
            <w:r w:rsidRPr="0014655B">
              <w:rPr>
                <w:rFonts w:ascii="標楷體" w:eastAsia="標楷體" w:hAnsi="標楷體"/>
                <w:sz w:val="20"/>
                <w:szCs w:val="20"/>
              </w:rPr>
              <w:t>非小細胞肺癌第三線用藥</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P012</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TPS</w:t>
            </w:r>
            <w:r w:rsidRPr="0014655B">
              <w:rPr>
                <w:rFonts w:ascii="標楷體" w:eastAsia="標楷體" w:hAnsi="標楷體" w:cs="新細明體"/>
                <w:sz w:val="20"/>
                <w:szCs w:val="20"/>
              </w:rPr>
              <w:t>≧</w:t>
            </w:r>
            <w:r w:rsidRPr="0014655B">
              <w:rPr>
                <w:rFonts w:ascii="標楷體" w:eastAsia="標楷體" w:hAnsi="標楷體"/>
                <w:sz w:val="20"/>
                <w:szCs w:val="20"/>
              </w:rPr>
              <w:t>50%</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TC</w:t>
            </w:r>
            <w:r w:rsidRPr="0014655B">
              <w:rPr>
                <w:rFonts w:ascii="標楷體" w:eastAsia="標楷體" w:hAnsi="標楷體" w:cs="新細明體"/>
                <w:sz w:val="20"/>
                <w:szCs w:val="20"/>
              </w:rPr>
              <w:t>≧</w:t>
            </w:r>
            <w:r w:rsidRPr="0014655B">
              <w:rPr>
                <w:rFonts w:ascii="標楷體" w:eastAsia="標楷體" w:hAnsi="標楷體"/>
                <w:sz w:val="20"/>
                <w:szCs w:val="20"/>
              </w:rPr>
              <w:t>50%</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TC</w:t>
            </w:r>
            <w:r w:rsidRPr="0014655B">
              <w:rPr>
                <w:rFonts w:ascii="標楷體" w:eastAsia="標楷體" w:hAnsi="標楷體" w:cs="新細明體"/>
                <w:sz w:val="20"/>
                <w:szCs w:val="20"/>
              </w:rPr>
              <w:t>≧</w:t>
            </w:r>
            <w:r w:rsidRPr="0014655B">
              <w:rPr>
                <w:rFonts w:ascii="標楷體" w:eastAsia="標楷體" w:hAnsi="標楷體"/>
                <w:sz w:val="20"/>
                <w:szCs w:val="20"/>
              </w:rPr>
              <w:t>50%或IC</w:t>
            </w:r>
            <w:r w:rsidRPr="0014655B">
              <w:rPr>
                <w:rFonts w:ascii="標楷體" w:eastAsia="標楷體" w:hAnsi="標楷體" w:cs="新細明體"/>
                <w:sz w:val="20"/>
                <w:szCs w:val="20"/>
              </w:rPr>
              <w:t>≧</w:t>
            </w:r>
            <w:r w:rsidRPr="0014655B">
              <w:rPr>
                <w:rFonts w:ascii="標楷體" w:eastAsia="標楷體" w:hAnsi="標楷體"/>
                <w:sz w:val="20"/>
                <w:szCs w:val="20"/>
              </w:rPr>
              <w:t>10%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鱗狀非小細胞肺癌第一線用藥（併用化療）</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P014</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TPS 1~49%</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小細胞肺癌</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(併用化療)</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P021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典型何杰金氏淋巴瘤</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P031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泌尿道上皮癌第一線用藥</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P042</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CPS</w:t>
            </w:r>
            <w:r w:rsidRPr="0014655B">
              <w:rPr>
                <w:rFonts w:ascii="標楷體" w:eastAsia="標楷體" w:hAnsi="標楷體" w:cs="新細明體"/>
                <w:sz w:val="20"/>
                <w:szCs w:val="20"/>
              </w:rPr>
              <w:t>≧</w:t>
            </w:r>
            <w:r w:rsidRPr="0014655B">
              <w:rPr>
                <w:rFonts w:ascii="標楷體" w:eastAsia="標楷體" w:hAnsi="標楷體"/>
                <w:sz w:val="20"/>
                <w:szCs w:val="20"/>
              </w:rPr>
              <w:t>10</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IC≧5%</w:t>
            </w:r>
          </w:p>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(113年8月1日前審核同意符合續用申請條件者)</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泌尿道上皮癌第二線用藥</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P041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CPS</w:t>
            </w:r>
            <w:r w:rsidRPr="0014655B">
              <w:rPr>
                <w:rFonts w:ascii="標楷體" w:eastAsia="標楷體" w:hAnsi="標楷體" w:cs="新細明體"/>
                <w:sz w:val="20"/>
                <w:szCs w:val="20"/>
              </w:rPr>
              <w:t>≧</w:t>
            </w:r>
            <w:r w:rsidRPr="0014655B">
              <w:rPr>
                <w:rFonts w:ascii="標楷體" w:eastAsia="標楷體" w:hAnsi="標楷體"/>
                <w:sz w:val="20"/>
                <w:szCs w:val="20"/>
              </w:rPr>
              <w:t>10</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TC</w:t>
            </w:r>
            <w:r w:rsidRPr="0014655B">
              <w:rPr>
                <w:rFonts w:ascii="標楷體" w:eastAsia="標楷體" w:hAnsi="標楷體" w:cs="新細明體"/>
                <w:sz w:val="20"/>
                <w:szCs w:val="20"/>
              </w:rPr>
              <w:t>≧</w:t>
            </w:r>
            <w:r w:rsidRPr="0014655B">
              <w:rPr>
                <w:rFonts w:ascii="標楷體" w:eastAsia="標楷體" w:hAnsi="標楷體"/>
                <w:sz w:val="20"/>
                <w:szCs w:val="20"/>
              </w:rPr>
              <w:t>5%</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IC≧5%</w:t>
            </w:r>
          </w:p>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(113年8月1日前審核同意符合續用申請條件者)</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泌尿道上皮癌維持療法</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P043</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不需檢附報告</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lastRenderedPageBreak/>
              <w:t>胃腺癌</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(109年4月1日前審核同意符合續用申請條件者)</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P051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CPS</w:t>
            </w:r>
            <w:r w:rsidRPr="0014655B">
              <w:rPr>
                <w:rFonts w:ascii="標楷體" w:eastAsia="標楷體" w:hAnsi="標楷體" w:cs="新細明體"/>
                <w:sz w:val="20"/>
                <w:szCs w:val="20"/>
              </w:rPr>
              <w:t>≧</w:t>
            </w:r>
            <w:r w:rsidRPr="0014655B">
              <w:rPr>
                <w:rFonts w:ascii="標楷體" w:eastAsia="標楷體" w:hAnsi="標楷體"/>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胃癌第一線用藥 (併用化療)</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P052</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CPS</w:t>
            </w:r>
            <w:r w:rsidRPr="0014655B">
              <w:rPr>
                <w:rFonts w:ascii="標楷體" w:eastAsia="標楷體" w:hAnsi="標楷體" w:cs="新細明體"/>
                <w:sz w:val="20"/>
                <w:szCs w:val="20"/>
              </w:rPr>
              <w:t>≧5</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晚期腎細胞癌</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P061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晚期肝細胞癌(109年4月1日前審核同意符合續用)</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P071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(109年4月1日前審核同意符合續用申請條件者)</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晚期肝細胞癌第一線用藥</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（併用）</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P072</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不需檢附報告（併用bevacizumab）</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不需檢附報告(併用tremelimumab)</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頭頸部鱗狀細胞癌第一線用藥</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kern w:val="0"/>
                <w:sz w:val="20"/>
                <w:szCs w:val="20"/>
                <w:lang w:val="zh-TW" w:bidi="zh-TW"/>
              </w:rPr>
            </w:pPr>
            <w:r w:rsidRPr="0014655B">
              <w:rPr>
                <w:rFonts w:ascii="標楷體" w:eastAsia="標楷體" w:hAnsi="標楷體"/>
                <w:kern w:val="0"/>
                <w:sz w:val="20"/>
                <w:szCs w:val="20"/>
                <w:lang w:val="zh-TW" w:bidi="zh-TW"/>
              </w:rPr>
              <w:t>P082</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kern w:val="0"/>
                <w:sz w:val="20"/>
                <w:szCs w:val="20"/>
                <w:lang w:val="zh-TW" w:bidi="zh-TW"/>
              </w:rPr>
              <w:t>CPS</w:t>
            </w:r>
            <w:r w:rsidRPr="0014655B">
              <w:rPr>
                <w:rFonts w:ascii="標楷體" w:eastAsia="標楷體" w:hAnsi="標楷體" w:cs="新細明體"/>
                <w:kern w:val="0"/>
                <w:sz w:val="20"/>
                <w:szCs w:val="20"/>
                <w:lang w:val="zh-TW" w:bidi="zh-TW"/>
              </w:rPr>
              <w:t>≧</w:t>
            </w:r>
            <w:r w:rsidRPr="0014655B">
              <w:rPr>
                <w:rFonts w:ascii="標楷體" w:eastAsia="標楷體" w:hAnsi="標楷體"/>
                <w:kern w:val="0"/>
                <w:sz w:val="20"/>
                <w:szCs w:val="20"/>
                <w:lang w:val="zh-TW" w:bidi="zh-TW"/>
              </w:rPr>
              <w:t>20</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頭頸部鱗狀細胞癌第二線用藥</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P081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TPS</w:t>
            </w:r>
            <w:r w:rsidRPr="0014655B">
              <w:rPr>
                <w:rFonts w:ascii="標楷體" w:eastAsia="標楷體" w:hAnsi="標楷體" w:cs="新細明體"/>
                <w:sz w:val="20"/>
                <w:szCs w:val="20"/>
              </w:rPr>
              <w:t>≧</w:t>
            </w:r>
            <w:r w:rsidRPr="0014655B">
              <w:rPr>
                <w:rFonts w:ascii="標楷體" w:eastAsia="標楷體" w:hAnsi="標楷體"/>
                <w:sz w:val="20"/>
                <w:szCs w:val="20"/>
              </w:rPr>
              <w:t>50%</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TC</w:t>
            </w:r>
            <w:r w:rsidRPr="0014655B">
              <w:rPr>
                <w:rFonts w:ascii="標楷體" w:eastAsia="標楷體" w:hAnsi="標楷體" w:cs="新細明體"/>
                <w:sz w:val="20"/>
                <w:szCs w:val="20"/>
              </w:rPr>
              <w:t>≧</w:t>
            </w:r>
            <w:r w:rsidRPr="0014655B">
              <w:rPr>
                <w:rFonts w:ascii="標楷體" w:eastAsia="標楷體" w:hAnsi="標楷體"/>
                <w:sz w:val="20"/>
                <w:szCs w:val="20"/>
              </w:rPr>
              <w:t>10%</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默克細胞癌</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P091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食道鱗狀細胞癌</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P101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TC</w:t>
            </w:r>
            <w:r w:rsidRPr="0014655B">
              <w:rPr>
                <w:rFonts w:ascii="標楷體" w:eastAsia="標楷體" w:hAnsi="標楷體" w:cs="新細明體"/>
                <w:sz w:val="20"/>
                <w:szCs w:val="20"/>
              </w:rPr>
              <w:t>≧1</w:t>
            </w:r>
            <w:r w:rsidRPr="0014655B">
              <w:rPr>
                <w:rFonts w:ascii="標楷體" w:eastAsia="標楷體" w:hAnsi="標楷體"/>
                <w:sz w:val="20"/>
                <w:szCs w:val="20"/>
              </w:rPr>
              <w:t>%</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惡性肋膜間皮瘤(ipilimumab併用nivolumab)</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P111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sz w:val="20"/>
                <w:szCs w:val="20"/>
              </w:rPr>
              <w:t>不需檢附報告，</w:t>
            </w:r>
          </w:p>
          <w:p w:rsidR="002465F4" w:rsidRPr="0014655B" w:rsidRDefault="002465F4" w:rsidP="00336F3D">
            <w:pPr>
              <w:spacing w:line="400" w:lineRule="exact"/>
              <w:jc w:val="center"/>
              <w:rPr>
                <w:rFonts w:ascii="標楷體" w:eastAsia="標楷體" w:hAnsi="標楷體"/>
              </w:rPr>
            </w:pPr>
            <w:r w:rsidRPr="0014655B">
              <w:rPr>
                <w:rFonts w:ascii="標楷體" w:eastAsia="標楷體" w:hAnsi="標楷體"/>
                <w:kern w:val="0"/>
                <w:sz w:val="20"/>
                <w:szCs w:val="20"/>
              </w:rPr>
              <w:t>病理組織為非上皮型(Non-epithelioid)</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膽道癌</w:t>
            </w:r>
          </w:p>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(併用化療)</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P121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早期三陰性乳癌(併用化療)</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P131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r w:rsidR="002465F4" w:rsidRPr="0014655B" w:rsidTr="00336F3D">
        <w:trPr>
          <w:cantSplit/>
          <w:trHeight w:val="406"/>
          <w:jc w:val="center"/>
        </w:trPr>
        <w:tc>
          <w:tcPr>
            <w:tcW w:w="932"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大腸直腸癌</w:t>
            </w:r>
          </w:p>
        </w:tc>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P141</w:t>
            </w:r>
          </w:p>
        </w:tc>
        <w:tc>
          <w:tcPr>
            <w:tcW w:w="876" w:type="pct"/>
            <w:tcBorders>
              <w:top w:val="single" w:sz="4" w:space="0" w:color="000000"/>
              <w:left w:val="single" w:sz="4" w:space="0" w:color="000000"/>
              <w:bottom w:val="single" w:sz="4" w:space="0" w:color="000000"/>
              <w:right w:val="single" w:sz="4" w:space="0" w:color="000000"/>
            </w:tcBorders>
            <w:shd w:val="clear" w:color="auto" w:fill="auto"/>
            <w:tcMar>
              <w:top w:w="15" w:type="dxa"/>
              <w:left w:w="29" w:type="dxa"/>
              <w:bottom w:w="0" w:type="dxa"/>
              <w:right w:w="29"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不需檢附報告</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65F4" w:rsidRPr="0014655B" w:rsidRDefault="002465F4" w:rsidP="00336F3D">
            <w:pPr>
              <w:spacing w:line="400" w:lineRule="exact"/>
              <w:jc w:val="center"/>
              <w:rPr>
                <w:rFonts w:ascii="標楷體" w:eastAsia="標楷體" w:hAnsi="標楷體"/>
                <w:sz w:val="20"/>
                <w:szCs w:val="20"/>
              </w:rPr>
            </w:pPr>
            <w:r w:rsidRPr="0014655B">
              <w:rPr>
                <w:rFonts w:ascii="標楷體" w:eastAsia="標楷體" w:hAnsi="標楷體"/>
                <w:sz w:val="20"/>
                <w:szCs w:val="20"/>
              </w:rPr>
              <w:t>本藥品尚未給付於此適應症</w:t>
            </w:r>
          </w:p>
        </w:tc>
      </w:tr>
    </w:tbl>
    <w:p w:rsidR="002465F4" w:rsidRPr="0014655B" w:rsidRDefault="002465F4" w:rsidP="002465F4">
      <w:pPr>
        <w:tabs>
          <w:tab w:val="left" w:pos="1185"/>
        </w:tabs>
        <w:spacing w:line="400" w:lineRule="exact"/>
        <w:ind w:left="588" w:hanging="590"/>
        <w:rPr>
          <w:rFonts w:ascii="標楷體" w:eastAsia="標楷體" w:hAnsi="標楷體"/>
        </w:rPr>
      </w:pPr>
      <w:r w:rsidRPr="0014655B">
        <w:rPr>
          <w:rFonts w:ascii="標楷體" w:eastAsia="標楷體" w:hAnsi="標楷體"/>
          <w:color w:val="000000"/>
          <w:sz w:val="20"/>
          <w:szCs w:val="20"/>
        </w:rPr>
        <w:lastRenderedPageBreak/>
        <w:t>* Ventana SP263僅適用於檢測非小細胞肺癌或</w:t>
      </w:r>
      <w:r w:rsidRPr="0014655B">
        <w:rPr>
          <w:rFonts w:ascii="標楷體" w:eastAsia="標楷體" w:hAnsi="標楷體"/>
          <w:sz w:val="20"/>
          <w:szCs w:val="20"/>
        </w:rPr>
        <w:t>泌尿道上皮癌維持療法</w:t>
      </w:r>
    </w:p>
    <w:p w:rsidR="002465F4" w:rsidRPr="0014655B" w:rsidRDefault="002465F4" w:rsidP="002465F4">
      <w:pPr>
        <w:tabs>
          <w:tab w:val="left" w:pos="1185"/>
        </w:tabs>
        <w:spacing w:line="400" w:lineRule="exact"/>
        <w:ind w:left="1291" w:hanging="440"/>
        <w:rPr>
          <w:rFonts w:ascii="標楷體" w:eastAsia="標楷體" w:hAnsi="標楷體"/>
          <w:color w:val="000000"/>
        </w:rPr>
      </w:pPr>
      <w:r w:rsidRPr="0014655B">
        <w:rPr>
          <w:rFonts w:ascii="標楷體" w:eastAsia="標楷體" w:hAnsi="標楷體"/>
          <w:color w:val="000000"/>
        </w:rPr>
        <w:t>(4)每位病人每個適應症限給付一種免疫檢查點抑制劑且不得互換，治療期間亦不可合併申報該適應症之標靶藥物（atezolizumab與bevacizumab併用於晚期肝細胞癌第一線用藥</w:t>
      </w:r>
      <w:r w:rsidRPr="0014655B">
        <w:rPr>
          <w:rFonts w:ascii="標楷體" w:eastAsia="標楷體" w:hAnsi="標楷體" w:hint="eastAsia"/>
          <w:color w:val="000000"/>
        </w:rPr>
        <w:t>及</w:t>
      </w:r>
      <w:r w:rsidRPr="0014655B">
        <w:rPr>
          <w:rFonts w:ascii="標楷體" w:eastAsia="標楷體" w:hAnsi="標楷體"/>
          <w:color w:val="000000"/>
        </w:rPr>
        <w:t>非鱗狀非小細胞肺癌第一線用藥除外），無效後或給付時程期滿後則不再給付該適應症相關之標靶藥物。（enfortumab vedotin用於局部晚期或轉移性泌尿道上皮癌第三線用藥除外 ）。(108/4/1、111/6/1、112/8/1、113/5/1)</w:t>
      </w:r>
    </w:p>
    <w:p w:rsidR="002465F4" w:rsidRPr="0014655B" w:rsidRDefault="002465F4" w:rsidP="002465F4">
      <w:pPr>
        <w:tabs>
          <w:tab w:val="left" w:pos="1185"/>
        </w:tabs>
        <w:spacing w:line="400" w:lineRule="exact"/>
        <w:ind w:left="1291" w:hanging="440"/>
        <w:rPr>
          <w:rFonts w:ascii="標楷體" w:eastAsia="標楷體" w:hAnsi="標楷體"/>
          <w:color w:val="000000"/>
        </w:rPr>
      </w:pPr>
      <w:r w:rsidRPr="0014655B">
        <w:rPr>
          <w:rFonts w:ascii="標楷體" w:eastAsia="標楷體" w:hAnsi="標楷體"/>
          <w:color w:val="000000"/>
        </w:rPr>
        <w:t>(5)給付時程期限：自初次處方用藥日起算2年（pembrolizumab用於早期三陰性乳癌依前述給付時程期限至多使用17個療程、durvalumab用於鞏固治療自初次處方用藥日起算1年）。(109/4/1、109/11/1、114/6/1</w:t>
      </w:r>
      <w:r w:rsidRPr="0014655B">
        <w:rPr>
          <w:rFonts w:ascii="標楷體" w:eastAsia="標楷體" w:hAnsi="標楷體" w:hint="eastAsia"/>
          <w:color w:val="000000"/>
        </w:rPr>
        <w:t>、114/8/1</w:t>
      </w:r>
      <w:r w:rsidRPr="0014655B">
        <w:rPr>
          <w:rFonts w:ascii="標楷體" w:eastAsia="標楷體" w:hAnsi="標楷體"/>
          <w:color w:val="000000"/>
        </w:rPr>
        <w:t>)</w:t>
      </w:r>
    </w:p>
    <w:p w:rsidR="002465F4" w:rsidRPr="0014655B" w:rsidRDefault="002465F4" w:rsidP="002465F4">
      <w:pPr>
        <w:tabs>
          <w:tab w:val="left" w:pos="1185"/>
        </w:tabs>
        <w:spacing w:line="400" w:lineRule="exact"/>
        <w:ind w:left="1291" w:hanging="440"/>
        <w:rPr>
          <w:rFonts w:ascii="標楷體" w:eastAsia="標楷體" w:hAnsi="標楷體"/>
          <w:color w:val="000000"/>
        </w:rPr>
      </w:pPr>
      <w:r w:rsidRPr="0014655B">
        <w:rPr>
          <w:rFonts w:ascii="標楷體" w:eastAsia="標楷體" w:hAnsi="標楷體"/>
          <w:color w:val="000000"/>
        </w:rPr>
        <w:t>(6)需經單筆電子申請事前審查核准後使用，申請時需上傳病歷資料(不適用特殊病例事前審查，亦不適用緊急報備，惟已獲核定用藥之病人因轉院可緊急報備申請續用)。(108/4/1、110/10/1、111/6/1)</w:t>
      </w:r>
    </w:p>
    <w:p w:rsidR="002465F4" w:rsidRPr="0014655B" w:rsidRDefault="002465F4" w:rsidP="002465F4">
      <w:pPr>
        <w:tabs>
          <w:tab w:val="left" w:pos="1185"/>
        </w:tabs>
        <w:spacing w:line="400" w:lineRule="exact"/>
        <w:ind w:left="1291" w:hanging="440"/>
        <w:rPr>
          <w:rFonts w:ascii="標楷體" w:eastAsia="標楷體" w:hAnsi="標楷體"/>
          <w:color w:val="000000"/>
        </w:rPr>
      </w:pPr>
      <w:r w:rsidRPr="0014655B">
        <w:rPr>
          <w:rFonts w:ascii="標楷體" w:eastAsia="標楷體" w:hAnsi="標楷體"/>
          <w:color w:val="000000"/>
        </w:rPr>
        <w:t>(7)每次申請以12週為限，初次申請時需檢附以下資料：(108/6/1、109/11/1、111/6/1、113/6/1、114/6/1)</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I.確實患有相關癌症之病理或細胞檢查報告，黑色素瘤患者需另檢附BRAF腫瘤基因檢測結果、非小細胞肺癌患者需另檢附符合給付適應症內容規定之腫瘤基因檢測結果報告，上述基因檢測須符合全民健康保險藥品給付規定之通則十二。(113/6/1)</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Ⅱ.生物標記表現量檢測報告：PD-L1表現量檢測結果需符合全民健康保險藥品給付規定之通則十二。(111/6/1、113/6/1)</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Ⅲ.病人身體狀況良好(ECOG≦1)及心肺與肝腎功能之評估資料。</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IV.病人12週內之疾病影像檢查及報告(如胸部X光、電腦斷層或其他可作為評估的影像)，此影像證明以可測量(measurable)的病灶為優先，如沒有可以測量的病灶，則可評估(evaluable)的病灶亦可採用。</w:t>
      </w:r>
    </w:p>
    <w:p w:rsidR="002465F4" w:rsidRPr="0014655B" w:rsidRDefault="002465F4" w:rsidP="002465F4">
      <w:pPr>
        <w:tabs>
          <w:tab w:val="left" w:pos="1418"/>
        </w:tabs>
        <w:spacing w:line="400" w:lineRule="exact"/>
        <w:ind w:left="1051" w:hanging="245"/>
        <w:rPr>
          <w:rFonts w:ascii="標楷體" w:eastAsia="標楷體" w:hAnsi="標楷體"/>
          <w:color w:val="000000"/>
        </w:rPr>
      </w:pPr>
      <w:r w:rsidRPr="0014655B">
        <w:rPr>
          <w:rFonts w:ascii="標楷體" w:eastAsia="標楷體" w:hAnsi="標楷體"/>
          <w:color w:val="000000"/>
        </w:rPr>
        <w:t>備註：上述影像檢查之給付範圍不包括正子造影(PET)。</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V.先前已接受過之治療與完整用藥資料(如化學治療、標靶藥物及自費等用藥之劑量及療程)及其治療結果；典型何杰金氏淋巴瘤患者需另檢附自體造血幹細胞移植之病歷紀錄；肝細胞癌患者需另檢附T.A.C.E.治療紀錄。</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VI.使用免疫檢查點抑制劑之治療計畫(treatment protocol)。</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Ⅶ.使用於泌尿道上皮癌第一線用藥時，須另檢附下列其中一項佐證資料：(111/2/1、114/6/1)</w:t>
      </w:r>
    </w:p>
    <w:p w:rsidR="002465F4" w:rsidRPr="0014655B" w:rsidRDefault="002465F4" w:rsidP="002465F4">
      <w:pPr>
        <w:tabs>
          <w:tab w:val="left" w:pos="1185"/>
        </w:tabs>
        <w:spacing w:line="400" w:lineRule="exact"/>
        <w:ind w:left="1985" w:hanging="284"/>
        <w:jc w:val="both"/>
        <w:rPr>
          <w:rFonts w:ascii="標楷體" w:eastAsia="標楷體" w:hAnsi="標楷體"/>
          <w:color w:val="000000"/>
        </w:rPr>
      </w:pPr>
      <w:r w:rsidRPr="0014655B">
        <w:rPr>
          <w:rFonts w:ascii="標楷體" w:eastAsia="標楷體" w:hAnsi="標楷體"/>
          <w:color w:val="000000"/>
        </w:rPr>
        <w:t>i.</w:t>
      </w:r>
      <w:r w:rsidRPr="00FE6497">
        <w:rPr>
          <w:rFonts w:ascii="標楷體" w:eastAsia="標楷體" w:hAnsi="標楷體"/>
          <w:color w:val="000000"/>
          <w:szCs w:val="24"/>
        </w:rPr>
        <w:t>CTCAE</w:t>
      </w:r>
      <w:r w:rsidRPr="0014655B">
        <w:rPr>
          <w:rFonts w:ascii="標楷體" w:eastAsia="標楷體" w:hAnsi="標楷體"/>
          <w:color w:val="000000"/>
        </w:rPr>
        <w:t>(the common terminology criteria for adverse events) v4.0 grade≧2 audiometric hearing loss</w:t>
      </w:r>
    </w:p>
    <w:p w:rsidR="002465F4" w:rsidRPr="0014655B" w:rsidRDefault="002465F4" w:rsidP="002465F4">
      <w:pPr>
        <w:tabs>
          <w:tab w:val="left" w:pos="1185"/>
        </w:tabs>
        <w:spacing w:line="400" w:lineRule="exact"/>
        <w:ind w:left="1985" w:hanging="284"/>
        <w:jc w:val="both"/>
        <w:rPr>
          <w:rFonts w:ascii="標楷體" w:eastAsia="標楷體" w:hAnsi="標楷體"/>
        </w:rPr>
      </w:pPr>
      <w:r w:rsidRPr="0014655B">
        <w:rPr>
          <w:rFonts w:ascii="新細明體" w:hAnsi="新細明體" w:cs="新細明體" w:hint="eastAsia"/>
          <w:color w:val="000000"/>
        </w:rPr>
        <w:t>ⅱ</w:t>
      </w:r>
      <w:r w:rsidRPr="0014655B">
        <w:rPr>
          <w:rFonts w:ascii="標楷體" w:eastAsia="標楷體" w:hAnsi="標楷體"/>
          <w:color w:val="000000"/>
        </w:rPr>
        <w:t>.CTCAE v4.0 grade≧2 peripheral neuropathy</w:t>
      </w:r>
    </w:p>
    <w:p w:rsidR="002465F4" w:rsidRPr="0014655B" w:rsidRDefault="002465F4" w:rsidP="002465F4">
      <w:pPr>
        <w:tabs>
          <w:tab w:val="left" w:pos="1185"/>
        </w:tabs>
        <w:spacing w:line="400" w:lineRule="exact"/>
        <w:ind w:left="1985" w:hanging="284"/>
        <w:jc w:val="both"/>
        <w:rPr>
          <w:rFonts w:ascii="標楷體" w:eastAsia="標楷體" w:hAnsi="標楷體"/>
        </w:rPr>
      </w:pPr>
      <w:r w:rsidRPr="0014655B">
        <w:rPr>
          <w:rFonts w:ascii="新細明體" w:hAnsi="新細明體" w:cs="新細明體" w:hint="eastAsia"/>
          <w:color w:val="000000"/>
        </w:rPr>
        <w:t>ⅲ</w:t>
      </w:r>
      <w:r w:rsidRPr="0014655B">
        <w:rPr>
          <w:rFonts w:ascii="標楷體" w:eastAsia="標楷體" w:hAnsi="標楷體"/>
          <w:color w:val="000000"/>
        </w:rPr>
        <w:t>.CIRS(the cumulative illness rating scale) score &gt;6</w:t>
      </w:r>
    </w:p>
    <w:p w:rsidR="002465F4"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lastRenderedPageBreak/>
        <w:t>Ⅷ.使用於早期三陰性乳癌</w:t>
      </w:r>
      <w:bookmarkStart w:id="23" w:name="_Hlk183189870"/>
      <w:r w:rsidRPr="0014655B">
        <w:rPr>
          <w:rFonts w:ascii="標楷體" w:eastAsia="標楷體" w:hAnsi="標楷體"/>
          <w:color w:val="000000"/>
        </w:rPr>
        <w:t>用藥時，初次申請時需檢附</w:t>
      </w:r>
      <w:bookmarkEnd w:id="23"/>
      <w:r w:rsidRPr="0014655B">
        <w:rPr>
          <w:rFonts w:ascii="標楷體" w:eastAsia="標楷體" w:hAnsi="標楷體"/>
          <w:color w:val="000000"/>
        </w:rPr>
        <w:t>ER、PR及HER2為陰性之</w:t>
      </w:r>
    </w:p>
    <w:p w:rsidR="002465F4" w:rsidRPr="0014655B" w:rsidRDefault="002465F4" w:rsidP="002465F4">
      <w:pPr>
        <w:tabs>
          <w:tab w:val="left" w:pos="1985"/>
        </w:tabs>
        <w:spacing w:line="400" w:lineRule="exact"/>
        <w:ind w:left="1701" w:hanging="141"/>
        <w:jc w:val="both"/>
        <w:rPr>
          <w:rFonts w:ascii="標楷體" w:eastAsia="標楷體" w:hAnsi="標楷體"/>
          <w:color w:val="000000"/>
        </w:rPr>
      </w:pPr>
      <w:r w:rsidRPr="0014655B">
        <w:rPr>
          <w:rFonts w:ascii="標楷體" w:eastAsia="標楷體" w:hAnsi="標楷體"/>
          <w:color w:val="000000"/>
        </w:rPr>
        <w:t>檢測報告。(114/6/1)</w:t>
      </w:r>
    </w:p>
    <w:p w:rsidR="002465F4" w:rsidRPr="0014655B" w:rsidRDefault="002465F4" w:rsidP="002465F4">
      <w:pPr>
        <w:numPr>
          <w:ilvl w:val="0"/>
          <w:numId w:val="30"/>
        </w:numPr>
        <w:suppressAutoHyphens w:val="0"/>
        <w:spacing w:line="400" w:lineRule="exact"/>
        <w:ind w:left="1701" w:hanging="422"/>
        <w:textAlignment w:val="auto"/>
        <w:rPr>
          <w:rFonts w:ascii="標楷體" w:eastAsia="標楷體" w:hAnsi="標楷體"/>
          <w:color w:val="000000"/>
        </w:rPr>
      </w:pPr>
      <w:r w:rsidRPr="0014655B">
        <w:rPr>
          <w:rFonts w:ascii="標楷體" w:eastAsia="標楷體" w:hAnsi="標楷體"/>
          <w:color w:val="000000"/>
        </w:rPr>
        <w:t>其他佐證病歷資料。</w:t>
      </w:r>
    </w:p>
    <w:p w:rsidR="002465F4" w:rsidRPr="0014655B" w:rsidRDefault="002465F4" w:rsidP="002465F4">
      <w:pPr>
        <w:tabs>
          <w:tab w:val="left" w:pos="1185"/>
        </w:tabs>
        <w:spacing w:line="400" w:lineRule="exact"/>
        <w:ind w:left="1291" w:hanging="440"/>
        <w:rPr>
          <w:rFonts w:ascii="標楷體" w:eastAsia="標楷體" w:hAnsi="標楷體"/>
          <w:color w:val="000000"/>
        </w:rPr>
      </w:pPr>
      <w:r w:rsidRPr="0014655B">
        <w:rPr>
          <w:rFonts w:ascii="標楷體" w:eastAsia="標楷體" w:hAnsi="標楷體"/>
          <w:color w:val="000000"/>
        </w:rPr>
        <w:t xml:space="preserve"> (8)用藥後每12週至少評估一次，以i-RECIST標準(HCC患者以mRECIST標準)評定藥物療效反應，依下列原則申請續用：(109/4/1、109/11/1、114/6/1</w:t>
      </w:r>
      <w:r w:rsidRPr="0014655B">
        <w:rPr>
          <w:rFonts w:ascii="標楷體" w:eastAsia="標楷體" w:hAnsi="標楷體" w:hint="eastAsia"/>
          <w:color w:val="000000"/>
        </w:rPr>
        <w:t>、114/8/1</w:t>
      </w:r>
      <w:r w:rsidRPr="0014655B">
        <w:rPr>
          <w:rFonts w:ascii="標楷體" w:eastAsia="標楷體" w:hAnsi="標楷體"/>
          <w:color w:val="000000"/>
        </w:rPr>
        <w:t>)</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I.有療效反應(PR及CR)者得繼續用藥；</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II.出現疾病惡化(PD)或出現中、重度或危及生命之藥物不良反應者，應停止用藥；</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Ⅲ.出現疾病併發症或輕度藥物不良反應等，暫停用藥超過原事前審查核定日起24週期限者，不得申請續用。</w:t>
      </w:r>
    </w:p>
    <w:p w:rsidR="002465F4" w:rsidRPr="0014655B" w:rsidRDefault="002465F4" w:rsidP="002465F4">
      <w:pPr>
        <w:tabs>
          <w:tab w:val="left" w:pos="1418"/>
        </w:tabs>
        <w:spacing w:line="400" w:lineRule="exact"/>
        <w:ind w:left="1418" w:hanging="141"/>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Ⅳ</w:t>
      </w:r>
      <w:r w:rsidRPr="0014655B">
        <w:rPr>
          <w:rFonts w:ascii="標楷體" w:eastAsia="標楷體" w:hAnsi="標楷體" w:cs="新細明體"/>
          <w:color w:val="000000"/>
          <w:kern w:val="0"/>
          <w:szCs w:val="24"/>
        </w:rPr>
        <w:t>用藥後評估疾病呈穩定狀態者(SD)，可持續再用藥12週，並於12週後再次評估；經連續二次評估皆為SD者，不得申請續用。durvalumab用於非小細胞肺癌之鞏固治療不在此限。(114/8/1)</w:t>
      </w:r>
    </w:p>
    <w:p w:rsidR="002465F4" w:rsidRPr="0014655B" w:rsidRDefault="002465F4" w:rsidP="002465F4">
      <w:pPr>
        <w:tabs>
          <w:tab w:val="left" w:pos="1418"/>
        </w:tabs>
        <w:spacing w:line="400" w:lineRule="exact"/>
        <w:ind w:left="1418" w:hanging="141"/>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Ⅴ</w:t>
      </w:r>
      <w:r w:rsidRPr="0014655B">
        <w:rPr>
          <w:rFonts w:ascii="標楷體" w:eastAsia="標楷體" w:hAnsi="標楷體" w:cs="新細明體"/>
          <w:color w:val="000000"/>
          <w:kern w:val="0"/>
          <w:szCs w:val="24"/>
        </w:rPr>
        <w:t>使用於早期三陰性乳癌，術前前導性治療腫瘤惡化(PD)者，或術後輔助治療復發者，不得申請續用。(114/6/1)</w:t>
      </w:r>
    </w:p>
    <w:p w:rsidR="002465F4" w:rsidRPr="0014655B" w:rsidRDefault="002465F4" w:rsidP="002465F4">
      <w:pPr>
        <w:tabs>
          <w:tab w:val="left" w:pos="1185"/>
        </w:tabs>
        <w:spacing w:line="400" w:lineRule="exact"/>
        <w:ind w:left="1291" w:hanging="440"/>
        <w:rPr>
          <w:rFonts w:ascii="標楷體" w:eastAsia="標楷體" w:hAnsi="標楷體"/>
          <w:color w:val="000000"/>
        </w:rPr>
      </w:pPr>
      <w:r w:rsidRPr="0014655B">
        <w:rPr>
          <w:rFonts w:ascii="標楷體" w:eastAsia="標楷體" w:hAnsi="標楷體"/>
          <w:color w:val="000000"/>
        </w:rPr>
        <w:t>(9)申請續用時，需檢附病人12週內之評估資料如下：(108/6/1、109/11/1)</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I.病人身體狀況良好(ECOG≦1)及心肺與肝腎功能之評估資料。</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II.以i-RECIST標準(HCC患者以mRECIST標準)評定之藥物療效反應(PR、CR、SD)資料、影像檢查及報告(如胸部X光、電腦斷層或其他可作為評估的影像)，此影像證明以可測量(measurable)的病灶為優先，如沒有可以測量的病灶，則可評估(evaluable)的病灶亦可採用。</w:t>
      </w:r>
    </w:p>
    <w:p w:rsidR="002465F4" w:rsidRPr="0014655B" w:rsidRDefault="002465F4" w:rsidP="002465F4">
      <w:pPr>
        <w:tabs>
          <w:tab w:val="left" w:pos="1418"/>
        </w:tabs>
        <w:spacing w:line="400" w:lineRule="exact"/>
        <w:ind w:left="1051" w:hanging="245"/>
        <w:rPr>
          <w:rFonts w:ascii="標楷體" w:eastAsia="標楷體" w:hAnsi="標楷體"/>
          <w:color w:val="000000"/>
        </w:rPr>
      </w:pPr>
      <w:r w:rsidRPr="0014655B">
        <w:rPr>
          <w:rFonts w:ascii="標楷體" w:eastAsia="標楷體" w:hAnsi="標楷體"/>
          <w:color w:val="000000"/>
        </w:rPr>
        <w:t>備註：上述影像檢查之給付範圍不包括正子造影(PET)。</w:t>
      </w:r>
    </w:p>
    <w:p w:rsidR="002465F4" w:rsidRPr="0014655B" w:rsidRDefault="002465F4" w:rsidP="002465F4">
      <w:pPr>
        <w:tabs>
          <w:tab w:val="left" w:pos="1418"/>
        </w:tabs>
        <w:spacing w:line="400" w:lineRule="exact"/>
        <w:ind w:left="1418" w:hanging="141"/>
        <w:jc w:val="both"/>
        <w:rPr>
          <w:rFonts w:ascii="標楷體" w:eastAsia="標楷體" w:hAnsi="標楷體"/>
          <w:color w:val="000000"/>
        </w:rPr>
      </w:pPr>
      <w:r w:rsidRPr="0014655B">
        <w:rPr>
          <w:rFonts w:ascii="標楷體" w:eastAsia="標楷體" w:hAnsi="標楷體"/>
          <w:color w:val="000000"/>
        </w:rPr>
        <w:t>Ⅲ.使用於泌尿道上皮癌第一線用藥時，須另檢附下列其中一項佐證資料：(108/6/1、109/11/1、114/6/1)</w:t>
      </w:r>
    </w:p>
    <w:p w:rsidR="002465F4" w:rsidRPr="0014655B" w:rsidRDefault="002465F4" w:rsidP="002465F4">
      <w:pPr>
        <w:tabs>
          <w:tab w:val="left" w:pos="1185"/>
        </w:tabs>
        <w:spacing w:line="400" w:lineRule="exact"/>
        <w:ind w:left="1985" w:hanging="284"/>
        <w:jc w:val="both"/>
        <w:rPr>
          <w:rFonts w:ascii="標楷體" w:eastAsia="標楷體" w:hAnsi="標楷體"/>
          <w:color w:val="000000"/>
        </w:rPr>
      </w:pPr>
      <w:r w:rsidRPr="0014655B">
        <w:rPr>
          <w:rFonts w:ascii="標楷體" w:eastAsia="標楷體" w:hAnsi="標楷體"/>
          <w:color w:val="000000"/>
        </w:rPr>
        <w:t>i.CTCAE(the common terminology criteria for adverse events) v4.0 grade≧2 audiometric hearing loss</w:t>
      </w:r>
    </w:p>
    <w:p w:rsidR="002465F4" w:rsidRPr="0014655B" w:rsidRDefault="002465F4" w:rsidP="002465F4">
      <w:pPr>
        <w:tabs>
          <w:tab w:val="left" w:pos="1185"/>
        </w:tabs>
        <w:spacing w:line="400" w:lineRule="exact"/>
        <w:ind w:left="1985" w:hanging="284"/>
        <w:jc w:val="both"/>
        <w:rPr>
          <w:rFonts w:ascii="標楷體" w:eastAsia="標楷體" w:hAnsi="標楷體"/>
        </w:rPr>
      </w:pPr>
      <w:r w:rsidRPr="0014655B">
        <w:rPr>
          <w:rFonts w:ascii="新細明體" w:hAnsi="新細明體" w:cs="新細明體" w:hint="eastAsia"/>
          <w:color w:val="000000"/>
        </w:rPr>
        <w:t>ⅱ</w:t>
      </w:r>
      <w:r w:rsidRPr="0014655B">
        <w:rPr>
          <w:rFonts w:ascii="標楷體" w:eastAsia="標楷體" w:hAnsi="標楷體"/>
          <w:color w:val="000000"/>
        </w:rPr>
        <w:t>.CTCAE v4.0 grade≧2 peripheral neuropathy</w:t>
      </w:r>
    </w:p>
    <w:p w:rsidR="002465F4" w:rsidRPr="0014655B" w:rsidRDefault="002465F4" w:rsidP="002465F4">
      <w:pPr>
        <w:tabs>
          <w:tab w:val="left" w:pos="1185"/>
        </w:tabs>
        <w:spacing w:line="400" w:lineRule="exact"/>
        <w:ind w:left="1985" w:hanging="284"/>
        <w:jc w:val="both"/>
        <w:rPr>
          <w:rFonts w:ascii="標楷體" w:eastAsia="標楷體" w:hAnsi="標楷體"/>
        </w:rPr>
      </w:pPr>
      <w:r w:rsidRPr="0014655B">
        <w:rPr>
          <w:rFonts w:ascii="新細明體" w:hAnsi="新細明體" w:cs="新細明體" w:hint="eastAsia"/>
          <w:color w:val="000000"/>
        </w:rPr>
        <w:t>ⅲ</w:t>
      </w:r>
      <w:r w:rsidRPr="0014655B">
        <w:rPr>
          <w:rFonts w:ascii="標楷體" w:eastAsia="標楷體" w:hAnsi="標楷體"/>
          <w:color w:val="000000"/>
        </w:rPr>
        <w:t>.CIRS(the cumulative illness rating scale) score &gt;6</w:t>
      </w:r>
    </w:p>
    <w:p w:rsidR="002465F4" w:rsidRDefault="002465F4" w:rsidP="002465F4">
      <w:pPr>
        <w:tabs>
          <w:tab w:val="left" w:pos="1418"/>
        </w:tabs>
        <w:spacing w:line="400" w:lineRule="exact"/>
        <w:ind w:left="1418" w:hanging="141"/>
        <w:jc w:val="both"/>
        <w:rPr>
          <w:rFonts w:ascii="標楷體" w:eastAsia="標楷體" w:hAnsi="標楷體"/>
        </w:rPr>
      </w:pPr>
      <w:r w:rsidRPr="0014655B">
        <w:rPr>
          <w:rFonts w:ascii="標楷體" w:eastAsia="標楷體" w:hAnsi="標楷體"/>
          <w:color w:val="000000"/>
          <w:szCs w:val="24"/>
        </w:rPr>
        <w:t>IV.</w:t>
      </w:r>
      <w:r w:rsidRPr="0014655B">
        <w:rPr>
          <w:rFonts w:ascii="標楷體" w:eastAsia="標楷體" w:hAnsi="標楷體"/>
          <w:szCs w:val="24"/>
        </w:rPr>
        <w:t>使用於早期三陰性乳癌術後輔助治療時，須檢附於乳房和/或手術切除的淋巴結中發現有殘餘的侵襲性癌症(non-pCR)佐證。(114/6/1)</w:t>
      </w:r>
    </w:p>
    <w:p w:rsidR="002465F4" w:rsidRPr="0014655B" w:rsidRDefault="002465F4" w:rsidP="002465F4">
      <w:pPr>
        <w:tabs>
          <w:tab w:val="left" w:pos="1418"/>
        </w:tabs>
        <w:spacing w:line="400" w:lineRule="exact"/>
        <w:ind w:left="1418" w:hanging="141"/>
        <w:jc w:val="both"/>
        <w:rPr>
          <w:rFonts w:ascii="標楷體" w:eastAsia="標楷體" w:hAnsi="標楷體"/>
        </w:rPr>
      </w:pPr>
      <w:r>
        <w:rPr>
          <w:rFonts w:ascii="標楷體" w:eastAsia="標楷體" w:hAnsi="標楷體" w:cs="新細明體" w:hint="eastAsia"/>
          <w:color w:val="000000"/>
          <w:kern w:val="0"/>
          <w:szCs w:val="24"/>
        </w:rPr>
        <w:t>Ⅴ</w:t>
      </w:r>
      <w:r w:rsidRPr="0014655B">
        <w:rPr>
          <w:rFonts w:ascii="標楷體" w:eastAsia="標楷體" w:hAnsi="標楷體" w:cs="新細明體"/>
          <w:color w:val="000000"/>
          <w:kern w:val="0"/>
          <w:szCs w:val="24"/>
        </w:rPr>
        <w:t>其他佐證病歷資料。</w:t>
      </w:r>
    </w:p>
    <w:p w:rsidR="002465F4" w:rsidRPr="0014655B" w:rsidRDefault="002465F4" w:rsidP="002465F4">
      <w:pPr>
        <w:tabs>
          <w:tab w:val="left" w:pos="710"/>
        </w:tabs>
        <w:spacing w:line="400" w:lineRule="exact"/>
        <w:ind w:leftChars="237" w:left="991" w:hangingChars="176" w:hanging="422"/>
        <w:rPr>
          <w:rFonts w:ascii="標楷體" w:eastAsia="標楷體" w:hAnsi="標楷體"/>
          <w:color w:val="000000"/>
        </w:rPr>
      </w:pPr>
      <w:r w:rsidRPr="0014655B">
        <w:rPr>
          <w:rFonts w:ascii="標楷體" w:eastAsia="標楷體" w:hAnsi="標楷體"/>
          <w:color w:val="000000"/>
        </w:rPr>
        <w:t>4.登錄與結案作業：(109/11/1、114/1/1）</w:t>
      </w:r>
    </w:p>
    <w:p w:rsidR="002465F4" w:rsidRPr="0014655B" w:rsidRDefault="002465F4" w:rsidP="002465F4">
      <w:pPr>
        <w:tabs>
          <w:tab w:val="left" w:pos="1185"/>
        </w:tabs>
        <w:spacing w:line="400" w:lineRule="exact"/>
        <w:ind w:left="1291" w:hanging="440"/>
        <w:rPr>
          <w:rFonts w:ascii="標楷體" w:eastAsia="標楷體" w:hAnsi="標楷體"/>
          <w:color w:val="000000"/>
        </w:rPr>
      </w:pPr>
      <w:r w:rsidRPr="0014655B">
        <w:rPr>
          <w:rFonts w:ascii="標楷體" w:eastAsia="標楷體" w:hAnsi="標楷體"/>
          <w:color w:val="000000"/>
        </w:rPr>
        <w:t>(1)醫師處方使用本類藥品，倘病人結束治療、停止用藥、未通過續用申請或達給付時程期限時，醫事機構須在28天內於VPN系統登錄結案。逾期未登錄結案者，系統自動結案，且不予支付該個案自前次事前審查核定日後申報之藥費。</w:t>
      </w:r>
      <w:r w:rsidRPr="0014655B">
        <w:rPr>
          <w:rFonts w:ascii="標楷體" w:eastAsia="標楷體" w:hAnsi="標楷體"/>
          <w:color w:val="000000"/>
        </w:rPr>
        <w:lastRenderedPageBreak/>
        <w:t>(109/11/1、114/1/1)</w:t>
      </w:r>
    </w:p>
    <w:p w:rsidR="00B96EA0" w:rsidRDefault="002465F4" w:rsidP="002465F4">
      <w:pPr>
        <w:tabs>
          <w:tab w:val="left" w:pos="1185"/>
        </w:tabs>
        <w:spacing w:line="400" w:lineRule="exact"/>
        <w:ind w:left="1291" w:hanging="440"/>
        <w:rPr>
          <w:rFonts w:ascii="標楷體" w:eastAsia="標楷體" w:hAnsi="標楷體"/>
          <w:color w:val="000000"/>
        </w:rPr>
      </w:pPr>
      <w:r w:rsidRPr="0014655B">
        <w:rPr>
          <w:rFonts w:ascii="標楷體" w:eastAsia="標楷體" w:hAnsi="標楷體"/>
          <w:color w:val="000000"/>
        </w:rPr>
        <w:t>(2)已結案者自結案日後不予支付藥費。</w:t>
      </w:r>
      <w:bookmarkEnd w:id="15"/>
    </w:p>
    <w:p w:rsidR="002F7398" w:rsidRDefault="002F7398" w:rsidP="002F7398">
      <w:pPr>
        <w:spacing w:line="400" w:lineRule="exact"/>
        <w:ind w:left="283"/>
        <w:rPr>
          <w:rFonts w:ascii="標楷體" w:eastAsia="標楷體" w:hAnsi="標楷體"/>
          <w:color w:val="000000"/>
        </w:rPr>
      </w:pPr>
      <w:bookmarkStart w:id="24" w:name="_Hlk212113299"/>
      <w:r>
        <w:rPr>
          <w:rFonts w:ascii="標楷體" w:eastAsia="標楷體" w:hAnsi="標楷體"/>
          <w:color w:val="000000"/>
        </w:rPr>
        <w:t>9.70.Pertuzumab(如Perjeta)：(108/5/1、108/12/1、112/8/1、113/12/1、114/1/1、114/5/1)</w:t>
      </w:r>
    </w:p>
    <w:p w:rsidR="002F7398" w:rsidRDefault="002F7398" w:rsidP="002F7398">
      <w:pPr>
        <w:spacing w:line="400" w:lineRule="exact"/>
        <w:ind w:left="806" w:hanging="240"/>
        <w:rPr>
          <w:rFonts w:ascii="標楷體" w:eastAsia="標楷體" w:hAnsi="標楷體"/>
          <w:color w:val="000000"/>
        </w:rPr>
      </w:pPr>
      <w:r>
        <w:rPr>
          <w:rFonts w:ascii="標楷體" w:eastAsia="標楷體" w:hAnsi="標楷體"/>
          <w:color w:val="000000"/>
        </w:rPr>
        <w:t>1.本藥品與trastuzumab（限使用Ogivri、Herzuma、Eirgasun、Herceptin</w:t>
      </w:r>
      <w:r w:rsidRPr="00504F82">
        <w:rPr>
          <w:rFonts w:ascii="標楷體" w:eastAsia="標楷體" w:hAnsi="標楷體"/>
          <w:color w:val="000000"/>
        </w:rPr>
        <w:t>、Kanjinti</w:t>
      </w:r>
      <w:r>
        <w:rPr>
          <w:rFonts w:ascii="標楷體" w:eastAsia="標楷體" w:hAnsi="標楷體"/>
          <w:color w:val="000000"/>
        </w:rPr>
        <w:t>）及化學療法併用於具HER2過度表現（IHC3+或FISH+），且具腋下淋巴結轉移但無遠處臟器轉移之早期乳癌病人（113/12/1、114/</w:t>
      </w:r>
      <w:r>
        <w:rPr>
          <w:rFonts w:ascii="標楷體" w:eastAsia="標楷體" w:hAnsi="標楷體" w:hint="eastAsia"/>
          <w:color w:val="000000"/>
        </w:rPr>
        <w:t>1</w:t>
      </w:r>
      <w:r>
        <w:rPr>
          <w:rFonts w:ascii="標楷體" w:eastAsia="標楷體" w:hAnsi="標楷體"/>
          <w:color w:val="000000"/>
        </w:rPr>
        <w:t>/1、114/5/1）</w:t>
      </w:r>
    </w:p>
    <w:p w:rsidR="002F7398" w:rsidRDefault="002F7398" w:rsidP="002F7398">
      <w:pPr>
        <w:spacing w:line="400" w:lineRule="exact"/>
        <w:ind w:left="1166" w:hanging="600"/>
        <w:rPr>
          <w:rFonts w:ascii="標楷體" w:eastAsia="標楷體" w:hAnsi="標楷體"/>
          <w:color w:val="000000"/>
        </w:rPr>
      </w:pPr>
      <w:r>
        <w:rPr>
          <w:rFonts w:ascii="標楷體" w:eastAsia="標楷體" w:hAnsi="標楷體"/>
          <w:color w:val="000000"/>
        </w:rPr>
        <w:t xml:space="preserve">  (1)使用於術前輔助治療，經外科手術後達病理上完全緩解者（pCR），得繼續使用至18個療程為上限。</w:t>
      </w:r>
    </w:p>
    <w:p w:rsidR="002F7398" w:rsidRDefault="002F7398" w:rsidP="002F7398">
      <w:pPr>
        <w:spacing w:line="400" w:lineRule="exact"/>
        <w:ind w:left="1166" w:hanging="600"/>
        <w:rPr>
          <w:rFonts w:ascii="標楷體" w:eastAsia="標楷體" w:hAnsi="標楷體"/>
          <w:color w:val="000000"/>
        </w:rPr>
      </w:pPr>
      <w:r>
        <w:rPr>
          <w:rFonts w:ascii="標楷體" w:eastAsia="標楷體" w:hAnsi="標楷體"/>
          <w:color w:val="000000"/>
        </w:rPr>
        <w:t xml:space="preserve">  (2)若未接受術前輔助治療，即先行手術者，可給予術後輔助治療，以18個療程為使用上限。</w:t>
      </w:r>
    </w:p>
    <w:p w:rsidR="002F7398" w:rsidRDefault="002F7398" w:rsidP="002F7398">
      <w:pPr>
        <w:spacing w:line="400" w:lineRule="exact"/>
        <w:ind w:left="1260" w:hanging="408"/>
        <w:rPr>
          <w:rFonts w:ascii="標楷體" w:eastAsia="標楷體" w:hAnsi="標楷體"/>
          <w:color w:val="000000"/>
        </w:rPr>
      </w:pPr>
      <w:r>
        <w:rPr>
          <w:rFonts w:ascii="標楷體" w:eastAsia="標楷體" w:hAnsi="標楷體"/>
          <w:color w:val="000000"/>
        </w:rPr>
        <w:t>(3)下列Ｉ~Ⅲ使用於外科手術前後之總療程合併計算，依藥品仿單記載以18個療程為上限：</w:t>
      </w:r>
    </w:p>
    <w:p w:rsidR="002F7398" w:rsidRDefault="002F7398" w:rsidP="002F7398">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Ｉ：pertuzumab與trastuzumab併用</w:t>
      </w:r>
    </w:p>
    <w:p w:rsidR="002F7398" w:rsidRDefault="002F7398" w:rsidP="002F7398">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Ⅱ：trastuzumab</w:t>
      </w:r>
    </w:p>
    <w:p w:rsidR="002F7398" w:rsidRDefault="002F7398" w:rsidP="002F7398">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Ⅲ：pertuzumab與trastuzumab皮下注射複方製劑(如Phesgo)</w:t>
      </w:r>
    </w:p>
    <w:p w:rsidR="002F7398" w:rsidRDefault="002F7398" w:rsidP="002F7398">
      <w:pPr>
        <w:spacing w:line="400" w:lineRule="exact"/>
        <w:ind w:left="1260" w:hanging="408"/>
        <w:rPr>
          <w:rFonts w:ascii="標楷體" w:eastAsia="標楷體" w:hAnsi="標楷體"/>
          <w:color w:val="000000"/>
        </w:rPr>
      </w:pPr>
      <w:r>
        <w:rPr>
          <w:rFonts w:ascii="標楷體" w:eastAsia="標楷體" w:hAnsi="標楷體"/>
          <w:color w:val="000000"/>
        </w:rPr>
        <w:t>(4)須經事前審查核准後使用，核准後每24週須檢附療效評估資料再次申請，若疾病有惡化情形即不應再行申請。（113/12/1、114/5/1）</w:t>
      </w:r>
    </w:p>
    <w:p w:rsidR="002F7398" w:rsidRDefault="002F7398" w:rsidP="002F7398">
      <w:pPr>
        <w:spacing w:line="400" w:lineRule="exact"/>
        <w:ind w:left="566"/>
        <w:rPr>
          <w:rFonts w:ascii="標楷體" w:eastAsia="標楷體" w:hAnsi="標楷體"/>
          <w:color w:val="000000"/>
        </w:rPr>
      </w:pPr>
      <w:r>
        <w:rPr>
          <w:rFonts w:ascii="標楷體" w:eastAsia="標楷體" w:hAnsi="標楷體"/>
          <w:color w:val="000000"/>
        </w:rPr>
        <w:t>2.轉移性乳癌(108/5/1、108/12/1、112/8/1、113/12/1)</w:t>
      </w:r>
    </w:p>
    <w:p w:rsidR="002F7398" w:rsidRDefault="002F7398" w:rsidP="002F7398">
      <w:pPr>
        <w:spacing w:line="400" w:lineRule="exact"/>
        <w:ind w:left="1260" w:hanging="408"/>
        <w:rPr>
          <w:rFonts w:ascii="標楷體" w:eastAsia="標楷體" w:hAnsi="標楷體"/>
          <w:color w:val="000000"/>
        </w:rPr>
      </w:pPr>
      <w:r>
        <w:rPr>
          <w:rFonts w:ascii="標楷體" w:eastAsia="標楷體" w:hAnsi="標楷體"/>
          <w:color w:val="000000"/>
        </w:rPr>
        <w:t>(1)Pertuzumab與trastuzumab及docetaxel併用於治療轉移後未曾以抗HER2或化學療法治療之HER2過度表現(IHC3+或FISH+)轉移性乳癌病人。(108/12/1、112/8/1)</w:t>
      </w:r>
    </w:p>
    <w:p w:rsidR="002F7398" w:rsidRDefault="002F7398" w:rsidP="002F7398">
      <w:pPr>
        <w:spacing w:line="400" w:lineRule="exact"/>
        <w:ind w:left="1260" w:hanging="408"/>
        <w:rPr>
          <w:rFonts w:ascii="標楷體" w:eastAsia="標楷體" w:hAnsi="標楷體"/>
          <w:color w:val="000000"/>
        </w:rPr>
      </w:pPr>
      <w:r>
        <w:rPr>
          <w:rFonts w:ascii="標楷體" w:eastAsia="標楷體" w:hAnsi="標楷體"/>
          <w:color w:val="000000"/>
        </w:rPr>
        <w:t>(2)須經事前審查核准後使用，核准後每18週須檢附療效評估資料再次申請，若疾病有惡化情形即不應再行申請，每位病人至多給付18個月為限。(108/5/1)</w:t>
      </w:r>
    </w:p>
    <w:p w:rsidR="002F7398" w:rsidRDefault="002F7398" w:rsidP="002F7398">
      <w:pPr>
        <w:spacing w:line="400" w:lineRule="exact"/>
        <w:ind w:left="1260" w:hanging="408"/>
        <w:rPr>
          <w:rFonts w:ascii="標楷體" w:eastAsia="標楷體" w:hAnsi="標楷體"/>
          <w:color w:val="000000"/>
        </w:rPr>
      </w:pPr>
      <w:r>
        <w:rPr>
          <w:rFonts w:ascii="標楷體" w:eastAsia="標楷體" w:hAnsi="標楷體"/>
          <w:color w:val="000000"/>
        </w:rPr>
        <w:t>(3)下列Ｉ~Ⅱ使用於轉移性乳癌總療程合併計算，以全部18個月為上限(113/12/1)：</w:t>
      </w:r>
    </w:p>
    <w:p w:rsidR="002F7398" w:rsidRDefault="002F7398" w:rsidP="002F7398">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Ｉ：pertuzumab與trastuzumab併用</w:t>
      </w:r>
    </w:p>
    <w:p w:rsidR="002F7398" w:rsidRDefault="002F7398" w:rsidP="002F7398">
      <w:pPr>
        <w:tabs>
          <w:tab w:val="left" w:pos="1418"/>
        </w:tabs>
        <w:spacing w:line="400" w:lineRule="exact"/>
        <w:ind w:left="1291" w:hanging="245"/>
        <w:rPr>
          <w:rFonts w:ascii="標楷體" w:eastAsia="標楷體" w:hAnsi="標楷體"/>
          <w:color w:val="000000"/>
        </w:rPr>
      </w:pPr>
      <w:r>
        <w:rPr>
          <w:rFonts w:ascii="標楷體" w:eastAsia="標楷體" w:hAnsi="標楷體"/>
          <w:color w:val="000000"/>
        </w:rPr>
        <w:t>Ⅱ：pertuzumab與trastuzumab皮下注射複方製劑(如Phesgo)</w:t>
      </w:r>
    </w:p>
    <w:p w:rsidR="00B96EA0" w:rsidRDefault="002F7398" w:rsidP="002F7398">
      <w:pPr>
        <w:spacing w:line="400" w:lineRule="exact"/>
        <w:ind w:left="1260" w:hanging="408"/>
        <w:rPr>
          <w:rFonts w:ascii="標楷體" w:eastAsia="標楷體" w:hAnsi="標楷體" w:hint="eastAsia"/>
          <w:color w:val="000000"/>
        </w:rPr>
      </w:pPr>
      <w:r>
        <w:rPr>
          <w:rFonts w:ascii="標楷體" w:eastAsia="標楷體" w:hAnsi="標楷體"/>
          <w:color w:val="000000"/>
        </w:rPr>
        <w:t>(4)先前於早期乳癌已使用pertuzumab與trastuzumab併用或使用pertuzumab與trastuzumab皮下注射複方製劑(如Phesgo)者，不得再次申請pertuzumab與trastuzumab併用，惟於早期乳癌治療結束至首次疾病復發轉移時間超過12個月以上者得再次申請。(113/12/1)</w:t>
      </w:r>
      <w:bookmarkStart w:id="25" w:name="_GoBack"/>
      <w:bookmarkEnd w:id="24"/>
      <w:bookmarkEnd w:id="25"/>
    </w:p>
    <w:p w:rsidR="008B5474" w:rsidRPr="008E774D" w:rsidRDefault="008B5474" w:rsidP="008B5474">
      <w:pPr>
        <w:spacing w:line="400" w:lineRule="exact"/>
        <w:ind w:left="283"/>
      </w:pPr>
      <w:bookmarkStart w:id="26" w:name="_Hlk75424822"/>
      <w:bookmarkStart w:id="27" w:name="_Hlk204092271"/>
      <w:r w:rsidRPr="008E774D">
        <w:rPr>
          <w:rFonts w:ascii="標楷體" w:eastAsia="標楷體" w:hAnsi="標楷體"/>
          <w:color w:val="000000"/>
        </w:rPr>
        <w:t>9.71.</w:t>
      </w:r>
      <w:bookmarkEnd w:id="26"/>
      <w:r w:rsidRPr="008E774D">
        <w:t xml:space="preserve"> </w:t>
      </w:r>
      <w:r w:rsidRPr="008E774D">
        <w:rPr>
          <w:rFonts w:ascii="標楷體" w:eastAsia="標楷體" w:hAnsi="標楷體"/>
          <w:color w:val="000000"/>
        </w:rPr>
        <w:t>Venetoclax (如Venclexta)：(108/9/1、110/7/1、112/7/1</w:t>
      </w:r>
      <w:r w:rsidRPr="008E774D">
        <w:rPr>
          <w:rFonts w:ascii="標楷體" w:eastAsia="標楷體" w:hAnsi="標楷體" w:hint="eastAsia"/>
          <w:color w:val="000000"/>
        </w:rPr>
        <w:t>、114/8/1</w:t>
      </w:r>
      <w:r>
        <w:rPr>
          <w:rFonts w:ascii="標楷體" w:eastAsia="標楷體" w:hAnsi="標楷體" w:hint="eastAsia"/>
          <w:color w:val="000000"/>
        </w:rPr>
        <w:t>、114/10/1</w:t>
      </w:r>
      <w:r w:rsidRPr="008E774D">
        <w:rPr>
          <w:rFonts w:ascii="標楷體" w:eastAsia="標楷體" w:hAnsi="標楷體"/>
          <w:color w:val="000000"/>
        </w:rPr>
        <w:t>)</w:t>
      </w:r>
    </w:p>
    <w:p w:rsidR="008B5474" w:rsidRPr="008E774D" w:rsidRDefault="008B5474" w:rsidP="008B5474">
      <w:pPr>
        <w:spacing w:line="400" w:lineRule="exact"/>
        <w:ind w:left="993" w:hanging="426"/>
        <w:rPr>
          <w:rFonts w:ascii="標楷體" w:eastAsia="標楷體" w:hAnsi="標楷體"/>
          <w:color w:val="000000"/>
        </w:rPr>
      </w:pPr>
      <w:r w:rsidRPr="008E774D">
        <w:rPr>
          <w:rFonts w:ascii="標楷體" w:eastAsia="標楷體" w:hAnsi="標楷體"/>
          <w:color w:val="000000"/>
        </w:rPr>
        <w:t>1.單獨使用於具有17p 缺失的慢性淋巴球性白血病(CLL) 成年患者。（108/9/1、112/7/1</w:t>
      </w:r>
      <w:r w:rsidR="00086754">
        <w:rPr>
          <w:rFonts w:ascii="標楷體" w:eastAsia="標楷體" w:hAnsi="標楷體" w:hint="eastAsia"/>
          <w:color w:val="000000"/>
        </w:rPr>
        <w:t>、114/10/1</w:t>
      </w:r>
      <w:r w:rsidRPr="008E774D">
        <w:rPr>
          <w:rFonts w:ascii="標楷體" w:eastAsia="標楷體" w:hAnsi="標楷體"/>
          <w:color w:val="000000"/>
        </w:rPr>
        <w:t>)</w:t>
      </w:r>
    </w:p>
    <w:p w:rsidR="008B5474" w:rsidRPr="008E774D" w:rsidRDefault="008B5474" w:rsidP="008B5474">
      <w:pPr>
        <w:spacing w:line="400" w:lineRule="exact"/>
        <w:ind w:leftChars="381" w:left="1274" w:hangingChars="150" w:hanging="360"/>
        <w:rPr>
          <w:rFonts w:ascii="標楷體" w:eastAsia="標楷體" w:hAnsi="標楷體"/>
          <w:color w:val="000000"/>
        </w:rPr>
      </w:pPr>
      <w:r w:rsidRPr="008E774D">
        <w:rPr>
          <w:rFonts w:ascii="標楷體" w:eastAsia="標楷體" w:hAnsi="標楷體"/>
          <w:color w:val="000000"/>
        </w:rPr>
        <w:t>(1)限先前曾接受至少1種包括alkylating agent與anti-CD20 (如R-CVP、R-</w:t>
      </w:r>
      <w:r w:rsidRPr="008E774D">
        <w:rPr>
          <w:rFonts w:ascii="標楷體" w:eastAsia="標楷體" w:hAnsi="標楷體"/>
          <w:color w:val="000000"/>
        </w:rPr>
        <w:lastRenderedPageBreak/>
        <w:t>CHOP、rituximab加bendamustine等)的治療2個療程以上仍惡化或復發者。</w:t>
      </w:r>
    </w:p>
    <w:p w:rsidR="008B5474" w:rsidRPr="008E774D" w:rsidRDefault="008B5474" w:rsidP="008B5474">
      <w:pPr>
        <w:spacing w:line="400" w:lineRule="exact"/>
        <w:ind w:leftChars="381" w:left="914"/>
        <w:rPr>
          <w:rFonts w:ascii="標楷體" w:eastAsia="標楷體" w:hAnsi="標楷體"/>
          <w:color w:val="000000"/>
        </w:rPr>
      </w:pPr>
      <w:r w:rsidRPr="008E774D">
        <w:rPr>
          <w:rFonts w:ascii="標楷體" w:eastAsia="標楷體" w:hAnsi="標楷體"/>
          <w:color w:val="000000"/>
        </w:rPr>
        <w:t>(2)開始使用前之疾病狀態需出現下列任一情形：</w:t>
      </w:r>
    </w:p>
    <w:p w:rsidR="008B5474" w:rsidRPr="008E774D" w:rsidRDefault="008B5474" w:rsidP="008B5474">
      <w:pPr>
        <w:spacing w:line="400" w:lineRule="exact"/>
        <w:ind w:leftChars="558" w:left="1699" w:hangingChars="150" w:hanging="360"/>
        <w:rPr>
          <w:rFonts w:ascii="標楷體" w:eastAsia="標楷體" w:hAnsi="標楷體"/>
          <w:color w:val="000000"/>
        </w:rPr>
      </w:pPr>
      <w:r w:rsidRPr="008E774D">
        <w:rPr>
          <w:rFonts w:ascii="標楷體" w:eastAsia="標楷體" w:hAnsi="標楷體"/>
          <w:color w:val="000000"/>
        </w:rPr>
        <w:t>Ⅰ.進行性的血液相惡化至Hb&lt; 10.0gm/dL或PLT&lt;100K/uL，且無其他原因可以解釋。</w:t>
      </w:r>
    </w:p>
    <w:p w:rsidR="008B5474" w:rsidRPr="008E774D" w:rsidRDefault="008B5474" w:rsidP="008B5474">
      <w:pPr>
        <w:spacing w:line="400" w:lineRule="exact"/>
        <w:ind w:leftChars="558" w:left="1339"/>
        <w:rPr>
          <w:rFonts w:ascii="標楷體" w:eastAsia="標楷體" w:hAnsi="標楷體"/>
          <w:color w:val="000000"/>
        </w:rPr>
      </w:pPr>
      <w:r w:rsidRPr="008E774D">
        <w:rPr>
          <w:rFonts w:ascii="標楷體" w:eastAsia="標楷體" w:hAnsi="標楷體"/>
          <w:color w:val="000000"/>
        </w:rPr>
        <w:t>Ⅱ.脾臟腫大超過左肋骨下緣6cm。</w:t>
      </w:r>
    </w:p>
    <w:p w:rsidR="008B5474" w:rsidRPr="008E774D" w:rsidRDefault="008B5474" w:rsidP="008B5474">
      <w:pPr>
        <w:spacing w:line="400" w:lineRule="exact"/>
        <w:ind w:leftChars="558" w:left="1339"/>
        <w:rPr>
          <w:rFonts w:ascii="標楷體" w:eastAsia="標楷體" w:hAnsi="標楷體"/>
          <w:color w:val="000000"/>
        </w:rPr>
      </w:pPr>
      <w:r w:rsidRPr="008E774D">
        <w:rPr>
          <w:rFonts w:ascii="標楷體" w:eastAsia="標楷體" w:hAnsi="標楷體"/>
          <w:color w:val="000000"/>
        </w:rPr>
        <w:t>Ⅲ.淋巴結腫大，最長徑超過10cm。</w:t>
      </w:r>
    </w:p>
    <w:p w:rsidR="008B5474" w:rsidRPr="008E774D" w:rsidRDefault="008B5474" w:rsidP="008B5474">
      <w:pPr>
        <w:spacing w:line="400" w:lineRule="exact"/>
        <w:ind w:leftChars="558" w:left="1699" w:hangingChars="150" w:hanging="360"/>
        <w:rPr>
          <w:rFonts w:ascii="標楷體" w:eastAsia="標楷體" w:hAnsi="標楷體"/>
          <w:color w:val="000000"/>
        </w:rPr>
      </w:pPr>
      <w:r w:rsidRPr="008E774D">
        <w:rPr>
          <w:rFonts w:ascii="標楷體" w:eastAsia="標楷體" w:hAnsi="標楷體"/>
          <w:color w:val="000000"/>
        </w:rPr>
        <w:t>Ⅳ.周邊血液淋巴球在2個月內增加50%以上，或倍增時間(doubling time)小於6個月。</w:t>
      </w:r>
    </w:p>
    <w:p w:rsidR="008B5474" w:rsidRPr="008E774D" w:rsidRDefault="008B5474" w:rsidP="008B5474">
      <w:pPr>
        <w:spacing w:line="400" w:lineRule="exact"/>
        <w:ind w:leftChars="558" w:left="1339"/>
        <w:rPr>
          <w:rFonts w:ascii="標楷體" w:eastAsia="標楷體" w:hAnsi="標楷體"/>
          <w:color w:val="000000"/>
        </w:rPr>
      </w:pPr>
      <w:r w:rsidRPr="008E774D">
        <w:rPr>
          <w:rFonts w:ascii="標楷體" w:eastAsia="標楷體" w:hAnsi="標楷體"/>
          <w:color w:val="000000"/>
        </w:rPr>
        <w:t>Ⅴ.出現自體免疫併發症，且經類固醇治療無效。</w:t>
      </w:r>
    </w:p>
    <w:p w:rsidR="008B5474" w:rsidRPr="008E774D" w:rsidRDefault="008B5474" w:rsidP="008B5474">
      <w:pPr>
        <w:spacing w:line="400" w:lineRule="exact"/>
        <w:ind w:leftChars="558" w:left="1339"/>
        <w:rPr>
          <w:rFonts w:ascii="標楷體" w:eastAsia="標楷體" w:hAnsi="標楷體"/>
          <w:color w:val="000000"/>
        </w:rPr>
      </w:pPr>
      <w:r w:rsidRPr="008E774D">
        <w:rPr>
          <w:rFonts w:ascii="標楷體" w:eastAsia="標楷體" w:hAnsi="標楷體"/>
          <w:color w:val="000000"/>
        </w:rPr>
        <w:t>Ⅵ.出現具症狀的淋巴結外病灶。</w:t>
      </w:r>
    </w:p>
    <w:p w:rsidR="008B5474" w:rsidRPr="008E774D" w:rsidRDefault="008B5474" w:rsidP="008B5474">
      <w:pPr>
        <w:spacing w:line="400" w:lineRule="exact"/>
        <w:ind w:leftChars="381" w:left="1274" w:hangingChars="150" w:hanging="360"/>
        <w:rPr>
          <w:rFonts w:ascii="標楷體" w:eastAsia="標楷體" w:hAnsi="標楷體"/>
          <w:color w:val="000000"/>
        </w:rPr>
      </w:pPr>
      <w:r w:rsidRPr="008E774D">
        <w:rPr>
          <w:rFonts w:ascii="標楷體" w:eastAsia="標楷體" w:hAnsi="標楷體"/>
          <w:color w:val="000000"/>
        </w:rPr>
        <w:t>(3)需經事前審查核准後使用，每3個月需再次申請。再次申請時需檢附療效評估資料，若未達iwCLL(International Workshop on CLL)最新定義之partial remission或complete remission，則不予給付。</w:t>
      </w:r>
    </w:p>
    <w:p w:rsidR="008B5474" w:rsidRPr="008E774D" w:rsidRDefault="008B5474" w:rsidP="008B5474">
      <w:pPr>
        <w:spacing w:line="400" w:lineRule="exact"/>
        <w:ind w:leftChars="381" w:left="1274" w:hangingChars="150" w:hanging="360"/>
        <w:rPr>
          <w:rFonts w:ascii="標楷體" w:eastAsia="標楷體" w:hAnsi="標楷體"/>
          <w:color w:val="000000"/>
        </w:rPr>
      </w:pPr>
      <w:r w:rsidRPr="008E774D">
        <w:rPr>
          <w:rFonts w:ascii="標楷體" w:eastAsia="標楷體" w:hAnsi="標楷體"/>
          <w:color w:val="000000"/>
        </w:rPr>
        <w:t xml:space="preserve">(4) </w:t>
      </w:r>
      <w:r>
        <w:rPr>
          <w:rFonts w:ascii="標楷體" w:eastAsia="標楷體" w:hAnsi="標楷體" w:hint="eastAsia"/>
          <w:color w:val="000000"/>
        </w:rPr>
        <w:t>在具有17</w:t>
      </w:r>
      <w:r>
        <w:rPr>
          <w:rFonts w:ascii="標楷體" w:eastAsia="標楷體" w:hAnsi="標楷體"/>
          <w:color w:val="000000"/>
        </w:rPr>
        <w:t>p</w:t>
      </w:r>
      <w:r>
        <w:rPr>
          <w:rFonts w:ascii="標楷體" w:eastAsia="標楷體" w:hAnsi="標楷體" w:hint="eastAsia"/>
          <w:color w:val="000000"/>
        </w:rPr>
        <w:t>缺失病人，v</w:t>
      </w:r>
      <w:r w:rsidRPr="008E774D">
        <w:rPr>
          <w:rFonts w:ascii="標楷體" w:eastAsia="標楷體" w:hAnsi="標楷體"/>
          <w:color w:val="000000"/>
        </w:rPr>
        <w:t>enetoclax、acalabrutinib</w:t>
      </w:r>
      <w:r>
        <w:rPr>
          <w:rFonts w:ascii="標楷體" w:eastAsia="標楷體" w:hAnsi="標楷體" w:hint="eastAsia"/>
          <w:color w:val="000000"/>
        </w:rPr>
        <w:t>、</w:t>
      </w:r>
      <w:r w:rsidRPr="008E774D">
        <w:rPr>
          <w:rFonts w:ascii="標楷體" w:eastAsia="標楷體" w:hAnsi="標楷體"/>
          <w:color w:val="000000"/>
        </w:rPr>
        <w:t>ibrutinib</w:t>
      </w:r>
      <w:r>
        <w:rPr>
          <w:rFonts w:ascii="標楷體" w:eastAsia="標楷體" w:hAnsi="標楷體" w:hint="eastAsia"/>
          <w:color w:val="000000"/>
        </w:rPr>
        <w:t>及z</w:t>
      </w:r>
      <w:r>
        <w:rPr>
          <w:rFonts w:ascii="標楷體" w:eastAsia="標楷體" w:hAnsi="標楷體"/>
          <w:color w:val="000000"/>
        </w:rPr>
        <w:t>anubrutinib</w:t>
      </w:r>
      <w:r>
        <w:rPr>
          <w:rFonts w:ascii="標楷體" w:eastAsia="標楷體" w:hAnsi="標楷體" w:hint="eastAsia"/>
          <w:color w:val="000000"/>
        </w:rPr>
        <w:t>四</w:t>
      </w:r>
      <w:r w:rsidRPr="008E774D">
        <w:rPr>
          <w:rFonts w:ascii="標楷體" w:eastAsia="標楷體" w:hAnsi="標楷體"/>
          <w:color w:val="000000"/>
        </w:rPr>
        <w:t>者僅能擇一使用，唯有在出現無法忍受其副作用時方可互換。三者使用總療程合併計算，以全部24個月為上限。（108/9/1、112/7/1</w:t>
      </w:r>
      <w:r>
        <w:rPr>
          <w:rFonts w:ascii="標楷體" w:eastAsia="標楷體" w:hAnsi="標楷體" w:hint="eastAsia"/>
          <w:color w:val="000000"/>
        </w:rPr>
        <w:t>、114/10/1</w:t>
      </w:r>
      <w:r w:rsidRPr="008E774D">
        <w:rPr>
          <w:rFonts w:ascii="標楷體" w:eastAsia="標楷體" w:hAnsi="標楷體"/>
          <w:color w:val="000000"/>
        </w:rPr>
        <w:t>)</w:t>
      </w:r>
    </w:p>
    <w:p w:rsidR="008B5474" w:rsidRPr="008E774D" w:rsidRDefault="008B5474" w:rsidP="008B5474">
      <w:pPr>
        <w:spacing w:line="400" w:lineRule="exact"/>
        <w:ind w:leftChars="381" w:left="1274" w:hangingChars="150" w:hanging="360"/>
        <w:rPr>
          <w:rFonts w:ascii="標楷體" w:eastAsia="標楷體" w:hAnsi="標楷體"/>
          <w:color w:val="000000"/>
        </w:rPr>
      </w:pPr>
      <w:r w:rsidRPr="008E774D">
        <w:rPr>
          <w:rFonts w:ascii="標楷體" w:eastAsia="標楷體" w:hAnsi="標楷體"/>
          <w:color w:val="000000"/>
        </w:rPr>
        <w:t>(5)每日至多處方4粒。</w:t>
      </w:r>
    </w:p>
    <w:p w:rsidR="008B5474" w:rsidRPr="008E774D" w:rsidRDefault="008B5474" w:rsidP="008B5474">
      <w:pPr>
        <w:spacing w:line="400" w:lineRule="exact"/>
        <w:ind w:left="993" w:hanging="240"/>
        <w:rPr>
          <w:rFonts w:ascii="標楷體" w:eastAsia="標楷體" w:hAnsi="標楷體"/>
          <w:color w:val="000000"/>
        </w:rPr>
      </w:pPr>
      <w:r w:rsidRPr="008E774D">
        <w:rPr>
          <w:rFonts w:ascii="標楷體" w:eastAsia="標楷體" w:hAnsi="標楷體"/>
          <w:color w:val="000000"/>
        </w:rPr>
        <w:t>2.</w:t>
      </w:r>
      <w:r w:rsidRPr="008E774D">
        <w:rPr>
          <w:rFonts w:ascii="標楷體" w:eastAsia="標楷體" w:hAnsi="標楷體" w:hint="eastAsia"/>
          <w:color w:val="000000"/>
        </w:rPr>
        <w:t>併用低劑量cytarabine或azacitidine(除Winduza及Azacitidine Lyophilized Inj 100mg"GBC"以外)，使用於無法接受高強度化學治療之初診斷急性骨髓性白血病(AML)病人：(110/7/1、114/8/1)</w:t>
      </w:r>
    </w:p>
    <w:p w:rsidR="008B5474" w:rsidRPr="008E774D" w:rsidRDefault="008B5474" w:rsidP="008B5474">
      <w:pPr>
        <w:spacing w:line="400" w:lineRule="exact"/>
        <w:ind w:leftChars="381" w:left="1274" w:hangingChars="150" w:hanging="360"/>
        <w:rPr>
          <w:rFonts w:ascii="標楷體" w:eastAsia="標楷體" w:hAnsi="標楷體"/>
          <w:color w:val="000000"/>
        </w:rPr>
      </w:pPr>
      <w:r w:rsidRPr="008E774D">
        <w:rPr>
          <w:rFonts w:ascii="標楷體" w:eastAsia="標楷體" w:hAnsi="標楷體"/>
          <w:color w:val="000000"/>
        </w:rPr>
        <w:t>(1)需具有下列I.或Ⅱ.的條件之一：</w:t>
      </w:r>
    </w:p>
    <w:p w:rsidR="008B5474" w:rsidRPr="008E774D" w:rsidRDefault="008B5474" w:rsidP="008B5474">
      <w:pPr>
        <w:spacing w:line="400" w:lineRule="exact"/>
        <w:ind w:leftChars="558" w:left="1699" w:hangingChars="150" w:hanging="360"/>
        <w:rPr>
          <w:rFonts w:ascii="標楷體" w:eastAsia="標楷體" w:hAnsi="標楷體"/>
          <w:color w:val="000000"/>
        </w:rPr>
      </w:pPr>
      <w:r w:rsidRPr="008E774D">
        <w:rPr>
          <w:rFonts w:ascii="標楷體" w:eastAsia="標楷體" w:hAnsi="標楷體"/>
          <w:color w:val="000000"/>
        </w:rPr>
        <w:t>I.75歲以上。</w:t>
      </w:r>
    </w:p>
    <w:p w:rsidR="008B5474" w:rsidRPr="008E774D" w:rsidRDefault="008B5474" w:rsidP="008B5474">
      <w:pPr>
        <w:spacing w:line="400" w:lineRule="exact"/>
        <w:ind w:leftChars="558" w:left="1699" w:hangingChars="150" w:hanging="360"/>
        <w:rPr>
          <w:rFonts w:ascii="標楷體" w:eastAsia="標楷體" w:hAnsi="標楷體"/>
          <w:color w:val="000000"/>
        </w:rPr>
      </w:pPr>
      <w:r w:rsidRPr="008E774D">
        <w:rPr>
          <w:rFonts w:ascii="標楷體" w:eastAsia="標楷體" w:hAnsi="標楷體"/>
          <w:color w:val="000000"/>
        </w:rPr>
        <w:t>Ⅱ.18歲以上但未滿75歲時，需ECOG performance status為2或3，且符合下列任一條件者：</w:t>
      </w:r>
    </w:p>
    <w:p w:rsidR="008B5474" w:rsidRPr="008E774D" w:rsidRDefault="008B5474" w:rsidP="008B5474">
      <w:pPr>
        <w:spacing w:line="400" w:lineRule="exact"/>
        <w:ind w:left="1701"/>
        <w:rPr>
          <w:rFonts w:ascii="標楷體" w:eastAsia="標楷體" w:hAnsi="標楷體"/>
          <w:color w:val="000000"/>
        </w:rPr>
      </w:pPr>
      <w:r w:rsidRPr="008E774D">
        <w:rPr>
          <w:rFonts w:ascii="標楷體" w:eastAsia="標楷體" w:hAnsi="標楷體"/>
          <w:color w:val="000000"/>
        </w:rPr>
        <w:t>A.具有心臟衰竭治療病史，且left ventricle ejection fraction (LVEF)＜50%。</w:t>
      </w:r>
    </w:p>
    <w:p w:rsidR="008B5474" w:rsidRPr="008E774D" w:rsidRDefault="008B5474" w:rsidP="008B5474">
      <w:pPr>
        <w:spacing w:line="400" w:lineRule="exact"/>
        <w:ind w:left="1701"/>
        <w:rPr>
          <w:rFonts w:ascii="標楷體" w:eastAsia="標楷體" w:hAnsi="標楷體"/>
          <w:color w:val="000000"/>
        </w:rPr>
      </w:pPr>
      <w:r w:rsidRPr="008E774D">
        <w:rPr>
          <w:rFonts w:ascii="標楷體" w:eastAsia="標楷體" w:hAnsi="標楷體"/>
          <w:color w:val="000000"/>
        </w:rPr>
        <w:t>B.具慢性肺部疾病史，且 DLCO＜65%。</w:t>
      </w:r>
    </w:p>
    <w:p w:rsidR="008B5474" w:rsidRPr="008E774D" w:rsidRDefault="008B5474" w:rsidP="008B5474">
      <w:pPr>
        <w:spacing w:line="400" w:lineRule="exact"/>
        <w:ind w:left="1701"/>
        <w:rPr>
          <w:rFonts w:ascii="標楷體" w:eastAsia="標楷體" w:hAnsi="標楷體"/>
          <w:color w:val="000000"/>
        </w:rPr>
      </w:pPr>
      <w:r w:rsidRPr="008E774D">
        <w:rPr>
          <w:rFonts w:ascii="標楷體" w:eastAsia="標楷體" w:hAnsi="標楷體"/>
          <w:color w:val="000000"/>
        </w:rPr>
        <w:t>C.具肝功能異常：Bilirubin level 在1.5-3.0倍正常值間。</w:t>
      </w:r>
    </w:p>
    <w:p w:rsidR="008B5474" w:rsidRPr="008E774D" w:rsidRDefault="008B5474" w:rsidP="008B5474">
      <w:pPr>
        <w:spacing w:line="400" w:lineRule="exact"/>
        <w:ind w:leftChars="381" w:left="1274" w:hangingChars="150" w:hanging="360"/>
        <w:rPr>
          <w:rFonts w:ascii="標楷體" w:eastAsia="標楷體" w:hAnsi="標楷體"/>
          <w:color w:val="000000"/>
        </w:rPr>
      </w:pPr>
      <w:r w:rsidRPr="008E774D">
        <w:rPr>
          <w:rFonts w:ascii="標楷體" w:eastAsia="標楷體" w:hAnsi="標楷體"/>
          <w:color w:val="000000"/>
        </w:rPr>
        <w:t>(2)需未曾因骨髓化生不良症候群(myelodysplastic syndrome, MDS)接受過azacitidine治療者。</w:t>
      </w:r>
    </w:p>
    <w:p w:rsidR="008B5474" w:rsidRPr="008E774D" w:rsidRDefault="008B5474" w:rsidP="008B5474">
      <w:pPr>
        <w:spacing w:line="400" w:lineRule="exact"/>
        <w:ind w:leftChars="381" w:left="1274" w:hangingChars="150" w:hanging="360"/>
        <w:rPr>
          <w:rFonts w:ascii="標楷體" w:eastAsia="標楷體" w:hAnsi="標楷體"/>
          <w:color w:val="000000"/>
        </w:rPr>
      </w:pPr>
      <w:r w:rsidRPr="008E774D">
        <w:rPr>
          <w:rFonts w:ascii="標楷體" w:eastAsia="標楷體" w:hAnsi="標楷體"/>
          <w:color w:val="000000"/>
        </w:rPr>
        <w:t>(3)需經事前審查核准後使用，每2個療程需再次申請；再次申請時需檢附療效評估資料，若病情惡化應即停止使用。</w:t>
      </w:r>
    </w:p>
    <w:p w:rsidR="00B96EA0" w:rsidRDefault="008B5474" w:rsidP="008B5474">
      <w:pPr>
        <w:spacing w:line="400" w:lineRule="exact"/>
        <w:ind w:leftChars="381" w:left="1274" w:hangingChars="150" w:hanging="360"/>
        <w:rPr>
          <w:rFonts w:ascii="標楷體" w:eastAsia="標楷體" w:hAnsi="標楷體"/>
          <w:color w:val="000000"/>
        </w:rPr>
      </w:pPr>
      <w:r w:rsidRPr="008E774D">
        <w:rPr>
          <w:rFonts w:ascii="標楷體" w:eastAsia="標楷體" w:hAnsi="標楷體"/>
          <w:color w:val="000000"/>
        </w:rPr>
        <w:t>(4)</w:t>
      </w:r>
      <w:r w:rsidRPr="008E774D">
        <w:rPr>
          <w:rFonts w:ascii="標楷體" w:eastAsia="標楷體" w:hAnsi="標楷體" w:hint="eastAsia"/>
          <w:color w:val="000000"/>
        </w:rPr>
        <w:t>若併用低劑</w:t>
      </w:r>
      <w:r w:rsidRPr="008E774D">
        <w:rPr>
          <w:rFonts w:ascii="標楷體" w:eastAsia="標楷體" w:hAnsi="標楷體" w:hint="eastAsia"/>
        </w:rPr>
        <w:t>量cytarabine，每日至多處方6粒，最多給付4個療程。若併用azacitidine治療，每日至多處方4粒，最多給付6個療程。(110/7/1、114/8/1)</w:t>
      </w:r>
      <w:bookmarkEnd w:id="27"/>
    </w:p>
    <w:p w:rsidR="008859E6" w:rsidRPr="00AB1C15" w:rsidRDefault="007D66B8" w:rsidP="005142EB">
      <w:pPr>
        <w:spacing w:line="400" w:lineRule="exact"/>
        <w:ind w:left="566" w:hangingChars="236" w:hanging="566"/>
        <w:rPr>
          <w:rFonts w:ascii="標楷體" w:eastAsia="標楷體" w:hAnsi="標楷體"/>
          <w:szCs w:val="24"/>
        </w:rPr>
      </w:pPr>
      <w:r>
        <w:rPr>
          <w:rFonts w:ascii="標楷體" w:eastAsia="標楷體" w:hAnsi="標楷體"/>
          <w:color w:val="000000"/>
        </w:rPr>
        <w:t>9.72.</w:t>
      </w:r>
      <w:r w:rsidR="008859E6" w:rsidRPr="008859E6">
        <w:rPr>
          <w:rFonts w:ascii="標楷體" w:eastAsia="標楷體" w:hAnsi="標楷體"/>
          <w:szCs w:val="24"/>
        </w:rPr>
        <w:t xml:space="preserve"> </w:t>
      </w:r>
      <w:r w:rsidR="008859E6" w:rsidRPr="00AB1C15">
        <w:rPr>
          <w:rFonts w:ascii="標楷體" w:eastAsia="標楷體" w:hAnsi="標楷體"/>
          <w:szCs w:val="24"/>
        </w:rPr>
        <w:t>CDK4/6抑制劑 (如 ribociclib；palbociclib)：(108/10/1、108/12/1、109/4/1、</w:t>
      </w:r>
      <w:r w:rsidR="008859E6" w:rsidRPr="00AB1C15">
        <w:rPr>
          <w:rFonts w:ascii="標楷體" w:eastAsia="標楷體" w:hAnsi="標楷體"/>
          <w:szCs w:val="24"/>
        </w:rPr>
        <w:lastRenderedPageBreak/>
        <w:t>109/10/1、110/5/1、110/10/1、113/1/1、</w:t>
      </w:r>
      <w:r w:rsidR="008859E6" w:rsidRPr="00AB1C15">
        <w:rPr>
          <w:rFonts w:ascii="標楷體" w:eastAsia="標楷體" w:hAnsi="標楷體" w:hint="eastAsia"/>
          <w:szCs w:val="24"/>
        </w:rPr>
        <w:t>1</w:t>
      </w:r>
      <w:r w:rsidR="008859E6" w:rsidRPr="00AB1C15">
        <w:rPr>
          <w:rFonts w:ascii="標楷體" w:eastAsia="標楷體" w:hAnsi="標楷體"/>
          <w:szCs w:val="24"/>
        </w:rPr>
        <w:t>13/3/1</w:t>
      </w:r>
      <w:r w:rsidR="008859E6" w:rsidRPr="00AB1C15">
        <w:rPr>
          <w:rFonts w:ascii="標楷體" w:eastAsia="標楷體" w:hAnsi="標楷體" w:hint="eastAsia"/>
          <w:szCs w:val="24"/>
        </w:rPr>
        <w:t>、114</w:t>
      </w:r>
      <w:r w:rsidR="008859E6" w:rsidRPr="00AB1C15">
        <w:rPr>
          <w:rFonts w:ascii="標楷體" w:eastAsia="標楷體" w:hAnsi="標楷體"/>
          <w:szCs w:val="24"/>
        </w:rPr>
        <w:t>/</w:t>
      </w:r>
      <w:r w:rsidR="008859E6" w:rsidRPr="00AB1C15">
        <w:rPr>
          <w:rFonts w:ascii="標楷體" w:eastAsia="標楷體" w:hAnsi="標楷體" w:hint="eastAsia"/>
          <w:szCs w:val="24"/>
        </w:rPr>
        <w:t>7</w:t>
      </w:r>
      <w:r w:rsidR="008859E6" w:rsidRPr="00AB1C15">
        <w:rPr>
          <w:rFonts w:ascii="標楷體" w:eastAsia="標楷體" w:hAnsi="標楷體"/>
          <w:szCs w:val="24"/>
        </w:rPr>
        <w:t>/1)</w:t>
      </w:r>
    </w:p>
    <w:p w:rsidR="008859E6" w:rsidRPr="00AB1C15" w:rsidRDefault="008859E6" w:rsidP="005142EB">
      <w:pPr>
        <w:spacing w:line="400" w:lineRule="exact"/>
        <w:ind w:leftChars="118" w:left="566" w:hangingChars="118" w:hanging="283"/>
        <w:rPr>
          <w:rFonts w:ascii="標楷體" w:eastAsia="標楷體" w:hAnsi="標楷體"/>
          <w:szCs w:val="24"/>
        </w:rPr>
      </w:pPr>
      <w:r w:rsidRPr="00AB1C15">
        <w:rPr>
          <w:rFonts w:ascii="標楷體" w:eastAsia="標楷體" w:hAnsi="標楷體" w:hint="eastAsia"/>
          <w:szCs w:val="24"/>
        </w:rPr>
        <w:t>1.用於停經後乳癌婦女發生遠端轉移後之全身性藥物治療，須完全符合以下條件：(109/10/1、110/5/1、110/10/1、113/1/1)</w:t>
      </w:r>
    </w:p>
    <w:p w:rsidR="008859E6" w:rsidRPr="00AB1C15" w:rsidRDefault="008859E6" w:rsidP="005142EB">
      <w:pPr>
        <w:spacing w:line="400" w:lineRule="exact"/>
        <w:ind w:leftChars="176" w:left="422" w:firstLineChars="59" w:firstLine="142"/>
        <w:rPr>
          <w:rFonts w:ascii="標楷體" w:eastAsia="標楷體" w:hAnsi="標楷體"/>
          <w:szCs w:val="24"/>
        </w:rPr>
      </w:pPr>
      <w:r w:rsidRPr="00AB1C15">
        <w:rPr>
          <w:rFonts w:ascii="標楷體" w:eastAsia="標楷體" w:hAnsi="標楷體" w:hint="eastAsia"/>
          <w:szCs w:val="24"/>
        </w:rPr>
        <w:t>(1)荷爾蒙接受體為：ER或PR &gt;30%。（109/10/1、113/1/1)</w:t>
      </w:r>
    </w:p>
    <w:p w:rsidR="008859E6" w:rsidRPr="00AB1C15" w:rsidRDefault="008859E6" w:rsidP="005142EB">
      <w:pPr>
        <w:spacing w:line="400" w:lineRule="exact"/>
        <w:ind w:leftChars="176" w:left="422" w:firstLineChars="59" w:firstLine="142"/>
        <w:rPr>
          <w:rFonts w:ascii="標楷體" w:eastAsia="標楷體" w:hAnsi="標楷體"/>
          <w:szCs w:val="24"/>
        </w:rPr>
      </w:pPr>
      <w:r w:rsidRPr="00AB1C15">
        <w:rPr>
          <w:rFonts w:ascii="標楷體" w:eastAsia="標楷體" w:hAnsi="標楷體" w:hint="eastAsia"/>
          <w:szCs w:val="24"/>
        </w:rPr>
        <w:t>(2)HER-2 檢測為陰性。</w:t>
      </w:r>
    </w:p>
    <w:p w:rsidR="008859E6" w:rsidRPr="00AB1C15" w:rsidRDefault="008859E6" w:rsidP="005142EB">
      <w:pPr>
        <w:spacing w:line="400" w:lineRule="exact"/>
        <w:ind w:leftChars="235" w:left="850" w:hangingChars="119" w:hanging="286"/>
        <w:rPr>
          <w:rFonts w:ascii="標楷體" w:eastAsia="標楷體" w:hAnsi="標楷體"/>
          <w:szCs w:val="24"/>
        </w:rPr>
      </w:pPr>
      <w:r w:rsidRPr="00AB1C15">
        <w:rPr>
          <w:rFonts w:ascii="標楷體" w:eastAsia="標楷體" w:hAnsi="標楷體" w:hint="eastAsia"/>
          <w:szCs w:val="24"/>
        </w:rPr>
        <w:t>(3)經完整疾病評估後未出現器官轉移危急症狀 (visceral crisis)且無中樞神經系統(CNS)轉移。（110/10/1）</w:t>
      </w:r>
    </w:p>
    <w:p w:rsidR="008859E6" w:rsidRPr="00AB1C15" w:rsidRDefault="008859E6" w:rsidP="005142EB">
      <w:pPr>
        <w:spacing w:line="400" w:lineRule="exact"/>
        <w:ind w:leftChars="176" w:left="422" w:firstLineChars="59" w:firstLine="142"/>
        <w:rPr>
          <w:rFonts w:ascii="標楷體" w:eastAsia="標楷體" w:hAnsi="標楷體"/>
          <w:szCs w:val="24"/>
        </w:rPr>
      </w:pPr>
      <w:r w:rsidRPr="00AB1C15">
        <w:rPr>
          <w:rFonts w:ascii="標楷體" w:eastAsia="標楷體" w:hAnsi="標楷體" w:hint="eastAsia"/>
          <w:szCs w:val="24"/>
        </w:rPr>
        <w:t>(4)骨轉移不可為唯一轉移部位。（110/10/1）</w:t>
      </w:r>
    </w:p>
    <w:p w:rsidR="008859E6" w:rsidRPr="00AB1C15" w:rsidRDefault="008859E6" w:rsidP="005142EB">
      <w:pPr>
        <w:spacing w:line="400" w:lineRule="exact"/>
        <w:ind w:leftChars="237" w:left="850" w:hangingChars="117" w:hanging="281"/>
        <w:rPr>
          <w:rFonts w:ascii="標楷體" w:eastAsia="標楷體" w:hAnsi="標楷體"/>
          <w:szCs w:val="24"/>
        </w:rPr>
      </w:pPr>
      <w:r w:rsidRPr="00AB1C15">
        <w:rPr>
          <w:rFonts w:ascii="標楷體" w:eastAsia="標楷體" w:hAnsi="標楷體" w:hint="eastAsia"/>
          <w:szCs w:val="24"/>
        </w:rPr>
        <w:t>(5)病患目前未接受卵巢功能抑制治療 (包含GnRH analogue等) 且滿足下列條件之一：（110/5/1）</w:t>
      </w:r>
    </w:p>
    <w:p w:rsidR="008859E6" w:rsidRPr="00AB1C15" w:rsidRDefault="008859E6" w:rsidP="005142EB">
      <w:pPr>
        <w:spacing w:line="400" w:lineRule="exact"/>
        <w:ind w:leftChars="354" w:left="850" w:firstLine="1"/>
        <w:rPr>
          <w:rFonts w:ascii="標楷體" w:eastAsia="標楷體" w:hAnsi="標楷體"/>
          <w:szCs w:val="24"/>
        </w:rPr>
      </w:pPr>
      <w:r w:rsidRPr="00AB1C15">
        <w:rPr>
          <w:rFonts w:ascii="標楷體" w:eastAsia="標楷體" w:hAnsi="標楷體" w:hint="eastAsia"/>
          <w:szCs w:val="24"/>
        </w:rPr>
        <w:t>Ⅰ.年齡滿55歲。</w:t>
      </w:r>
    </w:p>
    <w:p w:rsidR="008859E6" w:rsidRPr="00AB1C15" w:rsidRDefault="008859E6" w:rsidP="005142EB">
      <w:pPr>
        <w:spacing w:line="400" w:lineRule="exact"/>
        <w:ind w:leftChars="354" w:left="850" w:firstLine="1"/>
        <w:rPr>
          <w:rFonts w:ascii="標楷體" w:eastAsia="標楷體" w:hAnsi="標楷體"/>
          <w:szCs w:val="24"/>
        </w:rPr>
      </w:pPr>
      <w:r w:rsidRPr="00AB1C15">
        <w:rPr>
          <w:rFonts w:ascii="標楷體" w:eastAsia="標楷體" w:hAnsi="標楷體" w:hint="eastAsia"/>
          <w:szCs w:val="24"/>
        </w:rPr>
        <w:t>Ⅱ.曾接受雙側卵巢切除術。</w:t>
      </w:r>
    </w:p>
    <w:p w:rsidR="008859E6" w:rsidRPr="00AB1C15" w:rsidRDefault="008859E6" w:rsidP="005142EB">
      <w:pPr>
        <w:spacing w:line="400" w:lineRule="exact"/>
        <w:ind w:leftChars="354" w:left="850" w:firstLine="1"/>
        <w:rPr>
          <w:rFonts w:ascii="標楷體" w:eastAsia="標楷體" w:hAnsi="標楷體"/>
          <w:szCs w:val="24"/>
        </w:rPr>
      </w:pPr>
      <w:r w:rsidRPr="00AB1C15">
        <w:rPr>
          <w:rFonts w:ascii="標楷體" w:eastAsia="標楷體" w:hAnsi="標楷體" w:hint="eastAsia"/>
          <w:szCs w:val="24"/>
        </w:rPr>
        <w:t>Ⅲ.FSH及estradiol血液檢測值在停經後數值範圍內。</w:t>
      </w:r>
    </w:p>
    <w:p w:rsidR="008859E6" w:rsidRPr="00AB1C15" w:rsidRDefault="008859E6" w:rsidP="005142EB">
      <w:pPr>
        <w:spacing w:line="400" w:lineRule="exact"/>
        <w:ind w:leftChars="118" w:left="566" w:hangingChars="118" w:hanging="283"/>
        <w:rPr>
          <w:rFonts w:ascii="標楷體" w:eastAsia="標楷體" w:hAnsi="標楷體"/>
          <w:szCs w:val="24"/>
        </w:rPr>
      </w:pPr>
      <w:r w:rsidRPr="00AB1C15">
        <w:rPr>
          <w:rFonts w:ascii="標楷體" w:eastAsia="標楷體" w:hAnsi="標楷體"/>
          <w:szCs w:val="24"/>
        </w:rPr>
        <w:t>2.</w:t>
      </w:r>
      <w:r w:rsidRPr="00AB1C15">
        <w:rPr>
          <w:rFonts w:ascii="標楷體" w:eastAsia="標楷體" w:hAnsi="標楷體" w:hint="eastAsia"/>
          <w:szCs w:val="24"/>
        </w:rPr>
        <w:t>用於停經前</w:t>
      </w:r>
      <w:r w:rsidRPr="00AB1C15">
        <w:rPr>
          <w:rFonts w:ascii="標楷體" w:eastAsia="標楷體" w:hAnsi="標楷體"/>
          <w:szCs w:val="24"/>
        </w:rPr>
        <w:t>/</w:t>
      </w:r>
      <w:r w:rsidRPr="00AB1C15">
        <w:rPr>
          <w:rFonts w:ascii="標楷體" w:eastAsia="標楷體" w:hAnsi="標楷體" w:hint="eastAsia"/>
          <w:szCs w:val="24"/>
        </w:rPr>
        <w:t>正在停經乳癌婦女及男性乳癌發生遠端轉移後之全身性藥物治療，須與芳香環轉化酶抑制劑及</w:t>
      </w:r>
      <w:r w:rsidRPr="00AB1C15">
        <w:rPr>
          <w:rFonts w:ascii="標楷體" w:eastAsia="標楷體" w:hAnsi="標楷體"/>
          <w:szCs w:val="24"/>
        </w:rPr>
        <w:t>GnRH analogue</w:t>
      </w:r>
      <w:r w:rsidRPr="00AB1C15">
        <w:rPr>
          <w:rFonts w:ascii="標楷體" w:eastAsia="標楷體" w:hAnsi="標楷體" w:hint="eastAsia"/>
          <w:szCs w:val="24"/>
        </w:rPr>
        <w:t xml:space="preserve"> 併用。（</w:t>
      </w:r>
      <w:r w:rsidRPr="00AB1C15">
        <w:rPr>
          <w:rFonts w:ascii="標楷體" w:eastAsia="標楷體" w:hAnsi="標楷體"/>
          <w:szCs w:val="24"/>
        </w:rPr>
        <w:t>113/1/1</w:t>
      </w:r>
      <w:r w:rsidRPr="00AB1C15">
        <w:rPr>
          <w:rFonts w:ascii="標楷體" w:eastAsia="標楷體" w:hAnsi="標楷體" w:hint="eastAsia"/>
          <w:szCs w:val="24"/>
        </w:rPr>
        <w:t>、114</w:t>
      </w:r>
      <w:r w:rsidRPr="00AB1C15">
        <w:rPr>
          <w:rFonts w:ascii="標楷體" w:eastAsia="標楷體" w:hAnsi="標楷體"/>
          <w:szCs w:val="24"/>
        </w:rPr>
        <w:t>/</w:t>
      </w:r>
      <w:r w:rsidRPr="00AB1C15">
        <w:rPr>
          <w:rFonts w:ascii="標楷體" w:eastAsia="標楷體" w:hAnsi="標楷體" w:hint="eastAsia"/>
          <w:szCs w:val="24"/>
        </w:rPr>
        <w:t>7</w:t>
      </w:r>
      <w:r w:rsidRPr="00AB1C15">
        <w:rPr>
          <w:rFonts w:ascii="標楷體" w:eastAsia="標楷體" w:hAnsi="標楷體"/>
          <w:szCs w:val="24"/>
        </w:rPr>
        <w:t>/1</w:t>
      </w:r>
      <w:r w:rsidRPr="00AB1C15">
        <w:rPr>
          <w:rFonts w:ascii="標楷體" w:eastAsia="標楷體" w:hAnsi="標楷體" w:hint="eastAsia"/>
          <w:szCs w:val="24"/>
        </w:rPr>
        <w:t>）</w:t>
      </w:r>
    </w:p>
    <w:p w:rsidR="008859E6" w:rsidRPr="00AB1C15" w:rsidRDefault="008859E6" w:rsidP="005142EB">
      <w:pPr>
        <w:spacing w:line="400" w:lineRule="exact"/>
        <w:ind w:leftChars="176" w:left="422" w:firstLineChars="59" w:firstLine="142"/>
        <w:rPr>
          <w:rFonts w:ascii="標楷體" w:eastAsia="標楷體" w:hAnsi="標楷體"/>
          <w:szCs w:val="24"/>
        </w:rPr>
      </w:pPr>
      <w:r w:rsidRPr="00AB1C15">
        <w:rPr>
          <w:rFonts w:ascii="標楷體" w:eastAsia="標楷體" w:hAnsi="標楷體" w:hint="eastAsia"/>
          <w:szCs w:val="24"/>
        </w:rPr>
        <w:t>(1)荷爾蒙接受體為：ER或PR &gt;30%。</w:t>
      </w:r>
    </w:p>
    <w:p w:rsidR="008859E6" w:rsidRPr="00AB1C15" w:rsidRDefault="008859E6" w:rsidP="005142EB">
      <w:pPr>
        <w:spacing w:line="400" w:lineRule="exact"/>
        <w:ind w:leftChars="176" w:left="422" w:firstLineChars="59" w:firstLine="142"/>
        <w:rPr>
          <w:rFonts w:ascii="標楷體" w:eastAsia="標楷體" w:hAnsi="標楷體"/>
          <w:szCs w:val="24"/>
        </w:rPr>
      </w:pPr>
      <w:r w:rsidRPr="00AB1C15">
        <w:rPr>
          <w:rFonts w:ascii="標楷體" w:eastAsia="標楷體" w:hAnsi="標楷體" w:hint="eastAsia"/>
          <w:szCs w:val="24"/>
        </w:rPr>
        <w:t>(2)HER-2 檢測為陰性。</w:t>
      </w:r>
    </w:p>
    <w:p w:rsidR="008859E6" w:rsidRPr="00AB1C15" w:rsidRDefault="008859E6" w:rsidP="005142EB">
      <w:pPr>
        <w:spacing w:line="400" w:lineRule="exact"/>
        <w:ind w:leftChars="234" w:left="848" w:hangingChars="119" w:hanging="286"/>
        <w:rPr>
          <w:rFonts w:ascii="標楷體" w:eastAsia="標楷體" w:hAnsi="標楷體"/>
          <w:szCs w:val="24"/>
        </w:rPr>
      </w:pPr>
      <w:r w:rsidRPr="00AB1C15">
        <w:rPr>
          <w:rFonts w:ascii="標楷體" w:eastAsia="標楷體" w:hAnsi="標楷體" w:hint="eastAsia"/>
          <w:szCs w:val="24"/>
        </w:rPr>
        <w:t>(3)經完整疾病評估後未出現器官轉移危急症狀 (visceral crisis)且無中樞神經系統(CNS)轉移。</w:t>
      </w:r>
    </w:p>
    <w:p w:rsidR="008859E6" w:rsidRPr="00AB1C15" w:rsidRDefault="008859E6" w:rsidP="005142EB">
      <w:pPr>
        <w:spacing w:line="400" w:lineRule="exact"/>
        <w:ind w:leftChars="176" w:left="422" w:firstLineChars="59" w:firstLine="142"/>
        <w:rPr>
          <w:rFonts w:ascii="標楷體" w:eastAsia="標楷體" w:hAnsi="標楷體"/>
          <w:szCs w:val="24"/>
        </w:rPr>
      </w:pPr>
      <w:r w:rsidRPr="00AB1C15">
        <w:rPr>
          <w:rFonts w:ascii="標楷體" w:eastAsia="標楷體" w:hAnsi="標楷體" w:hint="eastAsia"/>
          <w:szCs w:val="24"/>
        </w:rPr>
        <w:t>(4)骨轉移不可為唯一轉移部位。</w:t>
      </w:r>
    </w:p>
    <w:p w:rsidR="008859E6" w:rsidRPr="00AB1C15" w:rsidRDefault="008859E6" w:rsidP="005142EB">
      <w:pPr>
        <w:spacing w:line="400" w:lineRule="exact"/>
        <w:ind w:leftChars="118" w:left="566" w:hangingChars="118" w:hanging="283"/>
        <w:rPr>
          <w:rFonts w:ascii="標楷體" w:eastAsia="標楷體" w:hAnsi="標楷體"/>
          <w:szCs w:val="24"/>
        </w:rPr>
      </w:pPr>
      <w:r w:rsidRPr="00AB1C15">
        <w:rPr>
          <w:rFonts w:ascii="標楷體" w:eastAsia="標楷體" w:hAnsi="標楷體" w:hint="eastAsia"/>
          <w:szCs w:val="24"/>
        </w:rPr>
        <w:t>3</w:t>
      </w:r>
      <w:r w:rsidRPr="00AB1C15">
        <w:rPr>
          <w:rFonts w:ascii="標楷體" w:eastAsia="標楷體" w:hAnsi="標楷體"/>
          <w:szCs w:val="24"/>
        </w:rPr>
        <w:t>.經事前審查核准後使用，核准後每24週須檢附療效評估資料再次申請，若疾病惡化即必須停止使用，且後續不得再申請使用本類藥品。（110/10/1）</w:t>
      </w:r>
    </w:p>
    <w:p w:rsidR="008859E6" w:rsidRPr="00AB1C15" w:rsidRDefault="008859E6" w:rsidP="005142EB">
      <w:pPr>
        <w:spacing w:line="400" w:lineRule="exact"/>
        <w:ind w:leftChars="114" w:left="274" w:firstLineChars="4" w:firstLine="10"/>
        <w:rPr>
          <w:rFonts w:ascii="標楷體" w:eastAsia="標楷體" w:hAnsi="標楷體"/>
          <w:szCs w:val="24"/>
        </w:rPr>
      </w:pPr>
      <w:r w:rsidRPr="00AB1C15">
        <w:rPr>
          <w:rFonts w:ascii="標楷體" w:eastAsia="標楷體" w:hAnsi="標楷體" w:hint="eastAsia"/>
          <w:szCs w:val="24"/>
        </w:rPr>
        <w:t>4</w:t>
      </w:r>
      <w:r w:rsidRPr="00AB1C15">
        <w:rPr>
          <w:rFonts w:ascii="標楷體" w:eastAsia="標楷體" w:hAnsi="標楷體"/>
          <w:szCs w:val="24"/>
        </w:rPr>
        <w:t>.使用限制：</w:t>
      </w:r>
    </w:p>
    <w:p w:rsidR="008859E6" w:rsidRPr="00AB1C15" w:rsidRDefault="008859E6" w:rsidP="005142EB">
      <w:pPr>
        <w:spacing w:line="400" w:lineRule="exact"/>
        <w:ind w:leftChars="114" w:left="274" w:firstLineChars="122" w:firstLine="293"/>
        <w:rPr>
          <w:rFonts w:ascii="標楷體" w:eastAsia="標楷體" w:hAnsi="標楷體"/>
          <w:szCs w:val="24"/>
        </w:rPr>
      </w:pPr>
      <w:r w:rsidRPr="00AB1C15">
        <w:rPr>
          <w:rFonts w:ascii="標楷體" w:eastAsia="標楷體" w:hAnsi="標楷體"/>
          <w:szCs w:val="24"/>
        </w:rPr>
        <w:t>(1)ribociclib 每日最多處方3粒</w:t>
      </w:r>
      <w:r w:rsidRPr="00AB1C15">
        <w:rPr>
          <w:rFonts w:ascii="標楷體" w:eastAsia="標楷體" w:hAnsi="標楷體" w:hint="eastAsia"/>
          <w:szCs w:val="24"/>
        </w:rPr>
        <w:t>。</w:t>
      </w:r>
    </w:p>
    <w:p w:rsidR="008859E6" w:rsidRPr="00AB1C15" w:rsidRDefault="008859E6" w:rsidP="005142EB">
      <w:pPr>
        <w:spacing w:line="400" w:lineRule="exact"/>
        <w:ind w:leftChars="114" w:left="274" w:firstLineChars="122" w:firstLine="293"/>
        <w:rPr>
          <w:rFonts w:ascii="標楷體" w:eastAsia="標楷體" w:hAnsi="標楷體"/>
          <w:szCs w:val="24"/>
        </w:rPr>
      </w:pPr>
      <w:r w:rsidRPr="00AB1C15">
        <w:rPr>
          <w:rFonts w:ascii="標楷體" w:eastAsia="標楷體" w:hAnsi="標楷體"/>
          <w:szCs w:val="24"/>
        </w:rPr>
        <w:t>(2)palbociclib 每日最多處方1粒。</w:t>
      </w:r>
    </w:p>
    <w:p w:rsidR="008859E6" w:rsidRPr="00AB1C15" w:rsidRDefault="008859E6" w:rsidP="005142EB">
      <w:pPr>
        <w:spacing w:line="400" w:lineRule="exact"/>
        <w:ind w:leftChars="236" w:left="849" w:hangingChars="118" w:hanging="283"/>
        <w:rPr>
          <w:rFonts w:ascii="標楷體" w:eastAsia="標楷體" w:hAnsi="標楷體"/>
          <w:szCs w:val="24"/>
        </w:rPr>
      </w:pPr>
      <w:r w:rsidRPr="00AB1C15">
        <w:rPr>
          <w:rFonts w:ascii="標楷體" w:eastAsia="標楷體" w:hAnsi="標楷體"/>
          <w:szCs w:val="24"/>
        </w:rPr>
        <w:t>(3)本類藥品僅得擇一使用，唯有在耐受不良時方可轉換使用，使用總療程合併計算，以每人終生給付24個月為上限。</w:t>
      </w:r>
    </w:p>
    <w:p w:rsidR="008859E6" w:rsidRPr="00AB1C15" w:rsidRDefault="008859E6" w:rsidP="005142EB">
      <w:pPr>
        <w:spacing w:line="400" w:lineRule="exact"/>
        <w:ind w:leftChars="117" w:left="567" w:hangingChars="119" w:hanging="286"/>
        <w:rPr>
          <w:rFonts w:ascii="標楷體" w:eastAsia="標楷體" w:hAnsi="標楷體"/>
          <w:szCs w:val="24"/>
        </w:rPr>
      </w:pPr>
      <w:r w:rsidRPr="00AB1C15">
        <w:rPr>
          <w:rFonts w:ascii="標楷體" w:eastAsia="標楷體" w:hAnsi="標楷體" w:hint="eastAsia"/>
          <w:szCs w:val="24"/>
        </w:rPr>
        <w:t>5</w:t>
      </w:r>
      <w:r w:rsidRPr="00AB1C15">
        <w:rPr>
          <w:rFonts w:ascii="標楷體" w:eastAsia="標楷體" w:hAnsi="標楷體"/>
          <w:szCs w:val="24"/>
        </w:rPr>
        <w:t>.110年9月30日以前已核定用藥之病人，得經事前審查核准後，使用至總療程(即終生24個月)或總療程期間疾病惡化為止，且後續不得再申請使用本類藥品。（110/10/1、113/1/1）</w:t>
      </w:r>
    </w:p>
    <w:p w:rsidR="008859E6" w:rsidRPr="00AB1C15" w:rsidRDefault="008859E6" w:rsidP="005142EB">
      <w:pPr>
        <w:spacing w:line="400" w:lineRule="exact"/>
        <w:ind w:leftChars="115" w:left="276" w:firstLineChars="2" w:firstLine="5"/>
        <w:rPr>
          <w:rFonts w:ascii="標楷體" w:eastAsia="標楷體" w:hAnsi="標楷體"/>
          <w:szCs w:val="24"/>
        </w:rPr>
      </w:pPr>
      <w:r w:rsidRPr="00AB1C15">
        <w:rPr>
          <w:rFonts w:ascii="標楷體" w:eastAsia="標楷體" w:hAnsi="標楷體" w:hint="eastAsia"/>
          <w:szCs w:val="24"/>
        </w:rPr>
        <w:t>6</w:t>
      </w:r>
      <w:r w:rsidRPr="00AB1C15">
        <w:rPr>
          <w:rFonts w:ascii="標楷體" w:eastAsia="標楷體" w:hAnsi="標楷體"/>
          <w:szCs w:val="24"/>
        </w:rPr>
        <w:t>.若先前使用 everolimus 無效後，不得再申請本類藥品。(109/4/1)</w:t>
      </w:r>
    </w:p>
    <w:p w:rsidR="00B96EA0" w:rsidRDefault="008859E6" w:rsidP="005142EB">
      <w:pPr>
        <w:spacing w:line="400" w:lineRule="exact"/>
        <w:ind w:left="681" w:hanging="397"/>
        <w:rPr>
          <w:rFonts w:ascii="標楷體" w:eastAsia="標楷體" w:hAnsi="標楷體"/>
          <w:color w:val="000000"/>
        </w:rPr>
      </w:pPr>
      <w:r w:rsidRPr="00AB1C15">
        <w:rPr>
          <w:rFonts w:ascii="標楷體" w:eastAsia="標楷體" w:hAnsi="標楷體" w:hint="eastAsia"/>
          <w:szCs w:val="24"/>
        </w:rPr>
        <w:t>7.若先前於早期乳癌使用abemaciclib無效後，不得再申請本類藥品。(113/3/1)</w:t>
      </w:r>
    </w:p>
    <w:p w:rsidR="00B96EA0" w:rsidRDefault="007D66B8" w:rsidP="005142EB">
      <w:pPr>
        <w:spacing w:line="400" w:lineRule="exact"/>
        <w:ind w:left="708" w:hanging="425"/>
        <w:rPr>
          <w:rFonts w:ascii="標楷體" w:eastAsia="標楷體" w:hAnsi="標楷體"/>
          <w:color w:val="000000"/>
        </w:rPr>
      </w:pPr>
      <w:r>
        <w:rPr>
          <w:rFonts w:ascii="標楷體" w:eastAsia="標楷體" w:hAnsi="標楷體"/>
          <w:color w:val="000000"/>
        </w:rPr>
        <w:t>9.73.Inotuzumab ozogamicin (如Besponsa)：(108/11/1、112/12/1)</w:t>
      </w:r>
    </w:p>
    <w:p w:rsidR="00B96EA0" w:rsidRDefault="007D66B8" w:rsidP="005142EB">
      <w:pPr>
        <w:spacing w:line="400" w:lineRule="exact"/>
        <w:ind w:left="960" w:hanging="240"/>
        <w:rPr>
          <w:rFonts w:ascii="標楷體" w:eastAsia="標楷體" w:hAnsi="標楷體"/>
          <w:color w:val="000000"/>
        </w:rPr>
      </w:pPr>
      <w:r>
        <w:rPr>
          <w:rFonts w:ascii="標楷體" w:eastAsia="標楷體" w:hAnsi="標楷體"/>
          <w:color w:val="000000"/>
        </w:rPr>
        <w:t>1.適用於治療患有復發型或頑固型且CD22為陽性之B細胞前驅因子之急性淋巴芽細胞白血病(B-ALL)，且計畫進行造血幹細胞移植之成人病患。</w:t>
      </w:r>
    </w:p>
    <w:p w:rsidR="00B96EA0" w:rsidRDefault="007D66B8" w:rsidP="005142EB">
      <w:pPr>
        <w:spacing w:line="400" w:lineRule="exact"/>
        <w:ind w:left="960" w:hanging="240"/>
        <w:rPr>
          <w:rFonts w:ascii="標楷體" w:eastAsia="標楷體" w:hAnsi="標楷體"/>
          <w:color w:val="000000"/>
        </w:rPr>
      </w:pPr>
      <w:r>
        <w:rPr>
          <w:rFonts w:ascii="標楷體" w:eastAsia="標楷體" w:hAnsi="標楷體"/>
          <w:color w:val="000000"/>
        </w:rPr>
        <w:t>2.上述成人病患如具費城染色體陽性(Ph+)，應至少使用過兩種酪胺酸激酶抑制劑</w:t>
      </w:r>
      <w:r>
        <w:rPr>
          <w:rFonts w:ascii="標楷體" w:eastAsia="標楷體" w:hAnsi="標楷體"/>
          <w:color w:val="000000"/>
        </w:rPr>
        <w:lastRenderedPageBreak/>
        <w:t>(TKI)藥物治療無效。</w:t>
      </w:r>
    </w:p>
    <w:p w:rsidR="00B96EA0" w:rsidRDefault="007D66B8" w:rsidP="005142EB">
      <w:pPr>
        <w:spacing w:line="400" w:lineRule="exact"/>
        <w:ind w:left="960" w:hanging="240"/>
        <w:rPr>
          <w:rFonts w:ascii="標楷體" w:eastAsia="標楷體" w:hAnsi="標楷體"/>
          <w:color w:val="000000"/>
        </w:rPr>
      </w:pPr>
      <w:r>
        <w:rPr>
          <w:rFonts w:ascii="標楷體" w:eastAsia="標楷體" w:hAnsi="標楷體"/>
          <w:color w:val="000000"/>
        </w:rPr>
        <w:t>3.每位病人限給付2療程，需事前審查核准後使用。申請時需檢附完整之造血幹細胞移植計畫，並詳細記載確認移植之執行醫院及移植前調適治療等資料。</w:t>
      </w:r>
    </w:p>
    <w:p w:rsidR="00B96EA0" w:rsidRDefault="007D66B8" w:rsidP="005142EB">
      <w:pPr>
        <w:spacing w:line="400" w:lineRule="exact"/>
        <w:ind w:left="960" w:hanging="240"/>
        <w:rPr>
          <w:rFonts w:ascii="標楷體" w:eastAsia="標楷體" w:hAnsi="標楷體"/>
          <w:color w:val="000000"/>
        </w:rPr>
      </w:pPr>
      <w:r>
        <w:rPr>
          <w:rFonts w:ascii="標楷體" w:eastAsia="標楷體" w:hAnsi="標楷體"/>
          <w:color w:val="000000"/>
        </w:rPr>
        <w:t>4.不得與blinatumomab（如Blincyto）或酪胺酸激酶抑制劑(TKI)（如imatinib、dasatinib、ponatinib）等併用。</w:t>
      </w:r>
    </w:p>
    <w:p w:rsidR="00B96EA0" w:rsidRDefault="007D66B8" w:rsidP="005142EB">
      <w:pPr>
        <w:spacing w:line="400" w:lineRule="exact"/>
        <w:ind w:left="960" w:hanging="240"/>
      </w:pPr>
      <w:r>
        <w:rPr>
          <w:rFonts w:ascii="標楷體" w:eastAsia="標楷體" w:hAnsi="標楷體"/>
          <w:szCs w:val="24"/>
        </w:rPr>
        <w:t>5.病人若已依達完全緩解但仍有殘餘疾病(MRD)之條件取得 blinatumomab 給付同意並接受治療後</w:t>
      </w:r>
      <w:r>
        <w:rPr>
          <w:rFonts w:ascii="新細明體" w:hAnsi="新細明體"/>
          <w:szCs w:val="24"/>
        </w:rPr>
        <w:t>，</w:t>
      </w:r>
      <w:r>
        <w:rPr>
          <w:rFonts w:ascii="標楷體" w:eastAsia="標楷體" w:hAnsi="標楷體"/>
          <w:szCs w:val="24"/>
        </w:rPr>
        <w:t>MRD若未消失但疾病仍在完全緩解時</w:t>
      </w:r>
      <w:r>
        <w:rPr>
          <w:rFonts w:ascii="新細明體" w:hAnsi="新細明體"/>
          <w:szCs w:val="24"/>
        </w:rPr>
        <w:t>，</w:t>
      </w:r>
      <w:r>
        <w:rPr>
          <w:rFonts w:ascii="標楷體" w:eastAsia="標楷體" w:hAnsi="標楷體"/>
          <w:szCs w:val="24"/>
        </w:rPr>
        <w:t>不得申請給付inotuzumab ozogamicin。（112</w:t>
      </w:r>
      <w:r>
        <w:rPr>
          <w:rFonts w:ascii="標楷體" w:eastAsia="標楷體" w:hAnsi="標楷體"/>
          <w:bCs/>
          <w:szCs w:val="24"/>
        </w:rPr>
        <w:t>/12/1）</w:t>
      </w:r>
    </w:p>
    <w:p w:rsidR="00105765" w:rsidRPr="00105765" w:rsidRDefault="00105765" w:rsidP="00105765">
      <w:pPr>
        <w:spacing w:line="400" w:lineRule="exact"/>
        <w:ind w:left="284"/>
        <w:rPr>
          <w:rFonts w:ascii="標楷體" w:eastAsia="標楷體" w:hAnsi="標楷體"/>
          <w:color w:val="000000"/>
        </w:rPr>
      </w:pPr>
      <w:bookmarkStart w:id="28" w:name="_Hlk204092375"/>
      <w:r w:rsidRPr="00105765">
        <w:rPr>
          <w:rFonts w:ascii="標楷體" w:eastAsia="標楷體" w:hAnsi="標楷體"/>
          <w:color w:val="000000"/>
        </w:rPr>
        <w:t>9.74.Cabozantinib (如Cabometyx)： (108/12/1、110/12/1、</w:t>
      </w:r>
      <w:r w:rsidRPr="00105765">
        <w:rPr>
          <w:rFonts w:ascii="標楷體" w:eastAsia="標楷體" w:hAnsi="標楷體" w:hint="eastAsia"/>
          <w:color w:val="000000"/>
        </w:rPr>
        <w:t>114/8/1</w:t>
      </w:r>
      <w:r w:rsidRPr="00105765">
        <w:rPr>
          <w:rFonts w:ascii="標楷體" w:eastAsia="標楷體" w:hAnsi="標楷體"/>
          <w:color w:val="000000"/>
        </w:rPr>
        <w:t>)</w:t>
      </w:r>
    </w:p>
    <w:p w:rsidR="00105765" w:rsidRPr="00105765" w:rsidRDefault="00105765" w:rsidP="00105765">
      <w:pPr>
        <w:spacing w:line="400" w:lineRule="exact"/>
        <w:rPr>
          <w:rFonts w:ascii="標楷體" w:eastAsia="標楷體" w:hAnsi="標楷體"/>
        </w:rPr>
      </w:pPr>
      <w:r w:rsidRPr="00105765">
        <w:rPr>
          <w:rFonts w:ascii="標楷體" w:eastAsia="標楷體" w:hAnsi="標楷體" w:hint="eastAsia"/>
        </w:rPr>
        <w:t xml:space="preserve">      1.腎細胞癌(108/12/1、110/12/1)</w:t>
      </w:r>
    </w:p>
    <w:p w:rsidR="00105765" w:rsidRPr="00105765" w:rsidRDefault="00105765" w:rsidP="00105765">
      <w:pPr>
        <w:spacing w:line="400" w:lineRule="exact"/>
        <w:ind w:leftChars="100" w:left="960" w:hangingChars="300" w:hanging="720"/>
        <w:rPr>
          <w:rFonts w:ascii="標楷體" w:eastAsia="標楷體" w:hAnsi="標楷體"/>
        </w:rPr>
      </w:pPr>
      <w:r w:rsidRPr="00105765">
        <w:rPr>
          <w:rFonts w:ascii="標楷體" w:eastAsia="標楷體" w:hAnsi="標楷體" w:hint="eastAsia"/>
        </w:rPr>
        <w:t xml:space="preserve">     (1)適用於未曾接受過治療的中度/重度風險晚期腎細胞癌病人。（110/12/1）</w:t>
      </w:r>
    </w:p>
    <w:p w:rsidR="00105765" w:rsidRPr="00105765" w:rsidRDefault="00105765" w:rsidP="00105765">
      <w:pPr>
        <w:spacing w:line="400" w:lineRule="exact"/>
        <w:rPr>
          <w:rFonts w:ascii="標楷體" w:eastAsia="標楷體" w:hAnsi="標楷體"/>
        </w:rPr>
      </w:pPr>
      <w:r w:rsidRPr="00105765">
        <w:rPr>
          <w:rFonts w:ascii="標楷體" w:eastAsia="標楷體" w:hAnsi="標楷體" w:hint="eastAsia"/>
          <w:color w:val="000000"/>
        </w:rPr>
        <w:t xml:space="preserve">         </w:t>
      </w:r>
      <w:r w:rsidRPr="00105765">
        <w:rPr>
          <w:rFonts w:ascii="標楷體" w:eastAsia="標楷體" w:hAnsi="標楷體"/>
          <w:color w:val="000000"/>
        </w:rPr>
        <w:t>Ⅰ.</w:t>
      </w:r>
      <w:r w:rsidRPr="00105765">
        <w:rPr>
          <w:rFonts w:ascii="標楷體" w:eastAsia="標楷體" w:hAnsi="標楷體" w:hint="eastAsia"/>
        </w:rPr>
        <w:t>無效後則不給付temsirolimus。</w:t>
      </w:r>
    </w:p>
    <w:p w:rsidR="00105765" w:rsidRPr="00105765" w:rsidRDefault="00105765" w:rsidP="00105765">
      <w:pPr>
        <w:spacing w:line="400" w:lineRule="exact"/>
        <w:ind w:leftChars="450" w:left="1440" w:hangingChars="150" w:hanging="360"/>
        <w:rPr>
          <w:rFonts w:ascii="標楷體" w:eastAsia="標楷體" w:hAnsi="標楷體"/>
        </w:rPr>
      </w:pPr>
      <w:r w:rsidRPr="00105765">
        <w:rPr>
          <w:rFonts w:ascii="標楷體" w:eastAsia="標楷體" w:hAnsi="標楷體"/>
          <w:color w:val="000000"/>
        </w:rPr>
        <w:t>Ⅱ.</w:t>
      </w:r>
      <w:r w:rsidRPr="00105765">
        <w:rPr>
          <w:rFonts w:ascii="標楷體" w:eastAsia="標楷體" w:hAnsi="標楷體" w:hint="eastAsia"/>
        </w:rPr>
        <w:t>病人若對藥物產生耐受性不佳（intolerance），則以原來藥物減量為原則，若嚴重耐受性不佳，可以換其他TKI。</w:t>
      </w:r>
    </w:p>
    <w:p w:rsidR="00105765" w:rsidRPr="00105765" w:rsidRDefault="00105765" w:rsidP="00105765">
      <w:pPr>
        <w:spacing w:line="400" w:lineRule="exact"/>
        <w:ind w:leftChars="350" w:left="1200" w:hangingChars="150" w:hanging="360"/>
        <w:rPr>
          <w:rFonts w:ascii="標楷體" w:eastAsia="標楷體" w:hAnsi="標楷體"/>
        </w:rPr>
      </w:pPr>
      <w:r w:rsidRPr="00105765">
        <w:rPr>
          <w:rFonts w:ascii="標楷體" w:eastAsia="標楷體" w:hAnsi="標楷體" w:hint="eastAsia"/>
        </w:rPr>
        <w:t>(2)適用於先前經抗血管新生療法 (anti-angiogenic therapy)治療無效的晚期腎細胞癌病人。</w:t>
      </w:r>
    </w:p>
    <w:p w:rsidR="00105765" w:rsidRPr="00105765" w:rsidRDefault="00105765" w:rsidP="00105765">
      <w:pPr>
        <w:spacing w:line="400" w:lineRule="exact"/>
        <w:ind w:leftChars="350" w:left="1200" w:hangingChars="150" w:hanging="360"/>
        <w:rPr>
          <w:rFonts w:ascii="標楷體" w:eastAsia="標楷體" w:hAnsi="標楷體"/>
        </w:rPr>
      </w:pPr>
      <w:r w:rsidRPr="00105765">
        <w:rPr>
          <w:rFonts w:ascii="標楷體" w:eastAsia="標楷體" w:hAnsi="標楷體" w:hint="eastAsia"/>
        </w:rPr>
        <w:t>(3)須經事前審查核准後使用，每次申請療程以3個月為限，送審時需檢送影像資料，每3個月評估一次，無疾病惡化方可繼續使用。（110/12/1）</w:t>
      </w:r>
    </w:p>
    <w:p w:rsidR="00105765" w:rsidRPr="00105765" w:rsidRDefault="00105765" w:rsidP="00105765">
      <w:pPr>
        <w:spacing w:line="400" w:lineRule="exact"/>
        <w:ind w:leftChars="350" w:left="1200" w:hangingChars="150" w:hanging="360"/>
        <w:rPr>
          <w:rFonts w:ascii="標楷體" w:eastAsia="標楷體" w:hAnsi="標楷體"/>
        </w:rPr>
      </w:pPr>
      <w:r w:rsidRPr="00105765">
        <w:rPr>
          <w:rFonts w:ascii="標楷體" w:eastAsia="標楷體" w:hAnsi="標楷體" w:hint="eastAsia"/>
        </w:rPr>
        <w:t>(4)病人於第一線使用本藥物後再復發或惡化時，不得再次申請使用。（110/12/1）</w:t>
      </w:r>
    </w:p>
    <w:p w:rsidR="00105765" w:rsidRPr="00105765" w:rsidRDefault="00105765" w:rsidP="00105765">
      <w:pPr>
        <w:spacing w:line="400" w:lineRule="exact"/>
        <w:rPr>
          <w:rFonts w:ascii="標楷體" w:eastAsia="標楷體" w:hAnsi="標楷體"/>
        </w:rPr>
      </w:pPr>
      <w:r w:rsidRPr="00105765">
        <w:rPr>
          <w:rFonts w:ascii="標楷體" w:eastAsia="標楷體" w:hAnsi="標楷體" w:hint="eastAsia"/>
        </w:rPr>
        <w:t xml:space="preserve">     2.甲狀腺癌(1</w:t>
      </w:r>
      <w:r w:rsidRPr="00105765">
        <w:rPr>
          <w:rFonts w:ascii="標楷體" w:eastAsia="標楷體" w:hAnsi="標楷體"/>
        </w:rPr>
        <w:t>14</w:t>
      </w:r>
      <w:r w:rsidRPr="00105765">
        <w:rPr>
          <w:rFonts w:ascii="標楷體" w:eastAsia="標楷體" w:hAnsi="標楷體" w:hint="eastAsia"/>
        </w:rPr>
        <w:t>/8/1)</w:t>
      </w:r>
    </w:p>
    <w:p w:rsidR="00105765" w:rsidRPr="00105765" w:rsidRDefault="00105765" w:rsidP="00105765">
      <w:pPr>
        <w:spacing w:line="400" w:lineRule="exact"/>
        <w:ind w:leftChars="350" w:left="1200" w:hangingChars="150" w:hanging="360"/>
        <w:rPr>
          <w:rFonts w:ascii="標楷體" w:eastAsia="標楷體" w:hAnsi="標楷體"/>
        </w:rPr>
      </w:pPr>
      <w:r w:rsidRPr="00105765">
        <w:rPr>
          <w:rFonts w:ascii="標楷體" w:eastAsia="標楷體" w:hAnsi="標楷體" w:hint="eastAsia"/>
        </w:rPr>
        <w:t>(1)適用於治療成人及12歲以上兒童曾接受VEGFR標靶治療後惡化、放射碘治療無效或不適用放射碘治療的局部晚期或轉移性分化型甲狀腺癌病人。</w:t>
      </w:r>
    </w:p>
    <w:p w:rsidR="00105765" w:rsidRPr="00105765" w:rsidRDefault="00105765" w:rsidP="00105765">
      <w:pPr>
        <w:spacing w:line="400" w:lineRule="exact"/>
        <w:ind w:leftChars="350" w:left="1200" w:hangingChars="150" w:hanging="360"/>
        <w:rPr>
          <w:rFonts w:ascii="標楷體" w:eastAsia="標楷體" w:hAnsi="標楷體"/>
        </w:rPr>
      </w:pPr>
      <w:r w:rsidRPr="00105765">
        <w:rPr>
          <w:rFonts w:ascii="標楷體" w:eastAsia="標楷體" w:hAnsi="標楷體" w:hint="eastAsia"/>
        </w:rPr>
        <w:t>(2)須經事前審查核准後使用，每次申請療程以3個月為限，送審時需檢送影像資料，每3個月評估一次，無疾病惡化方可繼續使用。</w:t>
      </w:r>
    </w:p>
    <w:p w:rsidR="00105765" w:rsidRPr="00105765" w:rsidRDefault="00105765" w:rsidP="00105765">
      <w:pPr>
        <w:spacing w:line="400" w:lineRule="exact"/>
        <w:ind w:firstLineChars="200" w:firstLine="480"/>
        <w:rPr>
          <w:rFonts w:ascii="標楷體" w:eastAsia="標楷體" w:hAnsi="標楷體"/>
        </w:rPr>
      </w:pPr>
      <w:r w:rsidRPr="00105765">
        <w:rPr>
          <w:rFonts w:ascii="標楷體" w:eastAsia="標楷體" w:hAnsi="標楷體" w:hint="eastAsia"/>
        </w:rPr>
        <w:t xml:space="preserve"> 3.每日限用1粒。</w:t>
      </w:r>
      <w:bookmarkEnd w:id="28"/>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9.75. Carfilzomib (如Kyprolis)：(109/2/1、112/4/1、113/4/1)</w:t>
      </w:r>
    </w:p>
    <w:p w:rsidR="00B96EA0" w:rsidRDefault="007D66B8" w:rsidP="005142EB">
      <w:pPr>
        <w:spacing w:line="400" w:lineRule="exact"/>
        <w:ind w:left="991" w:hanging="283"/>
      </w:pPr>
      <w:r>
        <w:rPr>
          <w:rFonts w:ascii="標楷體" w:eastAsia="標楷體" w:hAnsi="標楷體"/>
          <w:color w:val="000000"/>
        </w:rPr>
        <w:t xml:space="preserve">1.與dexamethasone合併使用於先前曾接受含bortezomib及lenalidomide兩種治療後無法耐受或惡化之病患，且須具有良好日常體能狀態(ECOG &lt; 2)及足夠腎功能(CrCl </w:t>
      </w:r>
      <w:r>
        <w:rPr>
          <w:rFonts w:ascii="Times New Roman" w:eastAsia="標楷體" w:hAnsi="Times New Roman"/>
          <w:sz w:val="28"/>
          <w:szCs w:val="28"/>
        </w:rPr>
        <w:t>≥</w:t>
      </w:r>
      <w:r>
        <w:rPr>
          <w:rFonts w:ascii="標楷體" w:eastAsia="標楷體" w:hAnsi="標楷體"/>
          <w:color w:val="000000"/>
        </w:rPr>
        <w:t>50 ml/minute)的多發性骨髓瘤成年患者。</w:t>
      </w:r>
    </w:p>
    <w:p w:rsidR="00B96EA0" w:rsidRDefault="007D66B8" w:rsidP="005142EB">
      <w:pPr>
        <w:spacing w:line="400" w:lineRule="exact"/>
        <w:ind w:left="991" w:hanging="283"/>
        <w:rPr>
          <w:rFonts w:ascii="標楷體" w:eastAsia="標楷體" w:hAnsi="標楷體"/>
          <w:color w:val="000000"/>
        </w:rPr>
      </w:pPr>
      <w:r>
        <w:rPr>
          <w:rFonts w:ascii="標楷體" w:eastAsia="標楷體" w:hAnsi="標楷體"/>
          <w:color w:val="000000"/>
        </w:rPr>
        <w:t>2.與isatuximab/dexamethasone併用，治療先前曾接受至少一種含bortezomib 或 lenalidomide 之療法治療失敗的多發性骨髓瘤成人患者，且須具有良好日常體能狀態 (ECOG &lt; 2) 者。（113/4/1）</w:t>
      </w:r>
    </w:p>
    <w:p w:rsidR="00B96EA0" w:rsidRDefault="007D66B8" w:rsidP="005142EB">
      <w:pPr>
        <w:spacing w:line="400" w:lineRule="exact"/>
        <w:ind w:left="708"/>
      </w:pPr>
      <w:r>
        <w:rPr>
          <w:rFonts w:ascii="標楷體" w:eastAsia="標楷體" w:hAnsi="標楷體"/>
          <w:color w:val="000000"/>
        </w:rPr>
        <w:t>3.</w:t>
      </w:r>
      <w:r>
        <w:t xml:space="preserve"> </w:t>
      </w:r>
      <w:r>
        <w:rPr>
          <w:rFonts w:ascii="標楷體" w:eastAsia="標楷體" w:hAnsi="標楷體"/>
          <w:color w:val="000000"/>
        </w:rPr>
        <w:t>需經事前審查核准後使用：（109/2/1、112/4/1）</w:t>
      </w:r>
    </w:p>
    <w:p w:rsidR="00B96EA0" w:rsidRDefault="007D66B8" w:rsidP="005142EB">
      <w:pPr>
        <w:spacing w:line="400" w:lineRule="exact"/>
        <w:ind w:left="948"/>
        <w:rPr>
          <w:rFonts w:ascii="標楷體" w:eastAsia="標楷體" w:hAnsi="標楷體"/>
          <w:color w:val="000000"/>
        </w:rPr>
      </w:pPr>
      <w:r>
        <w:rPr>
          <w:rFonts w:ascii="標楷體" w:eastAsia="標楷體" w:hAnsi="標楷體"/>
          <w:color w:val="000000"/>
        </w:rPr>
        <w:t>(1)初次申請以4個療程(每療程為4週)為限，且需同時符合下列Ⅰ.與Ⅱ.的條件：（109/2/1、112/4/1）</w:t>
      </w:r>
    </w:p>
    <w:p w:rsidR="00B96EA0" w:rsidRDefault="007D66B8" w:rsidP="005142EB">
      <w:pPr>
        <w:spacing w:line="400" w:lineRule="exact"/>
        <w:ind w:left="1548" w:hanging="360"/>
        <w:rPr>
          <w:rFonts w:ascii="標楷體" w:eastAsia="標楷體" w:hAnsi="標楷體"/>
          <w:color w:val="000000"/>
        </w:rPr>
      </w:pPr>
      <w:r>
        <w:rPr>
          <w:rFonts w:ascii="標楷體" w:eastAsia="標楷體" w:hAnsi="標楷體"/>
          <w:color w:val="000000"/>
        </w:rPr>
        <w:t>Ⅰ.具有下列任一疾病惡化的指標： 病患開始治療前須在連續2次評估中均符合</w:t>
      </w:r>
      <w:r>
        <w:rPr>
          <w:rFonts w:ascii="標楷體" w:eastAsia="標楷體" w:hAnsi="標楷體"/>
          <w:color w:val="000000"/>
        </w:rPr>
        <w:lastRenderedPageBreak/>
        <w:t>同一指標 (但若為plamacytoma 體積增加，或是新產生的bone lesion(s)或新plasmacytoma，則僅需1次評估)：（112/4/1）</w:t>
      </w:r>
    </w:p>
    <w:p w:rsidR="00B96EA0" w:rsidRDefault="007D66B8" w:rsidP="005142EB">
      <w:pPr>
        <w:spacing w:line="400" w:lineRule="exact"/>
        <w:ind w:left="1788" w:hanging="360"/>
      </w:pPr>
      <w:r>
        <w:rPr>
          <w:rFonts w:ascii="新細明體" w:hAnsi="新細明體" w:cs="新細明體"/>
          <w:color w:val="000000"/>
        </w:rPr>
        <w:t>ⅰ</w:t>
      </w:r>
      <w:r>
        <w:rPr>
          <w:rFonts w:ascii="標楷體" w:eastAsia="標楷體" w:hAnsi="標楷體"/>
          <w:color w:val="000000"/>
        </w:rPr>
        <w:t>.若前一線治療中M component 最低值≧5 g/dL，血清M蛋白需增加≧1 g/dL；若前一線治療中M component最低值＜5 g/dL，血清M蛋白需增加≧0.5g/dL。</w:t>
      </w:r>
    </w:p>
    <w:p w:rsidR="00B96EA0" w:rsidRDefault="007D66B8" w:rsidP="005142EB">
      <w:pPr>
        <w:spacing w:line="400" w:lineRule="exact"/>
        <w:ind w:left="1788" w:hanging="360"/>
      </w:pPr>
      <w:r>
        <w:rPr>
          <w:rFonts w:ascii="新細明體" w:hAnsi="新細明體" w:cs="新細明體"/>
          <w:color w:val="000000"/>
        </w:rPr>
        <w:t>ⅱ</w:t>
      </w:r>
      <w:r>
        <w:rPr>
          <w:rFonts w:ascii="標楷體" w:eastAsia="標楷體" w:hAnsi="標楷體"/>
          <w:color w:val="000000"/>
        </w:rPr>
        <w:t>.Urine M-protein需增加≧0.2 gm/24Hr，且需較前一線治療中的最低值增加≧25%。</w:t>
      </w:r>
    </w:p>
    <w:p w:rsidR="00B96EA0" w:rsidRDefault="007D66B8" w:rsidP="005142EB">
      <w:pPr>
        <w:spacing w:line="400" w:lineRule="exact"/>
        <w:ind w:left="1788" w:hanging="360"/>
        <w:rPr>
          <w:rFonts w:ascii="標楷體" w:eastAsia="標楷體" w:hAnsi="標楷體"/>
          <w:color w:val="000000"/>
        </w:rPr>
      </w:pPr>
      <w:r>
        <w:rPr>
          <w:rFonts w:ascii="標楷體" w:eastAsia="標楷體" w:hAnsi="標楷體"/>
          <w:color w:val="000000"/>
        </w:rPr>
        <w:t>iii.在non-secretary myeloma 病患，骨髓漿細胞 (plasma cells)之比例絕對值增加≧10%，且需較前一線治療中的最低值增加≧25%。</w:t>
      </w:r>
    </w:p>
    <w:p w:rsidR="00B96EA0" w:rsidRDefault="007D66B8" w:rsidP="005142EB">
      <w:pPr>
        <w:spacing w:line="400" w:lineRule="exact"/>
        <w:ind w:left="1788" w:hanging="360"/>
        <w:rPr>
          <w:rFonts w:ascii="標楷體" w:eastAsia="標楷體" w:hAnsi="標楷體"/>
          <w:color w:val="000000"/>
        </w:rPr>
      </w:pPr>
      <w:r>
        <w:rPr>
          <w:rFonts w:ascii="標楷體" w:eastAsia="標楷體" w:hAnsi="標楷體"/>
          <w:color w:val="000000"/>
        </w:rPr>
        <w:t>iv.新產生的bone lesion(s)或plasmacytoma；且須經病理切片證實。</w:t>
      </w:r>
    </w:p>
    <w:p w:rsidR="00B96EA0" w:rsidRDefault="007D66B8" w:rsidP="005142EB">
      <w:pPr>
        <w:spacing w:line="400" w:lineRule="exact"/>
        <w:ind w:left="1788" w:hanging="360"/>
        <w:rPr>
          <w:rFonts w:ascii="標楷體" w:eastAsia="標楷體" w:hAnsi="標楷體"/>
          <w:color w:val="000000"/>
        </w:rPr>
      </w:pPr>
      <w:r>
        <w:rPr>
          <w:rFonts w:ascii="標楷體" w:eastAsia="標楷體" w:hAnsi="標楷體"/>
          <w:color w:val="000000"/>
        </w:rPr>
        <w:t>v. Plasmacytoma體積增加≧50%。</w:t>
      </w:r>
    </w:p>
    <w:p w:rsidR="00B96EA0" w:rsidRDefault="007D66B8" w:rsidP="005142EB">
      <w:pPr>
        <w:spacing w:line="400" w:lineRule="exact"/>
        <w:ind w:left="1788" w:hanging="360"/>
        <w:rPr>
          <w:rFonts w:ascii="標楷體" w:eastAsia="標楷體" w:hAnsi="標楷體"/>
          <w:color w:val="000000"/>
        </w:rPr>
      </w:pPr>
      <w:r>
        <w:rPr>
          <w:rFonts w:ascii="標楷體" w:eastAsia="標楷體" w:hAnsi="標楷體"/>
          <w:color w:val="000000"/>
        </w:rPr>
        <w:t>vi.周邊血液中漿細胞比例≧20%或漿細胞絕對值≧2000 cells/μL。</w:t>
      </w:r>
    </w:p>
    <w:p w:rsidR="00B96EA0" w:rsidRDefault="007D66B8" w:rsidP="005142EB">
      <w:pPr>
        <w:spacing w:line="400" w:lineRule="exact"/>
        <w:ind w:left="1188"/>
        <w:rPr>
          <w:rFonts w:ascii="標楷體" w:eastAsia="標楷體" w:hAnsi="標楷體"/>
          <w:color w:val="000000"/>
        </w:rPr>
      </w:pPr>
      <w:r>
        <w:rPr>
          <w:rFonts w:ascii="標楷體" w:eastAsia="標楷體" w:hAnsi="標楷體"/>
          <w:color w:val="000000"/>
        </w:rPr>
        <w:t>Ⅱ.出現下列任一臨床症狀：（112/4/1）</w:t>
      </w:r>
    </w:p>
    <w:p w:rsidR="00B96EA0" w:rsidRDefault="007D66B8" w:rsidP="005142EB">
      <w:pPr>
        <w:spacing w:line="400" w:lineRule="exact"/>
        <w:ind w:left="1788" w:hanging="360"/>
      </w:pPr>
      <w:r>
        <w:rPr>
          <w:rFonts w:ascii="新細明體" w:hAnsi="新細明體" w:cs="新細明體"/>
          <w:color w:val="000000"/>
        </w:rPr>
        <w:t>ⅰ</w:t>
      </w:r>
      <w:r>
        <w:rPr>
          <w:rFonts w:ascii="標楷體" w:eastAsia="標楷體" w:hAnsi="標楷體"/>
          <w:color w:val="000000"/>
        </w:rPr>
        <w:t>.新產生的bone lesion(s)或plasmacytoma；且須經病理切片證實。</w:t>
      </w:r>
    </w:p>
    <w:p w:rsidR="00B96EA0" w:rsidRDefault="007D66B8" w:rsidP="005142EB">
      <w:pPr>
        <w:spacing w:line="400" w:lineRule="exact"/>
        <w:ind w:left="1788" w:hanging="360"/>
      </w:pPr>
      <w:r>
        <w:rPr>
          <w:rFonts w:ascii="新細明體" w:hAnsi="新細明體" w:cs="新細明體"/>
          <w:color w:val="000000"/>
        </w:rPr>
        <w:t>ⅱ</w:t>
      </w:r>
      <w:r>
        <w:rPr>
          <w:rFonts w:ascii="標楷體" w:eastAsia="標楷體" w:hAnsi="標楷體"/>
          <w:color w:val="000000"/>
        </w:rPr>
        <w:t>.Plasmacytoma 體積增加≧50%。</w:t>
      </w:r>
    </w:p>
    <w:p w:rsidR="00B96EA0" w:rsidRDefault="007D66B8" w:rsidP="005142EB">
      <w:pPr>
        <w:spacing w:line="400" w:lineRule="exact"/>
        <w:ind w:left="1788" w:hanging="360"/>
        <w:rPr>
          <w:rFonts w:ascii="標楷體" w:eastAsia="標楷體" w:hAnsi="標楷體"/>
          <w:color w:val="000000"/>
        </w:rPr>
      </w:pPr>
      <w:r>
        <w:rPr>
          <w:rFonts w:ascii="標楷體" w:eastAsia="標楷體" w:hAnsi="標楷體"/>
          <w:color w:val="000000"/>
        </w:rPr>
        <w:t>iii.高血鈣(corrected serum calcium＞11.0 mg/dL 或 2.75 mmol/L)。</w:t>
      </w:r>
    </w:p>
    <w:p w:rsidR="00B96EA0" w:rsidRDefault="007D66B8" w:rsidP="005142EB">
      <w:pPr>
        <w:spacing w:line="400" w:lineRule="exact"/>
        <w:ind w:left="1788" w:hanging="360"/>
        <w:rPr>
          <w:rFonts w:ascii="標楷體" w:eastAsia="標楷體" w:hAnsi="標楷體"/>
          <w:color w:val="000000"/>
        </w:rPr>
      </w:pPr>
      <w:r>
        <w:rPr>
          <w:rFonts w:ascii="標楷體" w:eastAsia="標楷體" w:hAnsi="標楷體"/>
          <w:color w:val="000000"/>
        </w:rPr>
        <w:t>iv.貧血(Hemoglobin 下降幅度≧ 2gm/dL且無其他原因可以解釋)。</w:t>
      </w:r>
    </w:p>
    <w:p w:rsidR="00B96EA0" w:rsidRDefault="007D66B8" w:rsidP="005142EB">
      <w:pPr>
        <w:spacing w:line="400" w:lineRule="exact"/>
        <w:ind w:left="1788" w:hanging="360"/>
        <w:rPr>
          <w:rFonts w:ascii="標楷體" w:eastAsia="標楷體" w:hAnsi="標楷體"/>
          <w:color w:val="000000"/>
        </w:rPr>
      </w:pPr>
      <w:r>
        <w:rPr>
          <w:rFonts w:ascii="標楷體" w:eastAsia="標楷體" w:hAnsi="標楷體"/>
          <w:color w:val="000000"/>
        </w:rPr>
        <w:t>v.腎功能惡化(eGFR需下降幅度≧25%)，且無其他原因可以解釋。</w:t>
      </w:r>
    </w:p>
    <w:p w:rsidR="00B96EA0" w:rsidRDefault="007D66B8" w:rsidP="005142EB">
      <w:pPr>
        <w:spacing w:line="400" w:lineRule="exact"/>
        <w:ind w:left="1788" w:hanging="360"/>
        <w:rPr>
          <w:rFonts w:ascii="標楷體" w:eastAsia="標楷體" w:hAnsi="標楷體"/>
          <w:color w:val="000000"/>
        </w:rPr>
      </w:pPr>
      <w:r>
        <w:rPr>
          <w:rFonts w:ascii="標楷體" w:eastAsia="標楷體" w:hAnsi="標楷體"/>
          <w:color w:val="000000"/>
        </w:rPr>
        <w:t>vi.出現其他end-organ dysfunctions。</w:t>
      </w:r>
    </w:p>
    <w:p w:rsidR="00B96EA0" w:rsidRDefault="007D66B8" w:rsidP="005142EB">
      <w:pPr>
        <w:spacing w:line="400" w:lineRule="exact"/>
        <w:ind w:left="1428" w:hanging="480"/>
        <w:rPr>
          <w:rFonts w:ascii="標楷體" w:eastAsia="標楷體" w:hAnsi="標楷體"/>
          <w:color w:val="000000"/>
        </w:rPr>
      </w:pPr>
      <w:r>
        <w:rPr>
          <w:rFonts w:ascii="標楷體" w:eastAsia="標楷體" w:hAnsi="標楷體"/>
          <w:color w:val="000000"/>
        </w:rPr>
        <w:t>(2)再次申請時必須確定paraprotein (M-protein)未上升(即表示對藥物有反應或為穩定狀態);或對部分non-secretory type MM病人以骨髓檢查plasma cell為療效依據，證明為對藥物有反應或為穩定狀態，方可繼續使用。續用時的申請每次以3個療程為限。</w:t>
      </w:r>
    </w:p>
    <w:p w:rsidR="00B96EA0" w:rsidRDefault="007D66B8" w:rsidP="005142EB">
      <w:pPr>
        <w:spacing w:line="400" w:lineRule="exact"/>
        <w:ind w:left="948"/>
        <w:rPr>
          <w:rFonts w:ascii="標楷體" w:eastAsia="標楷體" w:hAnsi="標楷體"/>
          <w:color w:val="000000"/>
        </w:rPr>
      </w:pPr>
      <w:r>
        <w:rPr>
          <w:rFonts w:ascii="標楷體" w:eastAsia="標楷體" w:hAnsi="標楷體"/>
          <w:color w:val="000000"/>
        </w:rPr>
        <w:t xml:space="preserve">(3)每人終生以10個療程為上限。 （109/2/1、112/4/1） </w:t>
      </w:r>
    </w:p>
    <w:p w:rsidR="00B96EA0" w:rsidRDefault="007D66B8" w:rsidP="005142EB">
      <w:pPr>
        <w:spacing w:line="400" w:lineRule="exact"/>
        <w:ind w:left="991" w:hanging="283"/>
      </w:pPr>
      <w:r>
        <w:rPr>
          <w:rFonts w:ascii="標楷體" w:eastAsia="標楷體" w:hAnsi="標楷體"/>
          <w:color w:val="000000"/>
        </w:rPr>
        <w:t>4.</w:t>
      </w:r>
      <w:r>
        <w:t xml:space="preserve"> </w:t>
      </w:r>
      <w:r>
        <w:rPr>
          <w:rFonts w:ascii="標楷體" w:eastAsia="標楷體" w:hAnsi="標楷體"/>
          <w:color w:val="000000"/>
        </w:rPr>
        <w:t>不得與其他蛋白酶體抑制劑(proteasome inhibitor)或免疫調節劑(immunomodulatory drugs) 或daratumumab併用。（109/2/1、112/4/1、113/4/1）</w:t>
      </w:r>
    </w:p>
    <w:p w:rsidR="00B96EA0" w:rsidRDefault="007D66B8" w:rsidP="005142EB">
      <w:pPr>
        <w:spacing w:line="400" w:lineRule="exact"/>
        <w:ind w:left="991" w:hanging="283"/>
      </w:pPr>
      <w:r>
        <w:rPr>
          <w:rFonts w:ascii="標楷體" w:eastAsia="標楷體" w:hAnsi="標楷體"/>
          <w:color w:val="000000"/>
        </w:rPr>
        <w:t>5.</w:t>
      </w:r>
      <w:r>
        <w:t xml:space="preserve"> </w:t>
      </w:r>
      <w:r>
        <w:rPr>
          <w:rFonts w:ascii="標楷體" w:eastAsia="標楷體" w:hAnsi="標楷體"/>
          <w:color w:val="000000"/>
        </w:rPr>
        <w:t>112年3月31日以前已核定用藥之病人，得經事前審查核准後，使用至總療程上限（即終生10個療程）或使用期間發生疾病惡化為止。（112/4/1）</w:t>
      </w:r>
    </w:p>
    <w:p w:rsidR="00F95F32" w:rsidRDefault="00F95F32" w:rsidP="00F95F32">
      <w:pPr>
        <w:spacing w:line="400" w:lineRule="exact"/>
        <w:rPr>
          <w:rFonts w:ascii="標楷體" w:eastAsia="標楷體" w:hAnsi="標楷體"/>
          <w:color w:val="000000"/>
        </w:rPr>
      </w:pPr>
      <w:bookmarkStart w:id="29" w:name="_Hlk209192170"/>
      <w:r>
        <w:rPr>
          <w:rFonts w:ascii="標楷體" w:eastAsia="標楷體" w:hAnsi="標楷體"/>
          <w:color w:val="000000"/>
        </w:rPr>
        <w:t>9.76.Midostaurin (如Rydapt)：(109/2/1、113/6/1、114/10/1)</w:t>
      </w:r>
    </w:p>
    <w:p w:rsidR="00F95F32" w:rsidRDefault="00F95F32" w:rsidP="00F95F32">
      <w:pPr>
        <w:spacing w:line="400" w:lineRule="exact"/>
        <w:ind w:left="567" w:hanging="282"/>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ab/>
        <w:t xml:space="preserve">限用於新確診為FLT3突變陽性的急性骨髓性白血病(AML)成人病患之標準前導與鞏固性化療時合併使用。 </w:t>
      </w:r>
    </w:p>
    <w:p w:rsidR="00F95F32" w:rsidRDefault="00F95F32" w:rsidP="00F95F32">
      <w:pPr>
        <w:spacing w:line="400" w:lineRule="exact"/>
        <w:ind w:left="567" w:hanging="282"/>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ab/>
        <w:t>需排除急性前骨髓性細胞白血病（acute promyelocytic leukemia，APL）的患者。</w:t>
      </w:r>
    </w:p>
    <w:p w:rsidR="00F95F32" w:rsidRDefault="00F95F32" w:rsidP="00F95F32">
      <w:pPr>
        <w:spacing w:line="400" w:lineRule="exact"/>
        <w:ind w:left="567" w:hanging="282"/>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ab/>
        <w:t>首次用於標準前導期，可免事前審查，以2個療程為限，若2個療程後仍未達完全緩解之病患即不得再使用。</w:t>
      </w:r>
    </w:p>
    <w:p w:rsidR="00F95F32" w:rsidRDefault="00F95F32" w:rsidP="00F95F32">
      <w:pPr>
        <w:spacing w:line="400" w:lineRule="exact"/>
        <w:ind w:left="567" w:hanging="282"/>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ab/>
        <w:t>續用時需經事前審查核准後使用，申請時須檢附FLT3突變陽性檢測結果報告，且需符</w:t>
      </w:r>
      <w:r>
        <w:rPr>
          <w:rFonts w:ascii="標楷體" w:eastAsia="標楷體" w:hAnsi="標楷體"/>
          <w:color w:val="000000"/>
        </w:rPr>
        <w:lastRenderedPageBreak/>
        <w:t>合全民健康保險藥品給付規定之通則十二，及日期、化學治療處方紀錄及療效評估，每次續用申請以2個療程為限，並需檢附前次治療結果評估資料證實無疾病進展，才可繼續使用。每人以總共給付6個療程為上限。(113/6/1)</w:t>
      </w:r>
    </w:p>
    <w:p w:rsidR="00F95F32" w:rsidRDefault="00F95F32" w:rsidP="00F95F32">
      <w:pPr>
        <w:spacing w:line="400" w:lineRule="exact"/>
        <w:ind w:left="567" w:hanging="282"/>
        <w:rPr>
          <w:rFonts w:ascii="標楷體" w:eastAsia="標楷體" w:hAnsi="標楷體"/>
          <w:color w:val="000000"/>
        </w:rPr>
      </w:pPr>
      <w:r>
        <w:rPr>
          <w:rFonts w:ascii="標楷體" w:eastAsia="標楷體" w:hAnsi="標楷體"/>
          <w:color w:val="000000"/>
        </w:rPr>
        <w:t>5.</w:t>
      </w:r>
      <w:r>
        <w:rPr>
          <w:rFonts w:ascii="標楷體" w:eastAsia="標楷體" w:hAnsi="標楷體"/>
          <w:color w:val="000000"/>
        </w:rPr>
        <w:tab/>
        <w:t>若病患接受造血幹細胞移植後則將不再給付本藥品。</w:t>
      </w:r>
    </w:p>
    <w:p w:rsidR="00B96EA0" w:rsidRDefault="00F95F32" w:rsidP="00F95F32">
      <w:pPr>
        <w:spacing w:line="400" w:lineRule="exact"/>
        <w:ind w:left="567" w:hanging="282"/>
        <w:rPr>
          <w:rFonts w:ascii="標楷體" w:eastAsia="標楷體" w:hAnsi="標楷體"/>
          <w:color w:val="000000"/>
        </w:rPr>
      </w:pPr>
      <w:r>
        <w:rPr>
          <w:rFonts w:ascii="標楷體" w:eastAsia="標楷體" w:hAnsi="標楷體"/>
          <w:color w:val="000000"/>
        </w:rPr>
        <w:t>6.本藥品與quizartinib僅得擇一使用，除因耐受性不良，不得互換。(114/10/1)</w:t>
      </w:r>
      <w:bookmarkEnd w:id="29"/>
    </w:p>
    <w:p w:rsidR="00B96EA0" w:rsidRDefault="007D66B8" w:rsidP="00F95F32">
      <w:pPr>
        <w:spacing w:line="400" w:lineRule="exact"/>
      </w:pPr>
      <w:r>
        <w:rPr>
          <w:rFonts w:ascii="標楷體" w:eastAsia="標楷體" w:hAnsi="標楷體"/>
          <w:color w:val="000000"/>
        </w:rPr>
        <w:t>9.77.</w:t>
      </w:r>
      <w:r>
        <w:t xml:space="preserve"> </w:t>
      </w:r>
      <w:r>
        <w:rPr>
          <w:rFonts w:ascii="標楷體" w:eastAsia="標楷體" w:hAnsi="標楷體"/>
          <w:color w:val="000000"/>
        </w:rPr>
        <w:t>Ixazomib (如Ninlaro)：(109/3/1、112/4/1)</w:t>
      </w:r>
    </w:p>
    <w:p w:rsidR="00B96EA0" w:rsidRDefault="007D66B8" w:rsidP="00F95F32">
      <w:pPr>
        <w:spacing w:line="400" w:lineRule="exact"/>
        <w:ind w:left="567" w:hanging="282"/>
        <w:rPr>
          <w:rFonts w:ascii="標楷體" w:eastAsia="標楷體" w:hAnsi="標楷體"/>
          <w:color w:val="000000"/>
        </w:rPr>
      </w:pPr>
      <w:r>
        <w:rPr>
          <w:rFonts w:ascii="標楷體" w:eastAsia="標楷體" w:hAnsi="標楷體"/>
          <w:color w:val="000000"/>
        </w:rPr>
        <w:t>1.與lenalidomide及dexamethasone合併使用於先前已接受至少一種治療失敗之多發性骨髓瘤病患，並符合下列條件之一：</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(1)體能不適合(unfit)化療標靶注射治療者。</w:t>
      </w:r>
    </w:p>
    <w:p w:rsidR="00B96EA0" w:rsidRDefault="007D66B8" w:rsidP="005142EB">
      <w:pPr>
        <w:spacing w:line="400" w:lineRule="exact"/>
        <w:ind w:left="1231" w:hanging="283"/>
      </w:pPr>
      <w:r>
        <w:rPr>
          <w:rFonts w:ascii="標楷體" w:eastAsia="標楷體" w:hAnsi="標楷體"/>
          <w:color w:val="000000"/>
        </w:rPr>
        <w:t>(2)</w:t>
      </w:r>
      <w:r>
        <w:t xml:space="preserve"> </w:t>
      </w:r>
      <w:r>
        <w:rPr>
          <w:rFonts w:ascii="標楷體" w:eastAsia="標楷體" w:hAnsi="標楷體"/>
          <w:color w:val="000000"/>
        </w:rPr>
        <w:t>曾接受bortezomib治療失敗，但有嚴重心血管共病無法接受carfizomib 治療之病患。（109/3/1、112/4/1）</w:t>
      </w:r>
    </w:p>
    <w:p w:rsidR="00B96EA0" w:rsidRDefault="007D66B8" w:rsidP="00F95F32">
      <w:pPr>
        <w:spacing w:line="400" w:lineRule="exact"/>
        <w:ind w:left="567" w:hanging="282"/>
        <w:rPr>
          <w:rFonts w:ascii="標楷體" w:eastAsia="標楷體" w:hAnsi="標楷體"/>
          <w:color w:val="000000"/>
        </w:rPr>
      </w:pPr>
      <w:r>
        <w:rPr>
          <w:rFonts w:ascii="標楷體" w:eastAsia="標楷體" w:hAnsi="標楷體"/>
          <w:color w:val="000000"/>
        </w:rPr>
        <w:t>2.前述病患若於第二線治療使用，則需為具高風險細胞遺傳異常的病人群 (包括具del（17p）、t（4；14）、t(14；16)及1q21 amplification等染色體變化者)；若為第三線以上治療使用，則不需為具高風險遺傳異常者。</w:t>
      </w:r>
    </w:p>
    <w:p w:rsidR="00B96EA0" w:rsidRDefault="007D66B8" w:rsidP="00F95F32">
      <w:pPr>
        <w:spacing w:line="400" w:lineRule="exact"/>
        <w:ind w:left="567" w:hanging="282"/>
      </w:pPr>
      <w:r>
        <w:rPr>
          <w:rFonts w:ascii="標楷體" w:eastAsia="標楷體" w:hAnsi="標楷體"/>
          <w:color w:val="000000"/>
        </w:rPr>
        <w:t>3.</w:t>
      </w:r>
      <w:r w:rsidRPr="00F95F32">
        <w:rPr>
          <w:rFonts w:ascii="標楷體" w:eastAsia="標楷體" w:hAnsi="標楷體"/>
          <w:color w:val="000000"/>
        </w:rPr>
        <w:t xml:space="preserve"> </w:t>
      </w:r>
      <w:r>
        <w:rPr>
          <w:rFonts w:ascii="標楷體" w:eastAsia="標楷體" w:hAnsi="標楷體"/>
          <w:color w:val="000000"/>
        </w:rPr>
        <w:t>需經事前審查核准後使用：（109/3/1、112/4/1）</w:t>
      </w:r>
    </w:p>
    <w:p w:rsidR="00B96EA0" w:rsidRDefault="007D66B8" w:rsidP="005142EB">
      <w:pPr>
        <w:spacing w:line="400" w:lineRule="exact"/>
        <w:ind w:left="1231" w:hanging="283"/>
      </w:pPr>
      <w:r>
        <w:rPr>
          <w:rFonts w:ascii="標楷體" w:eastAsia="標楷體" w:hAnsi="標楷體"/>
          <w:color w:val="000000"/>
        </w:rPr>
        <w:t>(1)</w:t>
      </w:r>
      <w:r>
        <w:t xml:space="preserve"> </w:t>
      </w:r>
      <w:r>
        <w:rPr>
          <w:rFonts w:ascii="標楷體" w:eastAsia="標楷體" w:hAnsi="標楷體"/>
          <w:color w:val="000000"/>
        </w:rPr>
        <w:t>初次申請以4個療程為限，且需同時符合下列Ⅰ.與Ⅱ.的條件：（109/3/1、112/4/1）</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Ⅰ.具有下列任一疾病惡化的指標： 病患開始治療前須在連續2次評估中均符合同一指標 (但若為plamacytoma 體積增加，或是新產生的bone lesion(s)或新plasmacytoma，則僅需1次評估)：（112/4/1）</w:t>
      </w:r>
    </w:p>
    <w:p w:rsidR="00B96EA0" w:rsidRDefault="007D66B8" w:rsidP="005142EB">
      <w:pPr>
        <w:spacing w:line="400" w:lineRule="exact"/>
        <w:ind w:left="1231" w:hanging="283"/>
      </w:pPr>
      <w:r>
        <w:rPr>
          <w:rFonts w:ascii="新細明體" w:hAnsi="新細明體" w:cs="新細明體"/>
          <w:color w:val="000000"/>
        </w:rPr>
        <w:t>ⅰ</w:t>
      </w:r>
      <w:r>
        <w:rPr>
          <w:rFonts w:ascii="標楷體" w:eastAsia="標楷體" w:hAnsi="標楷體"/>
          <w:color w:val="000000"/>
        </w:rPr>
        <w:t>.若前一線治療中M component 最低值≧5 g/dL，血清M蛋白需增加≧1 g/dL；若前一線治療中M component最低值＜5 g/dL，血清M蛋白需增加≧0.5g/dL。</w:t>
      </w:r>
    </w:p>
    <w:p w:rsidR="00B96EA0" w:rsidRDefault="007D66B8" w:rsidP="005142EB">
      <w:pPr>
        <w:spacing w:line="400" w:lineRule="exact"/>
        <w:ind w:left="1231" w:hanging="283"/>
      </w:pPr>
      <w:r>
        <w:rPr>
          <w:rFonts w:ascii="新細明體" w:hAnsi="新細明體" w:cs="新細明體"/>
          <w:color w:val="000000"/>
        </w:rPr>
        <w:t>ⅱ</w:t>
      </w:r>
      <w:r>
        <w:rPr>
          <w:rFonts w:ascii="標楷體" w:eastAsia="標楷體" w:hAnsi="標楷體"/>
          <w:color w:val="000000"/>
        </w:rPr>
        <w:t xml:space="preserve">.Urine M-protein需增加≧0.2 gm/24Hr，且需較前一線治療中的最低值增加≧25%。 </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iii.在non-secretary myeloma 病患，骨髓漿細胞 (plasma cells)之比例絕對值增加≧10%，且需較前一線治療中的最低值增加≧25%。</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iv.新產生的bone lesion(s)或plasmacytoma；且須經病理切片證實。</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v. Plasmacytoma體積增加≧50%。</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vi.周邊血液中漿細胞比例≧20%或漿細胞絕對值≧2000 cells/μL。</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Ⅱ.出現下列任一臨床症狀：（112/4/1）</w:t>
      </w:r>
    </w:p>
    <w:p w:rsidR="00B96EA0" w:rsidRDefault="007D66B8" w:rsidP="005142EB">
      <w:pPr>
        <w:spacing w:line="400" w:lineRule="exact"/>
        <w:ind w:left="1231" w:hanging="283"/>
      </w:pPr>
      <w:r>
        <w:rPr>
          <w:rFonts w:ascii="新細明體" w:hAnsi="新細明體" w:cs="新細明體"/>
          <w:color w:val="000000"/>
        </w:rPr>
        <w:t>ⅰ</w:t>
      </w:r>
      <w:r>
        <w:rPr>
          <w:rFonts w:ascii="標楷體" w:eastAsia="標楷體" w:hAnsi="標楷體"/>
          <w:color w:val="000000"/>
        </w:rPr>
        <w:t>.新產生的bone lesion(s)或plasmacytoma；且須經病理切片證實。</w:t>
      </w:r>
    </w:p>
    <w:p w:rsidR="00B96EA0" w:rsidRDefault="007D66B8" w:rsidP="005142EB">
      <w:pPr>
        <w:spacing w:line="400" w:lineRule="exact"/>
        <w:ind w:left="1231" w:hanging="283"/>
      </w:pPr>
      <w:r>
        <w:rPr>
          <w:rFonts w:ascii="新細明體" w:hAnsi="新細明體" w:cs="新細明體"/>
          <w:color w:val="000000"/>
        </w:rPr>
        <w:t>ⅱ</w:t>
      </w:r>
      <w:r>
        <w:rPr>
          <w:rFonts w:ascii="標楷體" w:eastAsia="標楷體" w:hAnsi="標楷體"/>
          <w:color w:val="000000"/>
        </w:rPr>
        <w:t>. Plasmacytoma 體積增加≧50%。</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iii.高血鈣(corrected serum calcium＞11.0 mg/dL 或 2.75 mmol/L)。</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iv.貧血(Hemoglobin 下降幅度≧ 2gm/dL且無其他原因可以解釋)。</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v.腎功能惡化(eGFR需下降幅度≧25%)，且無其他原因可以解釋。</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vi.出現其他end-organ dysfunctions。</w:t>
      </w:r>
    </w:p>
    <w:p w:rsidR="00B96EA0" w:rsidRDefault="007D66B8" w:rsidP="005142EB">
      <w:pPr>
        <w:spacing w:line="400" w:lineRule="exact"/>
        <w:ind w:left="1231" w:hanging="283"/>
      </w:pPr>
      <w:r>
        <w:rPr>
          <w:rFonts w:ascii="標楷體" w:eastAsia="標楷體" w:hAnsi="標楷體"/>
          <w:color w:val="000000"/>
        </w:rPr>
        <w:lastRenderedPageBreak/>
        <w:t>(2)</w:t>
      </w:r>
      <w:r>
        <w:t xml:space="preserve"> </w:t>
      </w:r>
      <w:r>
        <w:rPr>
          <w:rFonts w:ascii="標楷體" w:eastAsia="標楷體" w:hAnsi="標楷體"/>
          <w:color w:val="000000"/>
        </w:rPr>
        <w:t>後續每次申請以4個療程(每療程為4週)為限，續用申請時必須確定paraprotein (M-protein)未上升(即表示對藥物有反應或為穩定狀態)或對部分non-secretory type MM病人以骨髓檢查plasma cell為療效依據，方可繼續使用。（109/3/1、112/4/1）</w:t>
      </w:r>
    </w:p>
    <w:p w:rsidR="00B96EA0" w:rsidRDefault="007D66B8" w:rsidP="005142EB">
      <w:pPr>
        <w:spacing w:line="400" w:lineRule="exact"/>
        <w:ind w:left="1231" w:hanging="283"/>
      </w:pPr>
      <w:r>
        <w:rPr>
          <w:rFonts w:ascii="標楷體" w:eastAsia="標楷體" w:hAnsi="標楷體"/>
          <w:color w:val="000000"/>
        </w:rPr>
        <w:t>(3)</w:t>
      </w:r>
      <w:r>
        <w:t xml:space="preserve"> </w:t>
      </w:r>
      <w:r>
        <w:rPr>
          <w:rFonts w:ascii="標楷體" w:eastAsia="標楷體" w:hAnsi="標楷體"/>
          <w:color w:val="000000"/>
        </w:rPr>
        <w:t xml:space="preserve">每人終生以12個療程為上限。（109/3/1、112/4/1） </w:t>
      </w:r>
    </w:p>
    <w:p w:rsidR="00B96EA0" w:rsidRPr="00F95F32" w:rsidRDefault="007D66B8" w:rsidP="00F95F32">
      <w:pPr>
        <w:spacing w:line="400" w:lineRule="exact"/>
        <w:ind w:left="567" w:hanging="282"/>
        <w:rPr>
          <w:rFonts w:ascii="標楷體" w:eastAsia="標楷體" w:hAnsi="標楷體"/>
          <w:color w:val="000000"/>
        </w:rPr>
      </w:pPr>
      <w:r>
        <w:rPr>
          <w:rFonts w:ascii="標楷體" w:eastAsia="標楷體" w:hAnsi="標楷體"/>
          <w:color w:val="000000"/>
        </w:rPr>
        <w:t>4.</w:t>
      </w:r>
      <w:r>
        <w:t xml:space="preserve"> </w:t>
      </w:r>
      <w:r>
        <w:rPr>
          <w:rFonts w:ascii="標楷體" w:eastAsia="標楷體" w:hAnsi="標楷體"/>
          <w:color w:val="000000"/>
        </w:rPr>
        <w:t>除lenalidomide外，本案藥品不得與其他蛋白酶體抑制劑(proteasome inhibitor)或免疫調節劑(immunomodulatory drugs)併用。（109/3/1、112/4/1）</w:t>
      </w:r>
    </w:p>
    <w:p w:rsidR="00B96EA0" w:rsidRDefault="007D66B8" w:rsidP="00F95F32">
      <w:pPr>
        <w:spacing w:line="400" w:lineRule="exact"/>
        <w:ind w:left="567" w:hanging="282"/>
      </w:pPr>
      <w:r>
        <w:rPr>
          <w:rFonts w:ascii="標楷體" w:eastAsia="標楷體" w:hAnsi="標楷體"/>
          <w:color w:val="000000"/>
        </w:rPr>
        <w:t>5.</w:t>
      </w:r>
      <w:r w:rsidRPr="00F95F32">
        <w:rPr>
          <w:rFonts w:ascii="標楷體" w:eastAsia="標楷體" w:hAnsi="標楷體"/>
          <w:color w:val="000000"/>
        </w:rPr>
        <w:t xml:space="preserve"> </w:t>
      </w:r>
      <w:r>
        <w:rPr>
          <w:rFonts w:ascii="標楷體" w:eastAsia="標楷體" w:hAnsi="標楷體"/>
          <w:color w:val="000000"/>
        </w:rPr>
        <w:t>112年3月31日以前已核定用藥之病人，得經事前審查核准後，使用至總療程上限（即終生12個療程）或使用期間發生疾病惡化為止。（112/4/1）</w:t>
      </w:r>
    </w:p>
    <w:p w:rsidR="00D3675A" w:rsidRPr="00276A1A" w:rsidRDefault="007D66B8" w:rsidP="00D3675A">
      <w:pPr>
        <w:adjustRightInd w:val="0"/>
        <w:snapToGrid w:val="0"/>
        <w:spacing w:line="400" w:lineRule="exact"/>
        <w:ind w:left="480" w:hangingChars="200" w:hanging="480"/>
        <w:rPr>
          <w:rFonts w:ascii="標楷體" w:eastAsia="標楷體" w:hAnsi="標楷體"/>
          <w:szCs w:val="24"/>
        </w:rPr>
      </w:pPr>
      <w:r>
        <w:rPr>
          <w:rFonts w:ascii="標楷體" w:eastAsia="標楷體" w:hAnsi="標楷體"/>
          <w:color w:val="000000"/>
        </w:rPr>
        <w:t>9.78.</w:t>
      </w:r>
      <w:r>
        <w:t xml:space="preserve"> </w:t>
      </w:r>
      <w:bookmarkStart w:id="30" w:name="_Hlk206605233"/>
      <w:r w:rsidR="00D3675A" w:rsidRPr="00276A1A">
        <w:rPr>
          <w:rFonts w:ascii="標楷體" w:eastAsia="標楷體" w:hAnsi="標楷體"/>
          <w:szCs w:val="24"/>
        </w:rPr>
        <w:t>Daratumumab(</w:t>
      </w:r>
      <w:r w:rsidR="00D3675A" w:rsidRPr="00276A1A">
        <w:rPr>
          <w:rFonts w:ascii="標楷體" w:eastAsia="標楷體" w:hAnsi="標楷體" w:hint="eastAsia"/>
          <w:szCs w:val="24"/>
        </w:rPr>
        <w:t>如Darzalex</w:t>
      </w:r>
      <w:r w:rsidR="00D3675A" w:rsidRPr="00276A1A">
        <w:rPr>
          <w:rFonts w:ascii="標楷體" w:eastAsia="標楷體" w:hAnsi="標楷體"/>
          <w:kern w:val="0"/>
          <w:szCs w:val="24"/>
        </w:rPr>
        <w:t>靜脈注射劑</w:t>
      </w:r>
      <w:r w:rsidR="00D3675A" w:rsidRPr="00276A1A">
        <w:rPr>
          <w:rFonts w:ascii="標楷體" w:eastAsia="標楷體" w:hAnsi="標楷體" w:hint="eastAsia"/>
          <w:kern w:val="0"/>
          <w:szCs w:val="24"/>
        </w:rPr>
        <w:t>與皮下</w:t>
      </w:r>
      <w:r w:rsidR="00D3675A" w:rsidRPr="00276A1A">
        <w:rPr>
          <w:rFonts w:ascii="標楷體" w:eastAsia="標楷體" w:hAnsi="標楷體"/>
          <w:kern w:val="0"/>
          <w:szCs w:val="24"/>
        </w:rPr>
        <w:t>注射劑</w:t>
      </w:r>
      <w:r w:rsidR="00D3675A" w:rsidRPr="00276A1A">
        <w:rPr>
          <w:rFonts w:ascii="標楷體" w:eastAsia="標楷體" w:hAnsi="標楷體" w:hint="eastAsia"/>
          <w:szCs w:val="24"/>
        </w:rPr>
        <w:t>)</w:t>
      </w:r>
      <w:r w:rsidR="00D3675A" w:rsidRPr="00276A1A">
        <w:rPr>
          <w:rFonts w:ascii="標楷體" w:eastAsia="標楷體" w:hAnsi="標楷體"/>
          <w:szCs w:val="24"/>
        </w:rPr>
        <w:t>：(109/4/1、112/4/1、113/4/1、</w:t>
      </w:r>
      <w:r w:rsidR="00D3675A" w:rsidRPr="00276A1A">
        <w:rPr>
          <w:rFonts w:ascii="標楷體" w:eastAsia="標楷體" w:hAnsi="標楷體" w:hint="eastAsia"/>
          <w:szCs w:val="24"/>
        </w:rPr>
        <w:t>114</w:t>
      </w:r>
      <w:r w:rsidR="00D3675A" w:rsidRPr="00276A1A">
        <w:rPr>
          <w:rFonts w:ascii="標楷體" w:eastAsia="標楷體" w:hAnsi="標楷體"/>
          <w:szCs w:val="24"/>
        </w:rPr>
        <w:t>/</w:t>
      </w:r>
      <w:r w:rsidR="00D3675A" w:rsidRPr="00276A1A">
        <w:rPr>
          <w:rFonts w:ascii="標楷體" w:eastAsia="標楷體" w:hAnsi="標楷體" w:hint="eastAsia"/>
          <w:szCs w:val="24"/>
        </w:rPr>
        <w:t>9</w:t>
      </w:r>
      <w:r w:rsidR="00D3675A" w:rsidRPr="00276A1A">
        <w:rPr>
          <w:rFonts w:ascii="標楷體" w:eastAsia="標楷體" w:hAnsi="標楷體"/>
          <w:szCs w:val="24"/>
        </w:rPr>
        <w:t>/1)</w:t>
      </w:r>
    </w:p>
    <w:p w:rsidR="00D3675A" w:rsidRPr="00276A1A" w:rsidRDefault="00D3675A" w:rsidP="00D3675A">
      <w:pPr>
        <w:adjustRightInd w:val="0"/>
        <w:snapToGrid w:val="0"/>
        <w:spacing w:line="400" w:lineRule="exact"/>
        <w:ind w:leftChars="119" w:left="567" w:hangingChars="117" w:hanging="281"/>
        <w:rPr>
          <w:rFonts w:ascii="標楷體" w:eastAsia="標楷體" w:hAnsi="標楷體"/>
          <w:szCs w:val="24"/>
        </w:rPr>
      </w:pPr>
      <w:r w:rsidRPr="00276A1A">
        <w:rPr>
          <w:rFonts w:ascii="標楷體" w:eastAsia="標楷體" w:hAnsi="標楷體"/>
          <w:szCs w:val="24"/>
        </w:rPr>
        <w:t>1.治療適合接受自體幹細胞移植的新診斷多發性骨髓瘤成人病人：(</w:t>
      </w:r>
      <w:r w:rsidRPr="00276A1A">
        <w:rPr>
          <w:rFonts w:ascii="標楷體" w:eastAsia="標楷體" w:hAnsi="標楷體" w:hint="eastAsia"/>
          <w:szCs w:val="24"/>
        </w:rPr>
        <w:t>114</w:t>
      </w:r>
      <w:r w:rsidRPr="00276A1A">
        <w:rPr>
          <w:rFonts w:ascii="標楷體" w:eastAsia="標楷體" w:hAnsi="標楷體"/>
          <w:szCs w:val="24"/>
        </w:rPr>
        <w:t>/</w:t>
      </w:r>
      <w:r w:rsidRPr="00276A1A">
        <w:rPr>
          <w:rFonts w:ascii="標楷體" w:eastAsia="標楷體" w:hAnsi="標楷體" w:hint="eastAsia"/>
          <w:szCs w:val="24"/>
        </w:rPr>
        <w:t>9</w:t>
      </w:r>
      <w:r w:rsidRPr="00276A1A">
        <w:rPr>
          <w:rFonts w:ascii="標楷體" w:eastAsia="標楷體" w:hAnsi="標楷體"/>
          <w:szCs w:val="24"/>
        </w:rPr>
        <w:t>/1)</w:t>
      </w:r>
    </w:p>
    <w:p w:rsidR="00D3675A" w:rsidRPr="00276A1A" w:rsidRDefault="00D3675A" w:rsidP="00D3675A">
      <w:pPr>
        <w:numPr>
          <w:ilvl w:val="0"/>
          <w:numId w:val="40"/>
        </w:numPr>
        <w:suppressAutoHyphens w:val="0"/>
        <w:autoSpaceDN/>
        <w:adjustRightInd w:val="0"/>
        <w:snapToGrid w:val="0"/>
        <w:spacing w:line="400" w:lineRule="exact"/>
        <w:ind w:left="909" w:hanging="429"/>
        <w:textAlignment w:val="auto"/>
        <w:rPr>
          <w:rFonts w:ascii="標楷體" w:eastAsia="標楷體" w:hAnsi="標楷體"/>
          <w:szCs w:val="24"/>
        </w:rPr>
      </w:pPr>
      <w:r w:rsidRPr="00276A1A">
        <w:rPr>
          <w:rFonts w:ascii="標楷體" w:eastAsia="標楷體" w:hAnsi="標楷體"/>
          <w:szCs w:val="24"/>
        </w:rPr>
        <w:t>限與bortezomib、thalidomide及dexamethasone併用。</w:t>
      </w:r>
    </w:p>
    <w:p w:rsidR="00D3675A" w:rsidRPr="00276A1A" w:rsidRDefault="00D3675A" w:rsidP="00D3675A">
      <w:pPr>
        <w:numPr>
          <w:ilvl w:val="0"/>
          <w:numId w:val="40"/>
        </w:numPr>
        <w:suppressAutoHyphens w:val="0"/>
        <w:autoSpaceDN/>
        <w:adjustRightInd w:val="0"/>
        <w:snapToGrid w:val="0"/>
        <w:spacing w:line="400" w:lineRule="exact"/>
        <w:ind w:left="909" w:hanging="429"/>
        <w:textAlignment w:val="auto"/>
        <w:rPr>
          <w:rFonts w:ascii="標楷體" w:eastAsia="標楷體" w:hAnsi="標楷體"/>
          <w:szCs w:val="24"/>
        </w:rPr>
      </w:pPr>
      <w:r w:rsidRPr="00276A1A">
        <w:rPr>
          <w:rFonts w:ascii="標楷體" w:eastAsia="標楷體" w:hAnsi="標楷體"/>
          <w:szCs w:val="24"/>
        </w:rPr>
        <w:t>開始治療時病</w:t>
      </w:r>
      <w:r w:rsidRPr="00276A1A">
        <w:rPr>
          <w:rFonts w:ascii="標楷體" w:eastAsia="標楷體" w:hAnsi="標楷體" w:hint="eastAsia"/>
          <w:szCs w:val="24"/>
        </w:rPr>
        <w:t>人</w:t>
      </w:r>
      <w:r w:rsidRPr="00276A1A">
        <w:rPr>
          <w:rFonts w:ascii="標楷體" w:eastAsia="標楷體" w:hAnsi="標楷體"/>
          <w:szCs w:val="24"/>
        </w:rPr>
        <w:t>須同時符合下列Ⅰ.與Ⅱ.的條件：</w:t>
      </w:r>
    </w:p>
    <w:p w:rsidR="00D3675A" w:rsidRPr="00276A1A" w:rsidRDefault="00D3675A" w:rsidP="00D3675A">
      <w:pPr>
        <w:numPr>
          <w:ilvl w:val="0"/>
          <w:numId w:val="41"/>
        </w:numPr>
        <w:suppressAutoHyphens w:val="0"/>
        <w:autoSpaceDN/>
        <w:adjustRightInd w:val="0"/>
        <w:snapToGrid w:val="0"/>
        <w:spacing w:line="400" w:lineRule="exact"/>
        <w:ind w:left="909" w:hanging="283"/>
        <w:textAlignment w:val="auto"/>
        <w:rPr>
          <w:rFonts w:ascii="標楷體" w:eastAsia="標楷體" w:hAnsi="標楷體"/>
          <w:szCs w:val="24"/>
        </w:rPr>
      </w:pPr>
      <w:r w:rsidRPr="00276A1A">
        <w:rPr>
          <w:rFonts w:ascii="標楷體" w:eastAsia="標楷體" w:hAnsi="標楷體"/>
          <w:szCs w:val="24"/>
        </w:rPr>
        <w:t>骨髓漿細胞(plasma cells)比例</w:t>
      </w:r>
      <w:r w:rsidRPr="00276A1A">
        <w:rPr>
          <w:rFonts w:ascii="標楷體" w:eastAsia="標楷體" w:hAnsi="標楷體" w:cs="新細明體" w:hint="eastAsia"/>
          <w:szCs w:val="24"/>
        </w:rPr>
        <w:t>≧</w:t>
      </w:r>
      <w:r w:rsidRPr="00276A1A">
        <w:rPr>
          <w:rFonts w:ascii="標楷體" w:eastAsia="標楷體" w:hAnsi="標楷體"/>
          <w:szCs w:val="24"/>
        </w:rPr>
        <w:t>10%，或是經切片確認且有</w:t>
      </w:r>
      <w:r w:rsidRPr="00276A1A">
        <w:rPr>
          <w:rFonts w:ascii="標楷體" w:eastAsia="標楷體" w:hAnsi="標楷體" w:cs="新細明體" w:hint="eastAsia"/>
          <w:szCs w:val="24"/>
        </w:rPr>
        <w:t>≧</w:t>
      </w:r>
      <w:r w:rsidRPr="00276A1A">
        <w:rPr>
          <w:rFonts w:ascii="標楷體" w:eastAsia="標楷體" w:hAnsi="標楷體"/>
          <w:szCs w:val="24"/>
        </w:rPr>
        <w:t>1顆的plasmacytoma。</w:t>
      </w:r>
    </w:p>
    <w:p w:rsidR="00D3675A" w:rsidRPr="00276A1A" w:rsidRDefault="00D3675A" w:rsidP="00D3675A">
      <w:pPr>
        <w:numPr>
          <w:ilvl w:val="0"/>
          <w:numId w:val="41"/>
        </w:numPr>
        <w:suppressAutoHyphens w:val="0"/>
        <w:autoSpaceDN/>
        <w:adjustRightInd w:val="0"/>
        <w:snapToGrid w:val="0"/>
        <w:spacing w:line="400" w:lineRule="exact"/>
        <w:ind w:left="1051" w:hanging="425"/>
        <w:textAlignment w:val="auto"/>
        <w:rPr>
          <w:rFonts w:ascii="標楷體" w:eastAsia="標楷體" w:hAnsi="標楷體"/>
          <w:szCs w:val="24"/>
        </w:rPr>
      </w:pPr>
      <w:r w:rsidRPr="00276A1A">
        <w:rPr>
          <w:rFonts w:ascii="標楷體" w:eastAsia="標楷體" w:hAnsi="標楷體"/>
          <w:szCs w:val="24"/>
        </w:rPr>
        <w:t>出現下列任一臨床症狀：</w:t>
      </w:r>
    </w:p>
    <w:p w:rsidR="00D3675A" w:rsidRPr="00276A1A" w:rsidRDefault="00D3675A" w:rsidP="00D3675A">
      <w:pPr>
        <w:numPr>
          <w:ilvl w:val="0"/>
          <w:numId w:val="42"/>
        </w:numPr>
        <w:suppressAutoHyphens w:val="0"/>
        <w:autoSpaceDN/>
        <w:adjustRightInd w:val="0"/>
        <w:snapToGrid w:val="0"/>
        <w:spacing w:line="400" w:lineRule="exact"/>
        <w:ind w:left="1193" w:hanging="284"/>
        <w:textAlignment w:val="auto"/>
        <w:rPr>
          <w:rFonts w:ascii="標楷體" w:eastAsia="標楷體" w:hAnsi="標楷體"/>
          <w:szCs w:val="24"/>
        </w:rPr>
      </w:pPr>
      <w:r w:rsidRPr="00276A1A">
        <w:rPr>
          <w:rFonts w:ascii="標楷體" w:eastAsia="標楷體" w:hAnsi="標楷體"/>
          <w:szCs w:val="24"/>
        </w:rPr>
        <w:t>腎功能不全：serum creatinine＞2.0mg/dL或estimated GFR (eGFR)＜40 ml/min，且無其他原因可以解釋。</w:t>
      </w:r>
    </w:p>
    <w:p w:rsidR="00D3675A" w:rsidRPr="00276A1A" w:rsidRDefault="00D3675A" w:rsidP="00D3675A">
      <w:pPr>
        <w:numPr>
          <w:ilvl w:val="0"/>
          <w:numId w:val="42"/>
        </w:numPr>
        <w:suppressAutoHyphens w:val="0"/>
        <w:autoSpaceDN/>
        <w:adjustRightInd w:val="0"/>
        <w:snapToGrid w:val="0"/>
        <w:spacing w:line="400" w:lineRule="exact"/>
        <w:ind w:left="1193" w:hanging="284"/>
        <w:textAlignment w:val="auto"/>
        <w:rPr>
          <w:rFonts w:ascii="標楷體" w:eastAsia="標楷體" w:hAnsi="標楷體"/>
          <w:szCs w:val="24"/>
        </w:rPr>
      </w:pPr>
      <w:r w:rsidRPr="00276A1A">
        <w:rPr>
          <w:rFonts w:ascii="標楷體" w:eastAsia="標楷體" w:hAnsi="標楷體"/>
          <w:szCs w:val="24"/>
        </w:rPr>
        <w:t>高血鈣(corrected serum calcium＞11.0 mg/dL 或 2.75 mmol/L)。</w:t>
      </w:r>
    </w:p>
    <w:p w:rsidR="00D3675A" w:rsidRPr="00276A1A" w:rsidRDefault="00D3675A" w:rsidP="00D3675A">
      <w:pPr>
        <w:numPr>
          <w:ilvl w:val="0"/>
          <w:numId w:val="42"/>
        </w:numPr>
        <w:suppressAutoHyphens w:val="0"/>
        <w:autoSpaceDN/>
        <w:adjustRightInd w:val="0"/>
        <w:snapToGrid w:val="0"/>
        <w:spacing w:line="400" w:lineRule="exact"/>
        <w:ind w:left="1476" w:hanging="567"/>
        <w:textAlignment w:val="auto"/>
        <w:rPr>
          <w:rFonts w:ascii="標楷體" w:eastAsia="標楷體" w:hAnsi="標楷體"/>
          <w:szCs w:val="24"/>
        </w:rPr>
      </w:pPr>
      <w:r w:rsidRPr="00276A1A">
        <w:rPr>
          <w:rFonts w:ascii="標楷體" w:eastAsia="標楷體" w:hAnsi="標楷體"/>
          <w:szCs w:val="24"/>
        </w:rPr>
        <w:t>貧血(Hemoglobin＜10 gm/dL且無其他原因可以解釋)。</w:t>
      </w:r>
    </w:p>
    <w:p w:rsidR="00D3675A" w:rsidRPr="00276A1A" w:rsidRDefault="00D3675A" w:rsidP="00D3675A">
      <w:pPr>
        <w:numPr>
          <w:ilvl w:val="0"/>
          <w:numId w:val="42"/>
        </w:numPr>
        <w:suppressAutoHyphens w:val="0"/>
        <w:autoSpaceDN/>
        <w:adjustRightInd w:val="0"/>
        <w:snapToGrid w:val="0"/>
        <w:spacing w:line="400" w:lineRule="exact"/>
        <w:ind w:left="1335" w:hanging="426"/>
        <w:textAlignment w:val="auto"/>
        <w:rPr>
          <w:rFonts w:ascii="標楷體" w:eastAsia="標楷體" w:hAnsi="標楷體"/>
          <w:szCs w:val="24"/>
        </w:rPr>
      </w:pPr>
      <w:r w:rsidRPr="00276A1A">
        <w:rPr>
          <w:rFonts w:ascii="標楷體" w:eastAsia="標楷體" w:hAnsi="標楷體"/>
          <w:szCs w:val="24"/>
        </w:rPr>
        <w:t>影像檢查確認之osteolytic bone lesion(s)。</w:t>
      </w:r>
    </w:p>
    <w:p w:rsidR="00D3675A" w:rsidRPr="00276A1A" w:rsidRDefault="00D3675A" w:rsidP="00D3675A">
      <w:pPr>
        <w:numPr>
          <w:ilvl w:val="0"/>
          <w:numId w:val="42"/>
        </w:numPr>
        <w:suppressAutoHyphens w:val="0"/>
        <w:autoSpaceDN/>
        <w:adjustRightInd w:val="0"/>
        <w:snapToGrid w:val="0"/>
        <w:spacing w:line="400" w:lineRule="exact"/>
        <w:ind w:left="1193" w:hanging="284"/>
        <w:textAlignment w:val="auto"/>
        <w:rPr>
          <w:rFonts w:ascii="標楷體" w:eastAsia="標楷體" w:hAnsi="標楷體"/>
          <w:szCs w:val="24"/>
        </w:rPr>
      </w:pPr>
      <w:r w:rsidRPr="00276A1A">
        <w:rPr>
          <w:rFonts w:ascii="標楷體" w:eastAsia="標楷體" w:hAnsi="標楷體"/>
          <w:szCs w:val="24"/>
        </w:rPr>
        <w:t>骨髓漿細胞(plasma cells)比例</w:t>
      </w:r>
      <w:r w:rsidRPr="00276A1A">
        <w:rPr>
          <w:rFonts w:ascii="標楷體" w:eastAsia="標楷體" w:hAnsi="標楷體" w:cs="新細明體" w:hint="eastAsia"/>
          <w:szCs w:val="24"/>
        </w:rPr>
        <w:t>≧</w:t>
      </w:r>
      <w:r w:rsidRPr="00276A1A">
        <w:rPr>
          <w:rFonts w:ascii="標楷體" w:eastAsia="標楷體" w:hAnsi="標楷體"/>
          <w:szCs w:val="24"/>
        </w:rPr>
        <w:t>60%。</w:t>
      </w:r>
    </w:p>
    <w:p w:rsidR="00D3675A" w:rsidRPr="00276A1A" w:rsidRDefault="00D3675A" w:rsidP="00D3675A">
      <w:pPr>
        <w:numPr>
          <w:ilvl w:val="0"/>
          <w:numId w:val="42"/>
        </w:numPr>
        <w:suppressAutoHyphens w:val="0"/>
        <w:autoSpaceDN/>
        <w:adjustRightInd w:val="0"/>
        <w:snapToGrid w:val="0"/>
        <w:spacing w:line="400" w:lineRule="exact"/>
        <w:ind w:left="1335" w:hanging="426"/>
        <w:textAlignment w:val="auto"/>
        <w:rPr>
          <w:rFonts w:ascii="標楷體" w:eastAsia="標楷體" w:hAnsi="標楷體"/>
          <w:szCs w:val="24"/>
        </w:rPr>
      </w:pPr>
      <w:r w:rsidRPr="00276A1A">
        <w:rPr>
          <w:rFonts w:ascii="標楷體" w:eastAsia="標楷體" w:hAnsi="標楷體"/>
          <w:szCs w:val="24"/>
        </w:rPr>
        <w:t>Serum free light-chain ratio</w:t>
      </w:r>
      <w:r w:rsidRPr="00276A1A">
        <w:rPr>
          <w:rFonts w:ascii="標楷體" w:eastAsia="標楷體" w:hAnsi="標楷體" w:cs="新細明體" w:hint="eastAsia"/>
          <w:szCs w:val="24"/>
        </w:rPr>
        <w:t>≧</w:t>
      </w:r>
      <w:r w:rsidRPr="00276A1A">
        <w:rPr>
          <w:rFonts w:ascii="標楷體" w:eastAsia="標楷體" w:hAnsi="標楷體"/>
          <w:szCs w:val="24"/>
        </w:rPr>
        <w:t>100。</w:t>
      </w:r>
    </w:p>
    <w:p w:rsidR="00D3675A" w:rsidRPr="00276A1A" w:rsidRDefault="00D3675A" w:rsidP="00D3675A">
      <w:pPr>
        <w:numPr>
          <w:ilvl w:val="0"/>
          <w:numId w:val="40"/>
        </w:numPr>
        <w:suppressAutoHyphens w:val="0"/>
        <w:autoSpaceDN/>
        <w:adjustRightInd w:val="0"/>
        <w:snapToGrid w:val="0"/>
        <w:spacing w:line="400" w:lineRule="exact"/>
        <w:ind w:left="909" w:hanging="429"/>
        <w:textAlignment w:val="auto"/>
        <w:rPr>
          <w:rFonts w:ascii="標楷體" w:eastAsia="標楷體" w:hAnsi="標楷體"/>
          <w:szCs w:val="24"/>
        </w:rPr>
      </w:pPr>
      <w:r w:rsidRPr="00276A1A">
        <w:rPr>
          <w:rFonts w:ascii="標楷體" w:eastAsia="標楷體" w:hAnsi="標楷體"/>
          <w:szCs w:val="24"/>
        </w:rPr>
        <w:t>首次申請為12次輸注，須檢附完整之造血幹細胞移植計畫</w:t>
      </w:r>
      <w:r w:rsidRPr="00276A1A">
        <w:rPr>
          <w:rFonts w:ascii="標楷體" w:eastAsia="標楷體" w:hAnsi="標楷體" w:hint="eastAsia"/>
          <w:szCs w:val="24"/>
        </w:rPr>
        <w:t>，並詳細記載確認捐贈者名單及移植前調適治療等資料。需由具訓練血液及骨髓移植醫師能力之醫院申請，並由完成血液及骨髓移植訓練之醫師確認移植計畫。</w:t>
      </w:r>
    </w:p>
    <w:p w:rsidR="00D3675A" w:rsidRPr="00276A1A" w:rsidRDefault="00D3675A" w:rsidP="00D3675A">
      <w:pPr>
        <w:numPr>
          <w:ilvl w:val="0"/>
          <w:numId w:val="40"/>
        </w:numPr>
        <w:suppressAutoHyphens w:val="0"/>
        <w:autoSpaceDN/>
        <w:adjustRightInd w:val="0"/>
        <w:snapToGrid w:val="0"/>
        <w:spacing w:line="400" w:lineRule="exact"/>
        <w:ind w:left="909" w:hanging="429"/>
        <w:textAlignment w:val="auto"/>
        <w:rPr>
          <w:rFonts w:ascii="標楷體" w:eastAsia="標楷體" w:hAnsi="標楷體"/>
          <w:szCs w:val="24"/>
        </w:rPr>
      </w:pPr>
      <w:r w:rsidRPr="00276A1A">
        <w:rPr>
          <w:rFonts w:ascii="標楷體" w:eastAsia="標楷體" w:hAnsi="標楷體"/>
          <w:szCs w:val="24"/>
        </w:rPr>
        <w:t>再次申請為4次輸注，應檢附移植相關資料，且第一線治療總共以16次輸注為上限。</w:t>
      </w:r>
    </w:p>
    <w:p w:rsidR="00D3675A" w:rsidRPr="00276A1A" w:rsidRDefault="00D3675A" w:rsidP="00D3675A">
      <w:pPr>
        <w:adjustRightInd w:val="0"/>
        <w:snapToGrid w:val="0"/>
        <w:spacing w:line="400" w:lineRule="exact"/>
        <w:ind w:leftChars="119" w:left="567" w:hangingChars="117" w:hanging="281"/>
        <w:rPr>
          <w:rFonts w:ascii="標楷體" w:eastAsia="標楷體" w:hAnsi="標楷體"/>
          <w:szCs w:val="24"/>
        </w:rPr>
      </w:pPr>
      <w:r w:rsidRPr="00276A1A">
        <w:rPr>
          <w:rFonts w:ascii="標楷體" w:eastAsia="標楷體" w:hAnsi="標楷體"/>
          <w:szCs w:val="24"/>
        </w:rPr>
        <w:t>2.限與bortezomib/dexamethasone或lenalidomide/dexamethasone併用，治療先前曾接受至少</w:t>
      </w:r>
      <w:r w:rsidRPr="00276A1A">
        <w:rPr>
          <w:rFonts w:ascii="標楷體" w:eastAsia="標楷體" w:hAnsi="標楷體" w:hint="eastAsia"/>
          <w:szCs w:val="24"/>
        </w:rPr>
        <w:t>1</w:t>
      </w:r>
      <w:r w:rsidRPr="00276A1A">
        <w:rPr>
          <w:rFonts w:ascii="標楷體" w:eastAsia="標楷體" w:hAnsi="標楷體"/>
          <w:szCs w:val="24"/>
        </w:rPr>
        <w:t>種含bortezomib 或 lenalidomide 之療法治療失敗的多發性骨髓瘤成人患者，且須具有良好日常體能狀態(ECOG &lt; 2)者，以總共22次輸注為上限。(109/4/1、112/4/1、</w:t>
      </w:r>
      <w:r w:rsidRPr="00276A1A">
        <w:rPr>
          <w:rFonts w:ascii="標楷體" w:eastAsia="標楷體" w:hAnsi="標楷體" w:hint="eastAsia"/>
          <w:szCs w:val="24"/>
        </w:rPr>
        <w:t>114</w:t>
      </w:r>
      <w:r w:rsidRPr="00276A1A">
        <w:rPr>
          <w:rFonts w:ascii="標楷體" w:eastAsia="標楷體" w:hAnsi="標楷體"/>
          <w:szCs w:val="24"/>
        </w:rPr>
        <w:t>/</w:t>
      </w:r>
      <w:r w:rsidRPr="00276A1A">
        <w:rPr>
          <w:rFonts w:ascii="標楷體" w:eastAsia="標楷體" w:hAnsi="標楷體" w:hint="eastAsia"/>
          <w:szCs w:val="24"/>
        </w:rPr>
        <w:t>9</w:t>
      </w:r>
      <w:r w:rsidRPr="00276A1A">
        <w:rPr>
          <w:rFonts w:ascii="標楷體" w:eastAsia="標楷體" w:hAnsi="標楷體"/>
          <w:szCs w:val="24"/>
        </w:rPr>
        <w:t>/1)</w:t>
      </w:r>
    </w:p>
    <w:p w:rsidR="00D3675A" w:rsidRPr="00276A1A" w:rsidRDefault="00D3675A" w:rsidP="00D3675A">
      <w:pPr>
        <w:adjustRightInd w:val="0"/>
        <w:snapToGrid w:val="0"/>
        <w:spacing w:line="400" w:lineRule="exact"/>
        <w:ind w:leftChars="177" w:left="708" w:hangingChars="118" w:hanging="283"/>
        <w:rPr>
          <w:rFonts w:ascii="標楷體" w:eastAsia="標楷體" w:hAnsi="標楷體"/>
          <w:szCs w:val="24"/>
        </w:rPr>
      </w:pPr>
      <w:r w:rsidRPr="00276A1A">
        <w:rPr>
          <w:rFonts w:ascii="標楷體" w:eastAsia="標楷體" w:hAnsi="標楷體"/>
          <w:szCs w:val="24"/>
        </w:rPr>
        <w:t>(1)須經事前審查核准後使用：首次申請為10次輸注，且需同時符合下列Ⅰ.、Ⅱ.與Ⅲ.的條件：(109/4/1、112/4/1、</w:t>
      </w:r>
      <w:r w:rsidRPr="00276A1A">
        <w:rPr>
          <w:rFonts w:ascii="標楷體" w:eastAsia="標楷體" w:hAnsi="標楷體" w:hint="eastAsia"/>
          <w:szCs w:val="24"/>
        </w:rPr>
        <w:t>114</w:t>
      </w:r>
      <w:r w:rsidRPr="00276A1A">
        <w:rPr>
          <w:rFonts w:ascii="標楷體" w:eastAsia="標楷體" w:hAnsi="標楷體"/>
          <w:szCs w:val="24"/>
        </w:rPr>
        <w:t>/</w:t>
      </w:r>
      <w:r w:rsidRPr="00276A1A">
        <w:rPr>
          <w:rFonts w:ascii="標楷體" w:eastAsia="標楷體" w:hAnsi="標楷體" w:hint="eastAsia"/>
          <w:szCs w:val="24"/>
        </w:rPr>
        <w:t>9</w:t>
      </w:r>
      <w:r w:rsidRPr="00276A1A">
        <w:rPr>
          <w:rFonts w:ascii="標楷體" w:eastAsia="標楷體" w:hAnsi="標楷體"/>
          <w:szCs w:val="24"/>
        </w:rPr>
        <w:t>/1)</w:t>
      </w:r>
    </w:p>
    <w:p w:rsidR="00D3675A" w:rsidRPr="00276A1A" w:rsidRDefault="00D3675A" w:rsidP="00D3675A">
      <w:pPr>
        <w:numPr>
          <w:ilvl w:val="2"/>
          <w:numId w:val="39"/>
        </w:numPr>
        <w:suppressAutoHyphens w:val="0"/>
        <w:autoSpaceDN/>
        <w:adjustRightInd w:val="0"/>
        <w:snapToGrid w:val="0"/>
        <w:spacing w:line="400" w:lineRule="exact"/>
        <w:ind w:leftChars="295" w:left="708" w:firstLine="1"/>
        <w:textAlignment w:val="auto"/>
        <w:rPr>
          <w:rFonts w:ascii="標楷體" w:eastAsia="標楷體" w:hAnsi="標楷體"/>
          <w:szCs w:val="24"/>
        </w:rPr>
      </w:pPr>
      <w:r w:rsidRPr="00276A1A">
        <w:rPr>
          <w:rFonts w:ascii="標楷體" w:eastAsia="標楷體" w:hAnsi="標楷體"/>
          <w:szCs w:val="24"/>
        </w:rPr>
        <w:t>病人先前未曾接受過daratumumab之治療。(</w:t>
      </w:r>
      <w:r w:rsidRPr="00276A1A">
        <w:rPr>
          <w:rFonts w:ascii="標楷體" w:eastAsia="標楷體" w:hAnsi="標楷體" w:hint="eastAsia"/>
          <w:szCs w:val="24"/>
        </w:rPr>
        <w:t>114</w:t>
      </w:r>
      <w:r w:rsidRPr="00276A1A">
        <w:rPr>
          <w:rFonts w:ascii="標楷體" w:eastAsia="標楷體" w:hAnsi="標楷體"/>
          <w:szCs w:val="24"/>
        </w:rPr>
        <w:t>/</w:t>
      </w:r>
      <w:r w:rsidRPr="00276A1A">
        <w:rPr>
          <w:rFonts w:ascii="標楷體" w:eastAsia="標楷體" w:hAnsi="標楷體" w:hint="eastAsia"/>
          <w:szCs w:val="24"/>
        </w:rPr>
        <w:t>9</w:t>
      </w:r>
      <w:r w:rsidRPr="00276A1A">
        <w:rPr>
          <w:rFonts w:ascii="標楷體" w:eastAsia="標楷體" w:hAnsi="標楷體"/>
          <w:szCs w:val="24"/>
        </w:rPr>
        <w:t>/1)</w:t>
      </w:r>
    </w:p>
    <w:p w:rsidR="00D3675A" w:rsidRPr="00276A1A" w:rsidRDefault="00D3675A" w:rsidP="00D3675A">
      <w:pPr>
        <w:numPr>
          <w:ilvl w:val="2"/>
          <w:numId w:val="39"/>
        </w:numPr>
        <w:suppressAutoHyphens w:val="0"/>
        <w:autoSpaceDN/>
        <w:adjustRightInd w:val="0"/>
        <w:snapToGrid w:val="0"/>
        <w:spacing w:line="400" w:lineRule="exact"/>
        <w:ind w:left="1134" w:hanging="425"/>
        <w:textAlignment w:val="auto"/>
        <w:rPr>
          <w:rFonts w:ascii="標楷體" w:eastAsia="標楷體" w:hAnsi="標楷體"/>
          <w:szCs w:val="24"/>
        </w:rPr>
      </w:pPr>
      <w:r w:rsidRPr="00276A1A">
        <w:rPr>
          <w:rFonts w:ascii="標楷體" w:eastAsia="標楷體" w:hAnsi="標楷體"/>
          <w:szCs w:val="24"/>
        </w:rPr>
        <w:lastRenderedPageBreak/>
        <w:t>具有下列任一疾病惡化的指標：病患開始治療前須在連續2次評估中均符合同一指標(但若為plamacytoma 體積增加，或是新產生的bone lesion(s)或新plasmacytoma，則僅需1次評估)：（112/4/1）</w:t>
      </w:r>
    </w:p>
    <w:p w:rsidR="00D3675A" w:rsidRPr="00276A1A" w:rsidRDefault="00D3675A" w:rsidP="00D3675A">
      <w:pPr>
        <w:numPr>
          <w:ilvl w:val="3"/>
          <w:numId w:val="39"/>
        </w:numPr>
        <w:suppressAutoHyphens w:val="0"/>
        <w:autoSpaceDN/>
        <w:adjustRightInd w:val="0"/>
        <w:snapToGrid w:val="0"/>
        <w:spacing w:line="400" w:lineRule="exact"/>
        <w:ind w:left="1276" w:firstLine="0"/>
        <w:textAlignment w:val="auto"/>
        <w:rPr>
          <w:rFonts w:ascii="標楷體" w:eastAsia="標楷體" w:hAnsi="標楷體"/>
          <w:szCs w:val="24"/>
        </w:rPr>
      </w:pPr>
      <w:r w:rsidRPr="00276A1A">
        <w:rPr>
          <w:rFonts w:ascii="標楷體" w:eastAsia="標楷體" w:hAnsi="標楷體"/>
          <w:szCs w:val="24"/>
        </w:rPr>
        <w:t>若前一線治療中M component 最低值</w:t>
      </w:r>
      <w:r w:rsidRPr="00276A1A">
        <w:rPr>
          <w:rFonts w:ascii="標楷體" w:eastAsia="標楷體" w:hAnsi="標楷體" w:cs="新細明體" w:hint="eastAsia"/>
          <w:szCs w:val="24"/>
        </w:rPr>
        <w:t>≧</w:t>
      </w:r>
      <w:r w:rsidRPr="00276A1A">
        <w:rPr>
          <w:rFonts w:ascii="標楷體" w:eastAsia="標楷體" w:hAnsi="標楷體"/>
          <w:szCs w:val="24"/>
        </w:rPr>
        <w:t>5 g/dL，血清M蛋白需增加</w:t>
      </w:r>
      <w:r w:rsidRPr="00276A1A">
        <w:rPr>
          <w:rFonts w:ascii="標楷體" w:eastAsia="標楷體" w:hAnsi="標楷體" w:cs="新細明體" w:hint="eastAsia"/>
          <w:szCs w:val="24"/>
        </w:rPr>
        <w:t>≧</w:t>
      </w:r>
      <w:r w:rsidRPr="00276A1A">
        <w:rPr>
          <w:rFonts w:ascii="標楷體" w:eastAsia="標楷體" w:hAnsi="標楷體"/>
          <w:szCs w:val="24"/>
        </w:rPr>
        <w:t>1 g/dL；若前一線治療中M component最低值＜5 g/dL，血清M蛋白需增加</w:t>
      </w:r>
      <w:r w:rsidRPr="00276A1A">
        <w:rPr>
          <w:rFonts w:ascii="標楷體" w:eastAsia="標楷體" w:hAnsi="標楷體" w:cs="新細明體" w:hint="eastAsia"/>
          <w:szCs w:val="24"/>
        </w:rPr>
        <w:t>≧</w:t>
      </w:r>
      <w:r w:rsidRPr="00276A1A">
        <w:rPr>
          <w:rFonts w:ascii="標楷體" w:eastAsia="標楷體" w:hAnsi="標楷體"/>
          <w:szCs w:val="24"/>
        </w:rPr>
        <w:t>0.5g/dL。</w:t>
      </w:r>
    </w:p>
    <w:p w:rsidR="00D3675A" w:rsidRPr="00276A1A" w:rsidRDefault="00D3675A" w:rsidP="00D3675A">
      <w:pPr>
        <w:numPr>
          <w:ilvl w:val="3"/>
          <w:numId w:val="39"/>
        </w:numPr>
        <w:suppressAutoHyphens w:val="0"/>
        <w:autoSpaceDN/>
        <w:adjustRightInd w:val="0"/>
        <w:snapToGrid w:val="0"/>
        <w:spacing w:line="400" w:lineRule="exact"/>
        <w:ind w:left="1276" w:firstLine="0"/>
        <w:textAlignment w:val="auto"/>
        <w:rPr>
          <w:rFonts w:ascii="標楷體" w:eastAsia="標楷體" w:hAnsi="標楷體"/>
          <w:szCs w:val="24"/>
        </w:rPr>
      </w:pPr>
      <w:r w:rsidRPr="00276A1A">
        <w:rPr>
          <w:rFonts w:ascii="標楷體" w:eastAsia="標楷體" w:hAnsi="標楷體"/>
          <w:szCs w:val="24"/>
        </w:rPr>
        <w:t>Urine M-protein需增加</w:t>
      </w:r>
      <w:r w:rsidRPr="00276A1A">
        <w:rPr>
          <w:rFonts w:ascii="標楷體" w:eastAsia="標楷體" w:hAnsi="標楷體" w:cs="新細明體" w:hint="eastAsia"/>
          <w:szCs w:val="24"/>
        </w:rPr>
        <w:t>≧</w:t>
      </w:r>
      <w:r w:rsidRPr="00276A1A">
        <w:rPr>
          <w:rFonts w:ascii="標楷體" w:eastAsia="標楷體" w:hAnsi="標楷體"/>
          <w:szCs w:val="24"/>
        </w:rPr>
        <w:t>0.2 gm/24Hr，且需較前一線治療中的最低值增加</w:t>
      </w:r>
      <w:r w:rsidRPr="00276A1A">
        <w:rPr>
          <w:rFonts w:ascii="標楷體" w:eastAsia="標楷體" w:hAnsi="標楷體" w:cs="新細明體" w:hint="eastAsia"/>
          <w:szCs w:val="24"/>
        </w:rPr>
        <w:t>≧</w:t>
      </w:r>
      <w:r w:rsidRPr="00276A1A">
        <w:rPr>
          <w:rFonts w:ascii="標楷體" w:eastAsia="標楷體" w:hAnsi="標楷體"/>
          <w:szCs w:val="24"/>
        </w:rPr>
        <w:t>25%。</w:t>
      </w:r>
    </w:p>
    <w:p w:rsidR="00D3675A" w:rsidRPr="00276A1A" w:rsidRDefault="00D3675A" w:rsidP="00D3675A">
      <w:pPr>
        <w:numPr>
          <w:ilvl w:val="3"/>
          <w:numId w:val="39"/>
        </w:numPr>
        <w:suppressAutoHyphens w:val="0"/>
        <w:autoSpaceDN/>
        <w:adjustRightInd w:val="0"/>
        <w:snapToGrid w:val="0"/>
        <w:spacing w:line="400" w:lineRule="exact"/>
        <w:ind w:left="1276" w:firstLine="0"/>
        <w:textAlignment w:val="auto"/>
        <w:rPr>
          <w:rFonts w:ascii="標楷體" w:eastAsia="標楷體" w:hAnsi="標楷體"/>
          <w:szCs w:val="24"/>
        </w:rPr>
      </w:pPr>
      <w:r w:rsidRPr="00276A1A">
        <w:rPr>
          <w:rFonts w:ascii="標楷體" w:eastAsia="標楷體" w:hAnsi="標楷體"/>
          <w:szCs w:val="24"/>
        </w:rPr>
        <w:t>在non-secretary myeloma 病患，骨髓漿細胞 (plasma cells)之比例絕對值增加</w:t>
      </w:r>
      <w:r w:rsidRPr="00276A1A">
        <w:rPr>
          <w:rFonts w:ascii="標楷體" w:eastAsia="標楷體" w:hAnsi="標楷體" w:cs="新細明體" w:hint="eastAsia"/>
          <w:szCs w:val="24"/>
        </w:rPr>
        <w:t>≧</w:t>
      </w:r>
      <w:r w:rsidRPr="00276A1A">
        <w:rPr>
          <w:rFonts w:ascii="標楷體" w:eastAsia="標楷體" w:hAnsi="標楷體"/>
          <w:szCs w:val="24"/>
        </w:rPr>
        <w:t>10%，且需較前一線治療中的最低值增加</w:t>
      </w:r>
      <w:r w:rsidRPr="00276A1A">
        <w:rPr>
          <w:rFonts w:ascii="標楷體" w:eastAsia="標楷體" w:hAnsi="標楷體" w:cs="新細明體" w:hint="eastAsia"/>
          <w:szCs w:val="24"/>
        </w:rPr>
        <w:t>≧</w:t>
      </w:r>
      <w:r w:rsidRPr="00276A1A">
        <w:rPr>
          <w:rFonts w:ascii="標楷體" w:eastAsia="標楷體" w:hAnsi="標楷體"/>
          <w:szCs w:val="24"/>
        </w:rPr>
        <w:t>25%。</w:t>
      </w:r>
    </w:p>
    <w:p w:rsidR="00D3675A" w:rsidRPr="00276A1A" w:rsidRDefault="00D3675A" w:rsidP="00D3675A">
      <w:pPr>
        <w:numPr>
          <w:ilvl w:val="3"/>
          <w:numId w:val="39"/>
        </w:numPr>
        <w:suppressAutoHyphens w:val="0"/>
        <w:autoSpaceDN/>
        <w:adjustRightInd w:val="0"/>
        <w:snapToGrid w:val="0"/>
        <w:spacing w:line="400" w:lineRule="exact"/>
        <w:ind w:left="1276" w:firstLine="0"/>
        <w:textAlignment w:val="auto"/>
        <w:rPr>
          <w:rFonts w:ascii="標楷體" w:eastAsia="標楷體" w:hAnsi="標楷體"/>
          <w:szCs w:val="24"/>
        </w:rPr>
      </w:pPr>
      <w:r w:rsidRPr="00276A1A">
        <w:rPr>
          <w:rFonts w:ascii="標楷體" w:eastAsia="標楷體" w:hAnsi="標楷體"/>
          <w:szCs w:val="24"/>
        </w:rPr>
        <w:t>新產生的bone lesion(s)或plasmacytoma；且須經病理切片證實。</w:t>
      </w:r>
    </w:p>
    <w:p w:rsidR="00D3675A" w:rsidRPr="00276A1A" w:rsidRDefault="00D3675A" w:rsidP="00D3675A">
      <w:pPr>
        <w:numPr>
          <w:ilvl w:val="3"/>
          <w:numId w:val="39"/>
        </w:numPr>
        <w:suppressAutoHyphens w:val="0"/>
        <w:autoSpaceDN/>
        <w:adjustRightInd w:val="0"/>
        <w:snapToGrid w:val="0"/>
        <w:spacing w:line="400" w:lineRule="exact"/>
        <w:ind w:left="1276" w:firstLine="0"/>
        <w:textAlignment w:val="auto"/>
        <w:rPr>
          <w:rFonts w:ascii="標楷體" w:eastAsia="標楷體" w:hAnsi="標楷體"/>
          <w:szCs w:val="24"/>
        </w:rPr>
      </w:pPr>
      <w:r w:rsidRPr="00276A1A">
        <w:rPr>
          <w:rFonts w:ascii="標楷體" w:eastAsia="標楷體" w:hAnsi="標楷體"/>
          <w:szCs w:val="24"/>
        </w:rPr>
        <w:t>Plasmacytoma體積增加</w:t>
      </w:r>
      <w:r w:rsidRPr="00276A1A">
        <w:rPr>
          <w:rFonts w:ascii="標楷體" w:eastAsia="標楷體" w:hAnsi="標楷體" w:cs="新細明體" w:hint="eastAsia"/>
          <w:szCs w:val="24"/>
        </w:rPr>
        <w:t>≧</w:t>
      </w:r>
      <w:r w:rsidRPr="00276A1A">
        <w:rPr>
          <w:rFonts w:ascii="標楷體" w:eastAsia="標楷體" w:hAnsi="標楷體"/>
          <w:szCs w:val="24"/>
        </w:rPr>
        <w:t>50%。</w:t>
      </w:r>
    </w:p>
    <w:p w:rsidR="00D3675A" w:rsidRPr="00276A1A" w:rsidRDefault="00D3675A" w:rsidP="00D3675A">
      <w:pPr>
        <w:numPr>
          <w:ilvl w:val="3"/>
          <w:numId w:val="39"/>
        </w:numPr>
        <w:suppressAutoHyphens w:val="0"/>
        <w:autoSpaceDN/>
        <w:adjustRightInd w:val="0"/>
        <w:snapToGrid w:val="0"/>
        <w:spacing w:line="400" w:lineRule="exact"/>
        <w:ind w:left="1276" w:firstLine="0"/>
        <w:textAlignment w:val="auto"/>
        <w:rPr>
          <w:rFonts w:ascii="標楷體" w:eastAsia="標楷體" w:hAnsi="標楷體"/>
          <w:szCs w:val="24"/>
        </w:rPr>
      </w:pPr>
      <w:r w:rsidRPr="00276A1A">
        <w:rPr>
          <w:rFonts w:ascii="標楷體" w:eastAsia="標楷體" w:hAnsi="標楷體"/>
          <w:szCs w:val="24"/>
        </w:rPr>
        <w:t>周邊血液中漿細胞比例</w:t>
      </w:r>
      <w:r w:rsidRPr="00276A1A">
        <w:rPr>
          <w:rFonts w:ascii="標楷體" w:eastAsia="標楷體" w:hAnsi="標楷體" w:cs="新細明體" w:hint="eastAsia"/>
          <w:szCs w:val="24"/>
        </w:rPr>
        <w:t>≧</w:t>
      </w:r>
      <w:r w:rsidRPr="00276A1A">
        <w:rPr>
          <w:rFonts w:ascii="標楷體" w:eastAsia="標楷體" w:hAnsi="標楷體"/>
          <w:szCs w:val="24"/>
        </w:rPr>
        <w:t>20%或漿細胞絕對值</w:t>
      </w:r>
      <w:r w:rsidRPr="00276A1A">
        <w:rPr>
          <w:rFonts w:ascii="標楷體" w:eastAsia="標楷體" w:hAnsi="標楷體" w:cs="新細明體" w:hint="eastAsia"/>
          <w:szCs w:val="24"/>
        </w:rPr>
        <w:t>≧</w:t>
      </w:r>
      <w:r w:rsidRPr="00276A1A">
        <w:rPr>
          <w:rFonts w:ascii="標楷體" w:eastAsia="標楷體" w:hAnsi="標楷體"/>
          <w:szCs w:val="24"/>
        </w:rPr>
        <w:t>2000 cells/μL。</w:t>
      </w:r>
    </w:p>
    <w:p w:rsidR="00D3675A" w:rsidRPr="00276A1A" w:rsidRDefault="00D3675A" w:rsidP="00D3675A">
      <w:pPr>
        <w:adjustRightInd w:val="0"/>
        <w:snapToGrid w:val="0"/>
        <w:spacing w:line="400" w:lineRule="exact"/>
        <w:ind w:left="993"/>
        <w:rPr>
          <w:rFonts w:ascii="標楷體" w:eastAsia="標楷體" w:hAnsi="標楷體"/>
          <w:szCs w:val="24"/>
        </w:rPr>
      </w:pPr>
      <w:r w:rsidRPr="00276A1A">
        <w:rPr>
          <w:rFonts w:ascii="標楷體" w:eastAsia="標楷體" w:hAnsi="標楷體"/>
          <w:szCs w:val="24"/>
        </w:rPr>
        <w:t>Ⅲ出現下列任一臨床症狀：（112/4/1）</w:t>
      </w:r>
    </w:p>
    <w:p w:rsidR="00D3675A" w:rsidRPr="00276A1A" w:rsidRDefault="00D3675A" w:rsidP="00D3675A">
      <w:pPr>
        <w:numPr>
          <w:ilvl w:val="3"/>
          <w:numId w:val="39"/>
        </w:numPr>
        <w:suppressAutoHyphens w:val="0"/>
        <w:autoSpaceDN/>
        <w:adjustRightInd w:val="0"/>
        <w:snapToGrid w:val="0"/>
        <w:spacing w:line="400" w:lineRule="exact"/>
        <w:ind w:left="1276" w:firstLine="0"/>
        <w:textAlignment w:val="auto"/>
        <w:rPr>
          <w:rFonts w:ascii="標楷體" w:eastAsia="標楷體" w:hAnsi="標楷體"/>
          <w:szCs w:val="24"/>
        </w:rPr>
      </w:pPr>
      <w:r w:rsidRPr="00276A1A">
        <w:rPr>
          <w:rFonts w:ascii="標楷體" w:eastAsia="標楷體" w:hAnsi="標楷體"/>
          <w:szCs w:val="24"/>
        </w:rPr>
        <w:t>新產生的bone lesion(s)或plasmacytoma；且須經病理切片證實。</w:t>
      </w:r>
    </w:p>
    <w:p w:rsidR="00D3675A" w:rsidRPr="00276A1A" w:rsidRDefault="00D3675A" w:rsidP="00D3675A">
      <w:pPr>
        <w:numPr>
          <w:ilvl w:val="3"/>
          <w:numId w:val="39"/>
        </w:numPr>
        <w:suppressAutoHyphens w:val="0"/>
        <w:autoSpaceDN/>
        <w:adjustRightInd w:val="0"/>
        <w:snapToGrid w:val="0"/>
        <w:spacing w:line="400" w:lineRule="exact"/>
        <w:ind w:left="1276" w:hanging="16"/>
        <w:textAlignment w:val="auto"/>
        <w:rPr>
          <w:rFonts w:ascii="標楷體" w:eastAsia="標楷體" w:hAnsi="標楷體"/>
          <w:szCs w:val="24"/>
        </w:rPr>
      </w:pPr>
      <w:r w:rsidRPr="00276A1A">
        <w:rPr>
          <w:rFonts w:ascii="標楷體" w:eastAsia="標楷體" w:hAnsi="標楷體"/>
          <w:szCs w:val="24"/>
        </w:rPr>
        <w:t>Plasmacytoma 體積增加</w:t>
      </w:r>
      <w:r w:rsidRPr="00276A1A">
        <w:rPr>
          <w:rFonts w:ascii="標楷體" w:eastAsia="標楷體" w:hAnsi="標楷體" w:cs="新細明體" w:hint="eastAsia"/>
          <w:szCs w:val="24"/>
        </w:rPr>
        <w:t>≧</w:t>
      </w:r>
      <w:r w:rsidRPr="00276A1A">
        <w:rPr>
          <w:rFonts w:ascii="標楷體" w:eastAsia="標楷體" w:hAnsi="標楷體"/>
          <w:szCs w:val="24"/>
        </w:rPr>
        <w:t>50%。</w:t>
      </w:r>
    </w:p>
    <w:p w:rsidR="00D3675A" w:rsidRPr="00276A1A" w:rsidRDefault="00D3675A" w:rsidP="00D3675A">
      <w:pPr>
        <w:numPr>
          <w:ilvl w:val="3"/>
          <w:numId w:val="39"/>
        </w:numPr>
        <w:suppressAutoHyphens w:val="0"/>
        <w:autoSpaceDN/>
        <w:adjustRightInd w:val="0"/>
        <w:snapToGrid w:val="0"/>
        <w:spacing w:line="400" w:lineRule="exact"/>
        <w:ind w:left="1276" w:hanging="16"/>
        <w:textAlignment w:val="auto"/>
        <w:rPr>
          <w:rFonts w:ascii="標楷體" w:eastAsia="標楷體" w:hAnsi="標楷體"/>
          <w:szCs w:val="24"/>
        </w:rPr>
      </w:pPr>
      <w:r w:rsidRPr="00276A1A">
        <w:rPr>
          <w:rFonts w:ascii="標楷體" w:eastAsia="標楷體" w:hAnsi="標楷體"/>
          <w:szCs w:val="24"/>
        </w:rPr>
        <w:t>高血鈣(corrected serum calcium＞11.0 mg/dL 或 2.75 mmol/L)。</w:t>
      </w:r>
    </w:p>
    <w:p w:rsidR="00D3675A" w:rsidRPr="00276A1A" w:rsidRDefault="00D3675A" w:rsidP="00D3675A">
      <w:pPr>
        <w:numPr>
          <w:ilvl w:val="3"/>
          <w:numId w:val="39"/>
        </w:numPr>
        <w:suppressAutoHyphens w:val="0"/>
        <w:autoSpaceDN/>
        <w:adjustRightInd w:val="0"/>
        <w:snapToGrid w:val="0"/>
        <w:spacing w:line="400" w:lineRule="exact"/>
        <w:ind w:left="1276" w:hanging="16"/>
        <w:textAlignment w:val="auto"/>
        <w:rPr>
          <w:rFonts w:ascii="標楷體" w:eastAsia="標楷體" w:hAnsi="標楷體"/>
          <w:szCs w:val="24"/>
        </w:rPr>
      </w:pPr>
      <w:r w:rsidRPr="00276A1A">
        <w:rPr>
          <w:rFonts w:ascii="標楷體" w:eastAsia="標楷體" w:hAnsi="標楷體"/>
          <w:szCs w:val="24"/>
        </w:rPr>
        <w:t>貧血(Hemoglobin 下降幅度</w:t>
      </w:r>
      <w:r w:rsidRPr="00276A1A">
        <w:rPr>
          <w:rFonts w:ascii="標楷體" w:eastAsia="標楷體" w:hAnsi="標楷體" w:cs="新細明體" w:hint="eastAsia"/>
          <w:szCs w:val="24"/>
        </w:rPr>
        <w:t>≧</w:t>
      </w:r>
      <w:r w:rsidRPr="00276A1A">
        <w:rPr>
          <w:rFonts w:ascii="標楷體" w:eastAsia="標楷體" w:hAnsi="標楷體"/>
          <w:szCs w:val="24"/>
        </w:rPr>
        <w:t xml:space="preserve"> 2gm/dL且無其他原因可以解釋)。</w:t>
      </w:r>
    </w:p>
    <w:p w:rsidR="00D3675A" w:rsidRPr="00276A1A" w:rsidRDefault="00D3675A" w:rsidP="00D3675A">
      <w:pPr>
        <w:numPr>
          <w:ilvl w:val="3"/>
          <w:numId w:val="39"/>
        </w:numPr>
        <w:suppressAutoHyphens w:val="0"/>
        <w:autoSpaceDN/>
        <w:adjustRightInd w:val="0"/>
        <w:snapToGrid w:val="0"/>
        <w:spacing w:line="400" w:lineRule="exact"/>
        <w:ind w:left="1276" w:hanging="16"/>
        <w:textAlignment w:val="auto"/>
        <w:rPr>
          <w:rFonts w:ascii="標楷體" w:eastAsia="標楷體" w:hAnsi="標楷體"/>
          <w:szCs w:val="24"/>
        </w:rPr>
      </w:pPr>
      <w:r w:rsidRPr="00276A1A">
        <w:rPr>
          <w:rFonts w:ascii="標楷體" w:eastAsia="標楷體" w:hAnsi="標楷體"/>
          <w:szCs w:val="24"/>
        </w:rPr>
        <w:t>腎功能惡化(eGFR需下降幅度</w:t>
      </w:r>
      <w:r w:rsidRPr="00276A1A">
        <w:rPr>
          <w:rFonts w:ascii="標楷體" w:eastAsia="標楷體" w:hAnsi="標楷體" w:cs="新細明體" w:hint="eastAsia"/>
          <w:szCs w:val="24"/>
        </w:rPr>
        <w:t>≧</w:t>
      </w:r>
      <w:r w:rsidRPr="00276A1A">
        <w:rPr>
          <w:rFonts w:ascii="標楷體" w:eastAsia="標楷體" w:hAnsi="標楷體"/>
          <w:szCs w:val="24"/>
        </w:rPr>
        <w:t>25%)，且無其他原因可以解釋。</w:t>
      </w:r>
    </w:p>
    <w:p w:rsidR="00D3675A" w:rsidRPr="00276A1A" w:rsidRDefault="00D3675A" w:rsidP="00D3675A">
      <w:pPr>
        <w:numPr>
          <w:ilvl w:val="3"/>
          <w:numId w:val="39"/>
        </w:numPr>
        <w:suppressAutoHyphens w:val="0"/>
        <w:autoSpaceDN/>
        <w:adjustRightInd w:val="0"/>
        <w:snapToGrid w:val="0"/>
        <w:spacing w:line="400" w:lineRule="exact"/>
        <w:ind w:left="1276" w:hanging="16"/>
        <w:textAlignment w:val="auto"/>
        <w:rPr>
          <w:rFonts w:ascii="標楷體" w:eastAsia="標楷體" w:hAnsi="標楷體"/>
          <w:szCs w:val="24"/>
        </w:rPr>
      </w:pPr>
      <w:r w:rsidRPr="00276A1A">
        <w:rPr>
          <w:rFonts w:ascii="標楷體" w:eastAsia="標楷體" w:hAnsi="標楷體"/>
          <w:szCs w:val="24"/>
        </w:rPr>
        <w:t>出現其他end-organ dysfunctions。</w:t>
      </w:r>
    </w:p>
    <w:p w:rsidR="00D3675A" w:rsidRPr="00276A1A" w:rsidRDefault="00D3675A" w:rsidP="00D3675A">
      <w:pPr>
        <w:spacing w:line="400" w:lineRule="exact"/>
        <w:ind w:leftChars="355" w:left="1133" w:hangingChars="117" w:hanging="281"/>
        <w:rPr>
          <w:rFonts w:ascii="標楷體" w:eastAsia="標楷體" w:hAnsi="標楷體"/>
          <w:szCs w:val="24"/>
        </w:rPr>
      </w:pPr>
      <w:r w:rsidRPr="00276A1A">
        <w:rPr>
          <w:rFonts w:ascii="標楷體" w:eastAsia="標楷體" w:hAnsi="標楷體"/>
          <w:szCs w:val="24"/>
        </w:rPr>
        <w:t>(2)之後申請則為每次4次輸注，申請時必須確定paraprotein (M-protein)未上升(即表示對藥物有反應或為穩定狀態)，或對部分non-secretory type MM病人以骨髓檢查plasma cell為療效依據，方可繼續使用。(109/4/1、112/4/1)</w:t>
      </w:r>
    </w:p>
    <w:p w:rsidR="00D3675A" w:rsidRPr="00276A1A" w:rsidRDefault="00D3675A" w:rsidP="00D3675A">
      <w:pPr>
        <w:spacing w:line="400" w:lineRule="exact"/>
        <w:ind w:leftChars="237" w:left="850" w:hangingChars="117" w:hanging="281"/>
        <w:rPr>
          <w:rFonts w:ascii="標楷體" w:eastAsia="標楷體" w:hAnsi="標楷體"/>
          <w:szCs w:val="24"/>
        </w:rPr>
      </w:pPr>
      <w:r w:rsidRPr="00276A1A">
        <w:rPr>
          <w:rFonts w:ascii="標楷體" w:eastAsia="標楷體" w:hAnsi="標楷體"/>
          <w:szCs w:val="24"/>
        </w:rPr>
        <w:t>3.除lenalidomide、thalidomide或bortezomib外，本案藥品不得與其他蛋白酶體抑制劑(proteasome inhibitor)或免疫調節劑(immunomodulatory drugs)併用。(109/4/1、112/4/1、</w:t>
      </w:r>
      <w:r w:rsidRPr="00276A1A">
        <w:rPr>
          <w:rFonts w:ascii="標楷體" w:eastAsia="標楷體" w:hAnsi="標楷體" w:hint="eastAsia"/>
          <w:szCs w:val="24"/>
        </w:rPr>
        <w:t>114</w:t>
      </w:r>
      <w:r w:rsidRPr="00276A1A">
        <w:rPr>
          <w:rFonts w:ascii="標楷體" w:eastAsia="標楷體" w:hAnsi="標楷體"/>
          <w:szCs w:val="24"/>
        </w:rPr>
        <w:t>/</w:t>
      </w:r>
      <w:r w:rsidRPr="00276A1A">
        <w:rPr>
          <w:rFonts w:ascii="標楷體" w:eastAsia="標楷體" w:hAnsi="標楷體" w:hint="eastAsia"/>
          <w:szCs w:val="24"/>
        </w:rPr>
        <w:t>9</w:t>
      </w:r>
      <w:r w:rsidRPr="00276A1A">
        <w:rPr>
          <w:rFonts w:ascii="標楷體" w:eastAsia="標楷體" w:hAnsi="標楷體"/>
          <w:szCs w:val="24"/>
        </w:rPr>
        <w:t>/1)</w:t>
      </w:r>
    </w:p>
    <w:p w:rsidR="00D3675A" w:rsidRPr="00276A1A" w:rsidRDefault="00D3675A" w:rsidP="00D3675A">
      <w:pPr>
        <w:spacing w:line="400" w:lineRule="exact"/>
        <w:ind w:leftChars="237" w:left="850" w:hangingChars="117" w:hanging="281"/>
        <w:rPr>
          <w:rFonts w:ascii="標楷體" w:eastAsia="標楷體" w:hAnsi="標楷體"/>
          <w:szCs w:val="24"/>
        </w:rPr>
      </w:pPr>
      <w:r w:rsidRPr="00276A1A">
        <w:rPr>
          <w:rFonts w:ascii="標楷體" w:eastAsia="標楷體" w:hAnsi="標楷體"/>
          <w:szCs w:val="24"/>
        </w:rPr>
        <w:t>4.112年3月31日以前已核定用藥之病人，得經事前審查核准後，使用至總療程上限（第一線治療以總共16輸注為上限，第二線以上治療以總共22次輸注為上限，接受第一線治療以後，不再給付第二線以上治療）或使用期間發生疾病惡化為止。（112/4/1、</w:t>
      </w:r>
      <w:r w:rsidRPr="00276A1A">
        <w:rPr>
          <w:rFonts w:ascii="標楷體" w:eastAsia="標楷體" w:hAnsi="標楷體" w:hint="eastAsia"/>
          <w:szCs w:val="24"/>
        </w:rPr>
        <w:t>114</w:t>
      </w:r>
      <w:r w:rsidRPr="00276A1A">
        <w:rPr>
          <w:rFonts w:ascii="標楷體" w:eastAsia="標楷體" w:hAnsi="標楷體"/>
          <w:szCs w:val="24"/>
        </w:rPr>
        <w:t>/</w:t>
      </w:r>
      <w:r w:rsidRPr="00276A1A">
        <w:rPr>
          <w:rFonts w:ascii="標楷體" w:eastAsia="標楷體" w:hAnsi="標楷體" w:hint="eastAsia"/>
          <w:szCs w:val="24"/>
        </w:rPr>
        <w:t>9</w:t>
      </w:r>
      <w:r w:rsidRPr="00276A1A">
        <w:rPr>
          <w:rFonts w:ascii="標楷體" w:eastAsia="標楷體" w:hAnsi="標楷體"/>
          <w:szCs w:val="24"/>
        </w:rPr>
        <w:t>/1）</w:t>
      </w:r>
    </w:p>
    <w:p w:rsidR="00B96EA0" w:rsidRDefault="00D3675A" w:rsidP="00D3675A">
      <w:pPr>
        <w:spacing w:line="400" w:lineRule="exact"/>
        <w:ind w:leftChars="237" w:left="850" w:hangingChars="117" w:hanging="281"/>
        <w:rPr>
          <w:rFonts w:ascii="標楷體" w:eastAsia="標楷體" w:hAnsi="標楷體"/>
          <w:color w:val="000000"/>
        </w:rPr>
      </w:pPr>
      <w:r w:rsidRPr="00276A1A">
        <w:rPr>
          <w:rFonts w:ascii="標楷體" w:eastAsia="標楷體" w:hAnsi="標楷體"/>
          <w:szCs w:val="24"/>
        </w:rPr>
        <w:t>5.Daratumumab與isatuximab二者</w:t>
      </w:r>
      <w:r w:rsidRPr="00276A1A">
        <w:rPr>
          <w:rFonts w:ascii="標楷體" w:eastAsia="標楷體" w:hAnsi="標楷體" w:hint="eastAsia"/>
          <w:szCs w:val="24"/>
        </w:rPr>
        <w:t>僅能擇一使用，除因藥物耐受不良以外，不可以其他原因申請互換使用。（113/4/1）</w:t>
      </w:r>
      <w:bookmarkEnd w:id="30"/>
    </w:p>
    <w:p w:rsidR="00275C39" w:rsidRPr="00275C39" w:rsidRDefault="00275C39" w:rsidP="00275C39">
      <w:pPr>
        <w:spacing w:line="400" w:lineRule="exact"/>
        <w:ind w:left="672" w:hanging="386"/>
        <w:rPr>
          <w:rFonts w:ascii="標楷體" w:eastAsia="標楷體" w:hAnsi="標楷體"/>
          <w:color w:val="000000"/>
        </w:rPr>
      </w:pPr>
      <w:bookmarkStart w:id="31" w:name="_Hlk204089600"/>
      <w:r w:rsidRPr="00275C39">
        <w:rPr>
          <w:rFonts w:ascii="標楷體" w:eastAsia="標楷體" w:hAnsi="標楷體"/>
          <w:color w:val="000000"/>
        </w:rPr>
        <w:t>9.79.Obinutuzumab(如Gazyva)：（109/4/1、113/2/1</w:t>
      </w:r>
      <w:r w:rsidRPr="00275C39">
        <w:rPr>
          <w:rFonts w:ascii="標楷體" w:eastAsia="標楷體" w:hAnsi="標楷體" w:hint="eastAsia"/>
          <w:color w:val="000000"/>
        </w:rPr>
        <w:t>、114/8/1</w:t>
      </w:r>
      <w:r w:rsidRPr="00275C39">
        <w:rPr>
          <w:rFonts w:ascii="標楷體" w:eastAsia="標楷體" w:hAnsi="標楷體"/>
          <w:color w:val="000000"/>
        </w:rPr>
        <w:t>）</w:t>
      </w:r>
    </w:p>
    <w:p w:rsidR="00275C39" w:rsidRPr="00275C39" w:rsidRDefault="00275C39" w:rsidP="00347CE0">
      <w:pPr>
        <w:spacing w:line="400" w:lineRule="exact"/>
        <w:ind w:left="851" w:hanging="244"/>
        <w:rPr>
          <w:rFonts w:ascii="標楷體" w:eastAsia="標楷體" w:hAnsi="標楷體"/>
          <w:color w:val="000000"/>
        </w:rPr>
      </w:pPr>
      <w:r w:rsidRPr="00275C39">
        <w:rPr>
          <w:rFonts w:ascii="標楷體" w:eastAsia="標楷體" w:hAnsi="標楷體"/>
          <w:color w:val="000000"/>
        </w:rPr>
        <w:t>1.限用於第一次接受含rituximab治療後治療無效或治療結束後6個月內復發的濾泡性淋巴瘤(follicular lymphoma)患者。</w:t>
      </w:r>
    </w:p>
    <w:p w:rsidR="00275C39" w:rsidRPr="00275C39" w:rsidRDefault="00275C39" w:rsidP="00347CE0">
      <w:pPr>
        <w:spacing w:line="400" w:lineRule="exact"/>
        <w:ind w:left="993" w:hanging="142"/>
        <w:rPr>
          <w:rFonts w:ascii="標楷體" w:eastAsia="標楷體" w:hAnsi="標楷體"/>
          <w:color w:val="000000"/>
        </w:rPr>
      </w:pPr>
      <w:r w:rsidRPr="00275C39">
        <w:rPr>
          <w:rFonts w:ascii="標楷體" w:eastAsia="標楷體" w:hAnsi="標楷體"/>
          <w:color w:val="000000"/>
        </w:rPr>
        <w:t>(1)需經事前審查核准後使用：</w:t>
      </w:r>
    </w:p>
    <w:p w:rsidR="00275C39" w:rsidRPr="00275C39" w:rsidRDefault="00275C39" w:rsidP="00347CE0">
      <w:pPr>
        <w:spacing w:line="400" w:lineRule="exact"/>
        <w:ind w:left="1560" w:hanging="386"/>
        <w:rPr>
          <w:rFonts w:ascii="標楷體" w:eastAsia="標楷體" w:hAnsi="標楷體"/>
          <w:color w:val="000000"/>
        </w:rPr>
      </w:pPr>
      <w:bookmarkStart w:id="32" w:name="_Hlk206605286"/>
      <w:r w:rsidRPr="00275C39">
        <w:rPr>
          <w:rFonts w:ascii="標楷體" w:eastAsia="標楷體" w:hAnsi="標楷體"/>
          <w:color w:val="000000"/>
        </w:rPr>
        <w:t>Ⅰ.</w:t>
      </w:r>
      <w:bookmarkEnd w:id="32"/>
      <w:r w:rsidRPr="00275C39">
        <w:rPr>
          <w:rFonts w:ascii="標楷體" w:eastAsia="標楷體" w:hAnsi="標楷體"/>
          <w:color w:val="000000"/>
        </w:rPr>
        <w:t>首次申請限6個療程(共8次治療)，且需與bendamustine 併用。</w:t>
      </w:r>
    </w:p>
    <w:p w:rsidR="00275C39" w:rsidRPr="00275C39" w:rsidRDefault="00275C39" w:rsidP="00275C39">
      <w:pPr>
        <w:spacing w:line="400" w:lineRule="exact"/>
        <w:ind w:left="1632" w:hanging="386"/>
        <w:rPr>
          <w:rFonts w:ascii="標楷體" w:eastAsia="標楷體" w:hAnsi="標楷體"/>
          <w:color w:val="000000"/>
        </w:rPr>
      </w:pPr>
      <w:r w:rsidRPr="00275C39">
        <w:rPr>
          <w:rFonts w:ascii="標楷體" w:eastAsia="標楷體" w:hAnsi="標楷體"/>
          <w:color w:val="000000"/>
        </w:rPr>
        <w:lastRenderedPageBreak/>
        <w:t>Ⅱ.經治療後達partial remission 或complete remission病患可續申請obinutuzumab 單一藥物維持治療，每次申請最多12個月(6個療程)，每12個月須進行疾病評估，若病情惡化應即停止使用。</w:t>
      </w:r>
    </w:p>
    <w:p w:rsidR="00275C39" w:rsidRPr="00275C39" w:rsidRDefault="00275C39" w:rsidP="00275C39">
      <w:pPr>
        <w:spacing w:line="400" w:lineRule="exact"/>
        <w:ind w:left="1632" w:hanging="386"/>
        <w:rPr>
          <w:rFonts w:ascii="標楷體" w:eastAsia="標楷體" w:hAnsi="標楷體"/>
          <w:color w:val="000000"/>
        </w:rPr>
      </w:pPr>
      <w:r w:rsidRPr="00275C39">
        <w:rPr>
          <w:rFonts w:ascii="標楷體" w:eastAsia="標楷體" w:hAnsi="標楷體"/>
          <w:color w:val="000000"/>
        </w:rPr>
        <w:t>Ⅲ.每位病人最多給付24個月(12個療程)維持治療。</w:t>
      </w:r>
    </w:p>
    <w:p w:rsidR="00275C39" w:rsidRPr="00275C39" w:rsidRDefault="00275C39" w:rsidP="00347CE0">
      <w:pPr>
        <w:spacing w:line="400" w:lineRule="exact"/>
        <w:ind w:left="993" w:hanging="142"/>
        <w:rPr>
          <w:rFonts w:ascii="標楷體" w:eastAsia="標楷體" w:hAnsi="標楷體"/>
          <w:color w:val="000000"/>
        </w:rPr>
      </w:pPr>
      <w:r w:rsidRPr="00275C39">
        <w:rPr>
          <w:rFonts w:ascii="標楷體" w:eastAsia="標楷體" w:hAnsi="標楷體"/>
          <w:color w:val="000000"/>
        </w:rPr>
        <w:t>(2)病患曾使用本藥物後再復發或惡化時，不得再申請使用。</w:t>
      </w:r>
    </w:p>
    <w:p w:rsidR="00275C39" w:rsidRPr="00275C39" w:rsidRDefault="00275C39" w:rsidP="00347CE0">
      <w:pPr>
        <w:spacing w:line="400" w:lineRule="exact"/>
        <w:ind w:left="851" w:hanging="244"/>
        <w:rPr>
          <w:rFonts w:ascii="標楷體" w:eastAsia="標楷體" w:hAnsi="標楷體"/>
          <w:color w:val="000000"/>
        </w:rPr>
      </w:pPr>
      <w:r w:rsidRPr="00275C39">
        <w:rPr>
          <w:rFonts w:ascii="標楷體" w:eastAsia="標楷體" w:hAnsi="標楷體"/>
          <w:color w:val="000000"/>
        </w:rPr>
        <w:t>2.限與chlorambucil併用於治療先前未曾接受過治療，且具有合併症(comorbidities)而不適合接受含 fludarabine治療的CD20陽性慢性淋巴球性白血病（CLL）患者。（113/2/1）</w:t>
      </w:r>
    </w:p>
    <w:p w:rsidR="00275C39" w:rsidRPr="00275C39" w:rsidRDefault="00275C39" w:rsidP="00347CE0">
      <w:pPr>
        <w:spacing w:line="400" w:lineRule="exact"/>
        <w:ind w:left="1276" w:hanging="425"/>
        <w:rPr>
          <w:rFonts w:ascii="標楷體" w:eastAsia="標楷體" w:hAnsi="標楷體"/>
          <w:color w:val="000000"/>
        </w:rPr>
      </w:pPr>
      <w:r w:rsidRPr="00275C39">
        <w:rPr>
          <w:rFonts w:ascii="標楷體" w:eastAsia="標楷體" w:hAnsi="標楷體"/>
          <w:color w:val="000000"/>
        </w:rPr>
        <w:t>(1)Rai Stage Ⅲ/Ⅳ(或Binet C級)之CLL病人。若用於Rai StageⅠ/Ⅱ(或Binet A/B級)併有疾病相關免疫性症候(如自體免疫性溶血、免疫性血小板低下紫瘢症等)的病人時，需符合具有CD20陽性。</w:t>
      </w:r>
    </w:p>
    <w:p w:rsidR="00275C39" w:rsidRPr="00275C39" w:rsidRDefault="00275C39" w:rsidP="00347CE0">
      <w:pPr>
        <w:spacing w:line="400" w:lineRule="exact"/>
        <w:ind w:left="993" w:hanging="142"/>
        <w:rPr>
          <w:rFonts w:ascii="標楷體" w:eastAsia="標楷體" w:hAnsi="標楷體"/>
          <w:color w:val="000000"/>
        </w:rPr>
      </w:pPr>
      <w:r w:rsidRPr="00275C39">
        <w:rPr>
          <w:rFonts w:ascii="標楷體" w:eastAsia="標楷體" w:hAnsi="標楷體"/>
          <w:color w:val="000000"/>
        </w:rPr>
        <w:t>(2)需經事前審查核准後使用，首次申請限6個療程(共8次治療)。</w:t>
      </w:r>
    </w:p>
    <w:p w:rsidR="00275C39" w:rsidRPr="00275C39" w:rsidRDefault="00275C39" w:rsidP="00347CE0">
      <w:pPr>
        <w:spacing w:line="400" w:lineRule="exact"/>
        <w:ind w:left="993" w:hanging="142"/>
        <w:rPr>
          <w:rFonts w:ascii="標楷體" w:eastAsia="標楷體" w:hAnsi="標楷體"/>
          <w:color w:val="000000"/>
        </w:rPr>
      </w:pPr>
      <w:r w:rsidRPr="00275C39">
        <w:rPr>
          <w:rFonts w:ascii="標楷體" w:eastAsia="標楷體" w:hAnsi="標楷體"/>
          <w:color w:val="000000"/>
        </w:rPr>
        <w:t>(3)病患曾使用本藥物後再復發或惡化時，不得再申請使用。</w:t>
      </w:r>
    </w:p>
    <w:p w:rsidR="00275C39" w:rsidRPr="00275C39" w:rsidRDefault="00275C39" w:rsidP="00347CE0">
      <w:pPr>
        <w:spacing w:line="400" w:lineRule="exact"/>
        <w:ind w:left="851" w:hanging="244"/>
        <w:rPr>
          <w:rFonts w:ascii="標楷體" w:eastAsia="標楷體" w:hAnsi="標楷體"/>
          <w:color w:val="000000"/>
        </w:rPr>
      </w:pPr>
      <w:r w:rsidRPr="00275C39">
        <w:rPr>
          <w:rFonts w:ascii="標楷體" w:eastAsia="標楷體" w:hAnsi="標楷體" w:hint="eastAsia"/>
          <w:color w:val="000000"/>
        </w:rPr>
        <w:t>3.</w:t>
      </w:r>
      <w:r w:rsidRPr="00275C39">
        <w:rPr>
          <w:rFonts w:ascii="標楷體" w:eastAsia="標楷體" w:hAnsi="標楷體"/>
          <w:color w:val="000000"/>
        </w:rPr>
        <w:t>限與zanubrutinib併用，治療先前曾接受至少兩線(每線至少4個療程)全身性治療無效或復發的濾泡性淋巴瘤成人病人。(</w:t>
      </w:r>
      <w:r w:rsidRPr="00275C39">
        <w:rPr>
          <w:rFonts w:ascii="標楷體" w:eastAsia="標楷體" w:hAnsi="標楷體" w:hint="eastAsia"/>
          <w:color w:val="000000"/>
        </w:rPr>
        <w:t>114</w:t>
      </w:r>
      <w:r w:rsidRPr="00275C39">
        <w:rPr>
          <w:rFonts w:ascii="標楷體" w:eastAsia="標楷體" w:hAnsi="標楷體"/>
          <w:color w:val="000000"/>
        </w:rPr>
        <w:t>/</w:t>
      </w:r>
      <w:r w:rsidRPr="00275C39">
        <w:rPr>
          <w:rFonts w:ascii="標楷體" w:eastAsia="標楷體" w:hAnsi="標楷體" w:hint="eastAsia"/>
          <w:color w:val="000000"/>
        </w:rPr>
        <w:t>8</w:t>
      </w:r>
      <w:r w:rsidRPr="00275C39">
        <w:rPr>
          <w:rFonts w:ascii="標楷體" w:eastAsia="標楷體" w:hAnsi="標楷體"/>
          <w:color w:val="000000"/>
        </w:rPr>
        <w:t>/1)</w:t>
      </w:r>
    </w:p>
    <w:p w:rsidR="00275C39" w:rsidRPr="00275C39" w:rsidRDefault="00275C39" w:rsidP="00347CE0">
      <w:pPr>
        <w:spacing w:line="400" w:lineRule="exact"/>
        <w:ind w:left="1276" w:hanging="425"/>
        <w:rPr>
          <w:rFonts w:ascii="標楷體" w:eastAsia="標楷體" w:hAnsi="標楷體"/>
          <w:color w:val="000000"/>
        </w:rPr>
      </w:pPr>
      <w:r w:rsidRPr="00275C39">
        <w:rPr>
          <w:rFonts w:ascii="標楷體" w:eastAsia="標楷體" w:hAnsi="標楷體" w:hint="eastAsia"/>
          <w:color w:val="000000"/>
        </w:rPr>
        <w:t>(1)</w:t>
      </w:r>
      <w:r w:rsidRPr="00275C39">
        <w:rPr>
          <w:rFonts w:ascii="標楷體" w:eastAsia="標楷體" w:hAnsi="標楷體"/>
          <w:color w:val="000000"/>
        </w:rPr>
        <w:t>需曾接受過至少一種anti-CD20 monoclonal antibody及一種靜脈注射型之alkylating agent治療。</w:t>
      </w:r>
    </w:p>
    <w:p w:rsidR="00275C39" w:rsidRPr="00275C39" w:rsidRDefault="00275C39" w:rsidP="00347CE0">
      <w:pPr>
        <w:spacing w:line="400" w:lineRule="exact"/>
        <w:ind w:left="1276" w:hanging="425"/>
        <w:rPr>
          <w:rFonts w:ascii="標楷體" w:eastAsia="標楷體" w:hAnsi="標楷體"/>
          <w:color w:val="000000"/>
        </w:rPr>
      </w:pPr>
      <w:r w:rsidRPr="00275C39">
        <w:rPr>
          <w:rFonts w:ascii="標楷體" w:eastAsia="標楷體" w:hAnsi="標楷體" w:hint="eastAsia"/>
          <w:color w:val="000000"/>
        </w:rPr>
        <w:t>(2)</w:t>
      </w:r>
      <w:r w:rsidRPr="00275C39">
        <w:rPr>
          <w:rFonts w:ascii="標楷體" w:eastAsia="標楷體" w:hAnsi="標楷體"/>
          <w:color w:val="000000"/>
        </w:rPr>
        <w:t>需符合WHO 淋巴瘤分類為I、II或IIIa期的診斷。</w:t>
      </w:r>
    </w:p>
    <w:p w:rsidR="00275C39" w:rsidRPr="00275C39" w:rsidRDefault="00275C39" w:rsidP="00347CE0">
      <w:pPr>
        <w:spacing w:line="400" w:lineRule="exact"/>
        <w:ind w:left="1276" w:hanging="425"/>
        <w:rPr>
          <w:rFonts w:ascii="標楷體" w:eastAsia="標楷體" w:hAnsi="標楷體"/>
          <w:color w:val="000000"/>
        </w:rPr>
      </w:pPr>
      <w:r w:rsidRPr="00275C39">
        <w:rPr>
          <w:rFonts w:ascii="標楷體" w:eastAsia="標楷體" w:hAnsi="標楷體" w:hint="eastAsia"/>
          <w:color w:val="000000"/>
        </w:rPr>
        <w:t>(3)</w:t>
      </w:r>
      <w:r w:rsidRPr="00275C39">
        <w:rPr>
          <w:rFonts w:ascii="標楷體" w:eastAsia="標楷體" w:hAnsi="標楷體"/>
          <w:color w:val="000000"/>
        </w:rPr>
        <w:t>開始使用前之疾病狀態需出現下列任一情形：</w:t>
      </w:r>
    </w:p>
    <w:p w:rsidR="00347CE0" w:rsidRDefault="00275C39" w:rsidP="00347CE0">
      <w:pPr>
        <w:numPr>
          <w:ilvl w:val="0"/>
          <w:numId w:val="32"/>
        </w:numPr>
        <w:spacing w:line="400" w:lineRule="exact"/>
        <w:ind w:leftChars="472" w:left="1272" w:hangingChars="58" w:hanging="139"/>
        <w:rPr>
          <w:rFonts w:ascii="標楷體" w:eastAsia="標楷體" w:hAnsi="標楷體" w:cs="BiauKai"/>
          <w:szCs w:val="24"/>
        </w:rPr>
      </w:pPr>
      <w:r w:rsidRPr="00275C39">
        <w:rPr>
          <w:rFonts w:ascii="標楷體" w:eastAsia="標楷體" w:hAnsi="標楷體" w:cs="BiauKai"/>
          <w:szCs w:val="24"/>
        </w:rPr>
        <w:t>有單一腫瘤直徑7公分以上者；</w:t>
      </w:r>
    </w:p>
    <w:p w:rsidR="00275C39" w:rsidRPr="00347CE0" w:rsidRDefault="00275C39" w:rsidP="00347CE0">
      <w:pPr>
        <w:numPr>
          <w:ilvl w:val="0"/>
          <w:numId w:val="32"/>
        </w:numPr>
        <w:spacing w:line="400" w:lineRule="exact"/>
        <w:ind w:leftChars="353" w:left="847" w:firstLineChars="60" w:firstLine="144"/>
        <w:rPr>
          <w:rFonts w:ascii="標楷體" w:eastAsia="標楷體" w:hAnsi="標楷體" w:cs="BiauKai"/>
          <w:szCs w:val="24"/>
        </w:rPr>
      </w:pPr>
      <w:r w:rsidRPr="00347CE0">
        <w:rPr>
          <w:rFonts w:ascii="標楷體" w:eastAsia="標楷體" w:hAnsi="標楷體" w:cs="BiauKai"/>
          <w:szCs w:val="24"/>
        </w:rPr>
        <w:t>有三顆以上之腫瘤其直徑大於3公分以上者；</w:t>
      </w:r>
    </w:p>
    <w:p w:rsidR="00275C39" w:rsidRPr="00275C39" w:rsidRDefault="00275C39" w:rsidP="00347CE0">
      <w:pPr>
        <w:numPr>
          <w:ilvl w:val="0"/>
          <w:numId w:val="35"/>
        </w:numPr>
        <w:spacing w:line="400" w:lineRule="exact"/>
        <w:rPr>
          <w:rFonts w:ascii="標楷體" w:eastAsia="標楷體" w:hAnsi="標楷體" w:cs="BiauKai"/>
          <w:szCs w:val="24"/>
        </w:rPr>
      </w:pPr>
      <w:r w:rsidRPr="00275C39">
        <w:rPr>
          <w:rFonts w:ascii="標楷體" w:eastAsia="標楷體" w:hAnsi="標楷體" w:cs="BiauKai"/>
          <w:szCs w:val="24"/>
        </w:rPr>
        <w:t>脾臟腫大，其長度16公分以上者；</w:t>
      </w:r>
    </w:p>
    <w:p w:rsidR="00275C39" w:rsidRPr="00275C39" w:rsidRDefault="00275C39" w:rsidP="00347CE0">
      <w:pPr>
        <w:numPr>
          <w:ilvl w:val="0"/>
          <w:numId w:val="35"/>
        </w:numPr>
        <w:spacing w:line="400" w:lineRule="exact"/>
        <w:rPr>
          <w:rFonts w:ascii="標楷體" w:eastAsia="標楷體" w:hAnsi="標楷體" w:cs="BiauKai"/>
          <w:szCs w:val="24"/>
        </w:rPr>
      </w:pPr>
      <w:r w:rsidRPr="00275C39">
        <w:rPr>
          <w:rFonts w:ascii="標楷體" w:eastAsia="標楷體" w:hAnsi="標楷體" w:cs="BiauKai"/>
          <w:szCs w:val="24"/>
        </w:rPr>
        <w:t>對vitalorgans造成擠壓者；</w:t>
      </w:r>
    </w:p>
    <w:p w:rsidR="00347CE0" w:rsidRDefault="00275C39" w:rsidP="00347CE0">
      <w:pPr>
        <w:numPr>
          <w:ilvl w:val="0"/>
          <w:numId w:val="37"/>
        </w:numPr>
        <w:spacing w:line="400" w:lineRule="exact"/>
        <w:rPr>
          <w:rFonts w:ascii="標楷體" w:eastAsia="標楷體" w:hAnsi="標楷體" w:cs="BiauKai"/>
          <w:szCs w:val="24"/>
        </w:rPr>
      </w:pPr>
      <w:r w:rsidRPr="00275C39">
        <w:rPr>
          <w:rFonts w:ascii="標楷體" w:eastAsia="標楷體" w:hAnsi="標楷體" w:cs="BiauKai"/>
          <w:szCs w:val="24"/>
        </w:rPr>
        <w:t>周邊血中出現淋巴球增生超過5000/mm</w:t>
      </w:r>
      <w:r w:rsidRPr="00347CE0">
        <w:rPr>
          <w:rFonts w:ascii="標楷體" w:eastAsia="標楷體" w:hAnsi="標楷體" w:cs="BiauKai"/>
          <w:szCs w:val="24"/>
        </w:rPr>
        <w:t>3</w:t>
      </w:r>
      <w:r w:rsidRPr="00275C39">
        <w:rPr>
          <w:rFonts w:ascii="標楷體" w:eastAsia="標楷體" w:hAnsi="標楷體" w:cs="BiauKai"/>
          <w:szCs w:val="24"/>
        </w:rPr>
        <w:t>者；</w:t>
      </w:r>
    </w:p>
    <w:p w:rsidR="00275C39" w:rsidRPr="00347CE0" w:rsidRDefault="00275C39" w:rsidP="00347CE0">
      <w:pPr>
        <w:numPr>
          <w:ilvl w:val="0"/>
          <w:numId w:val="36"/>
        </w:numPr>
        <w:spacing w:line="400" w:lineRule="exact"/>
        <w:rPr>
          <w:rFonts w:ascii="標楷體" w:eastAsia="標楷體" w:hAnsi="標楷體" w:cs="BiauKai"/>
          <w:szCs w:val="24"/>
        </w:rPr>
      </w:pPr>
      <w:r w:rsidRPr="00347CE0">
        <w:rPr>
          <w:rFonts w:ascii="標楷體" w:eastAsia="標楷體" w:hAnsi="標楷體" w:cs="BiauKai"/>
          <w:szCs w:val="24"/>
        </w:rPr>
        <w:t>出現任一系列血球低下者（platelet&lt;100,000/ mm3，或 Hb&lt;10gm/dL，或absolute neutrophil count&lt;1500/ mm3)。</w:t>
      </w:r>
    </w:p>
    <w:p w:rsidR="00275C39" w:rsidRPr="00275C39" w:rsidRDefault="00275C39" w:rsidP="00347CE0">
      <w:pPr>
        <w:numPr>
          <w:ilvl w:val="0"/>
          <w:numId w:val="36"/>
        </w:numPr>
        <w:spacing w:line="400" w:lineRule="exact"/>
        <w:rPr>
          <w:rFonts w:ascii="標楷體" w:eastAsia="標楷體" w:hAnsi="標楷體" w:cs="BiauKai"/>
          <w:szCs w:val="24"/>
        </w:rPr>
      </w:pPr>
      <w:r w:rsidRPr="00275C39">
        <w:rPr>
          <w:rFonts w:ascii="標楷體" w:eastAsia="標楷體" w:hAnsi="標楷體" w:cs="BiauKai"/>
          <w:szCs w:val="24"/>
        </w:rPr>
        <w:t>B symptoms。</w:t>
      </w:r>
    </w:p>
    <w:p w:rsidR="00275C39" w:rsidRPr="00275C39" w:rsidRDefault="00275C39" w:rsidP="00347CE0">
      <w:pPr>
        <w:spacing w:line="400" w:lineRule="exact"/>
        <w:ind w:left="1276" w:hanging="425"/>
        <w:rPr>
          <w:rFonts w:ascii="標楷體" w:eastAsia="標楷體" w:hAnsi="標楷體"/>
          <w:color w:val="000000"/>
        </w:rPr>
      </w:pPr>
      <w:r w:rsidRPr="00275C39">
        <w:rPr>
          <w:rFonts w:ascii="標楷體" w:eastAsia="標楷體" w:hAnsi="標楷體" w:hint="eastAsia"/>
          <w:color w:val="000000"/>
        </w:rPr>
        <w:t>(4)</w:t>
      </w:r>
      <w:r w:rsidRPr="00275C39">
        <w:rPr>
          <w:rFonts w:ascii="標楷體" w:eastAsia="標楷體" w:hAnsi="標楷體"/>
          <w:color w:val="000000"/>
        </w:rPr>
        <w:t>需經事前審查核准後使用，每3 個月需再次申請，再次申請時需檢附療效評估資料，若未達partial remission或 complete remission，則不予給付。</w:t>
      </w:r>
    </w:p>
    <w:p w:rsidR="00275C39" w:rsidRPr="00275C39" w:rsidRDefault="00275C39" w:rsidP="00347CE0">
      <w:pPr>
        <w:spacing w:line="400" w:lineRule="exact"/>
        <w:ind w:left="1276" w:hanging="425"/>
        <w:rPr>
          <w:rFonts w:ascii="標楷體" w:eastAsia="標楷體" w:hAnsi="標楷體"/>
          <w:color w:val="000000"/>
        </w:rPr>
      </w:pPr>
      <w:r w:rsidRPr="00275C39">
        <w:rPr>
          <w:rFonts w:ascii="標楷體" w:eastAsia="標楷體" w:hAnsi="標楷體" w:hint="eastAsia"/>
          <w:color w:val="000000"/>
        </w:rPr>
        <w:t>(5)</w:t>
      </w:r>
      <w:r w:rsidRPr="00275C39">
        <w:rPr>
          <w:rFonts w:ascii="標楷體" w:eastAsia="標楷體" w:hAnsi="標楷體"/>
          <w:color w:val="000000"/>
        </w:rPr>
        <w:t>總療程以全部24個月為上限。Obinutuzumab總療程以給付18支為限。</w:t>
      </w:r>
    </w:p>
    <w:p w:rsidR="00B96EA0" w:rsidRDefault="00275C39" w:rsidP="00347CE0">
      <w:pPr>
        <w:spacing w:line="400" w:lineRule="exact"/>
        <w:ind w:left="851" w:hanging="244"/>
        <w:rPr>
          <w:rFonts w:ascii="標楷體" w:eastAsia="標楷體" w:hAnsi="標楷體"/>
          <w:color w:val="000000"/>
        </w:rPr>
      </w:pPr>
      <w:r w:rsidRPr="00275C39">
        <w:rPr>
          <w:rFonts w:ascii="標楷體" w:eastAsia="標楷體" w:hAnsi="標楷體" w:hint="eastAsia"/>
          <w:color w:val="000000"/>
        </w:rPr>
        <w:t>4.限以obinutuzumab 1,000mg作為glofitamab用於治療先前曾接受至少兩線全身治療之復發性或難治性瀰漫性大B細胞淋巴瘤 (DLBCL) 的成人病人之前置治療，需與glofitamab首次治療同時申請事前審查並經核准後使用。(114/8/1）</w:t>
      </w:r>
      <w:bookmarkEnd w:id="31"/>
    </w:p>
    <w:p w:rsidR="00B96EA0" w:rsidRDefault="007D66B8" w:rsidP="005142EB">
      <w:pPr>
        <w:spacing w:line="400" w:lineRule="exact"/>
        <w:ind w:left="567" w:hanging="283"/>
        <w:rPr>
          <w:rFonts w:ascii="標楷體" w:eastAsia="標楷體" w:hAnsi="標楷體"/>
          <w:color w:val="000000"/>
        </w:rPr>
      </w:pPr>
      <w:r>
        <w:rPr>
          <w:rFonts w:ascii="標楷體" w:eastAsia="標楷體" w:hAnsi="標楷體"/>
          <w:color w:val="000000"/>
        </w:rPr>
        <w:t>9.80.Osimertinib (如Tagrisso)：(109/4/1、109/6/1、109/10/1、111/4/1、113/6/1、113/10/1)</w:t>
      </w:r>
    </w:p>
    <w:p w:rsidR="00B96EA0" w:rsidRDefault="007D66B8" w:rsidP="005142EB">
      <w:pPr>
        <w:spacing w:line="400" w:lineRule="exact"/>
        <w:ind w:left="993" w:hanging="280"/>
        <w:rPr>
          <w:rFonts w:ascii="標楷體" w:eastAsia="標楷體" w:hAnsi="標楷體"/>
          <w:color w:val="000000"/>
        </w:rPr>
      </w:pPr>
      <w:r>
        <w:rPr>
          <w:rFonts w:ascii="標楷體" w:eastAsia="標楷體" w:hAnsi="標楷體"/>
          <w:color w:val="000000"/>
        </w:rPr>
        <w:t>1.限單獨使用於：</w:t>
      </w:r>
    </w:p>
    <w:p w:rsidR="00B96EA0" w:rsidRDefault="007D66B8" w:rsidP="005142EB">
      <w:pPr>
        <w:spacing w:line="400" w:lineRule="exact"/>
        <w:ind w:left="1418" w:hanging="423"/>
      </w:pPr>
      <w:r>
        <w:rPr>
          <w:rFonts w:ascii="標楷體" w:eastAsia="標楷體" w:hAnsi="標楷體"/>
          <w:color w:val="000000"/>
        </w:rPr>
        <w:lastRenderedPageBreak/>
        <w:t>(1)</w:t>
      </w:r>
      <w:r>
        <w:t xml:space="preserve"> </w:t>
      </w:r>
      <w:r>
        <w:rPr>
          <w:rFonts w:ascii="標楷體" w:eastAsia="標楷體" w:hAnsi="標楷體"/>
          <w:color w:val="000000"/>
        </w:rPr>
        <w:t>具有EGFR Exon 19 Del或Exon 21 L858R基因突變之局部侵犯性或轉移性（即為IIIB、IIIC期或第Ⅳ期）肺腺癌病患之第一線治療。 (111/4/1、113/10/1)</w:t>
      </w:r>
    </w:p>
    <w:p w:rsidR="00B96EA0" w:rsidRDefault="007D66B8" w:rsidP="005142EB">
      <w:pPr>
        <w:spacing w:line="400" w:lineRule="exact"/>
        <w:ind w:left="1418" w:hanging="426"/>
        <w:rPr>
          <w:rFonts w:ascii="標楷體" w:eastAsia="標楷體" w:hAnsi="標楷體"/>
          <w:color w:val="000000"/>
        </w:rPr>
      </w:pPr>
      <w:r>
        <w:rPr>
          <w:rFonts w:ascii="標楷體" w:eastAsia="標楷體" w:hAnsi="標楷體"/>
          <w:color w:val="000000"/>
        </w:rPr>
        <w:t>(2)先前已使用過EGFR標靶藥物gefitinib、erlotinib、afatinib或dacomitinib治療失敗，且具有EGFR　T790M基因突變之局部侵犯性或轉移性之非小細胞肺癌之第二線治療。(109/10/1）</w:t>
      </w:r>
    </w:p>
    <w:p w:rsidR="00B96EA0" w:rsidRDefault="007D66B8" w:rsidP="005142EB">
      <w:pPr>
        <w:spacing w:line="400" w:lineRule="exact"/>
        <w:ind w:left="709"/>
      </w:pPr>
      <w:r>
        <w:rPr>
          <w:rFonts w:ascii="標楷體" w:eastAsia="標楷體" w:hAnsi="標楷體"/>
          <w:color w:val="000000"/>
        </w:rPr>
        <w:t>2.使用注意事項：(109/10/1</w:t>
      </w:r>
      <w:r>
        <w:rPr>
          <w:rFonts w:ascii="新細明體" w:hAnsi="新細明體"/>
          <w:color w:val="000000"/>
        </w:rPr>
        <w:t>、</w:t>
      </w:r>
      <w:r>
        <w:rPr>
          <w:rFonts w:ascii="標楷體" w:eastAsia="標楷體" w:hAnsi="標楷體"/>
          <w:color w:val="000000"/>
        </w:rPr>
        <w:t>111/4/1、113/6/1、113/10/1）</w:t>
      </w:r>
    </w:p>
    <w:p w:rsidR="00B96EA0" w:rsidRDefault="007D66B8" w:rsidP="005142EB">
      <w:pPr>
        <w:spacing w:line="400" w:lineRule="exact"/>
        <w:ind w:left="426"/>
        <w:rPr>
          <w:rFonts w:ascii="標楷體" w:eastAsia="標楷體" w:hAnsi="標楷體"/>
          <w:color w:val="000000"/>
        </w:rPr>
      </w:pPr>
      <w:r>
        <w:rPr>
          <w:rFonts w:ascii="標楷體" w:eastAsia="標楷體" w:hAnsi="標楷體"/>
          <w:color w:val="000000"/>
        </w:rPr>
        <w:t>(1)須經事前審查核准後使用：</w:t>
      </w:r>
    </w:p>
    <w:p w:rsidR="00B96EA0" w:rsidRDefault="007D66B8" w:rsidP="005142EB">
      <w:pPr>
        <w:tabs>
          <w:tab w:val="left" w:pos="851"/>
        </w:tabs>
        <w:spacing w:line="400" w:lineRule="exact"/>
        <w:ind w:left="1133" w:hanging="425"/>
        <w:rPr>
          <w:rFonts w:ascii="標楷體" w:eastAsia="標楷體" w:hAnsi="標楷體"/>
          <w:color w:val="000000"/>
        </w:rPr>
      </w:pPr>
      <w:r>
        <w:rPr>
          <w:rFonts w:ascii="標楷體" w:eastAsia="標楷體" w:hAnsi="標楷體"/>
          <w:color w:val="000000"/>
        </w:rPr>
        <w:t>I.每次申請事前審查之療程以三個月為限，每三個月需再次申請。</w:t>
      </w:r>
    </w:p>
    <w:p w:rsidR="00B96EA0" w:rsidRDefault="007D66B8" w:rsidP="005142EB">
      <w:pPr>
        <w:tabs>
          <w:tab w:val="left" w:pos="1185"/>
        </w:tabs>
        <w:spacing w:line="400" w:lineRule="exact"/>
        <w:ind w:left="991" w:hanging="425"/>
        <w:rPr>
          <w:rFonts w:ascii="標楷體" w:eastAsia="標楷體" w:hAnsi="標楷體"/>
          <w:color w:val="000000"/>
        </w:rPr>
      </w:pPr>
      <w:r>
        <w:rPr>
          <w:rFonts w:ascii="標楷體" w:eastAsia="標楷體" w:hAnsi="標楷體"/>
          <w:color w:val="000000"/>
        </w:rPr>
        <w:t>II.初次申請時需檢具確實患有肺腺癌或非小細胞肺癌之病理或細胞檢查報告，及檢附EGFR基因檢測結果報告，且需符合全民健康保險藥品給付規定之通則十二。(113/6/1、113/10/1)</w:t>
      </w:r>
    </w:p>
    <w:p w:rsidR="00B96EA0" w:rsidRDefault="007D66B8" w:rsidP="005142EB">
      <w:pPr>
        <w:tabs>
          <w:tab w:val="left" w:pos="1185"/>
        </w:tabs>
        <w:spacing w:line="400" w:lineRule="exact"/>
        <w:ind w:left="991" w:hanging="425"/>
        <w:rPr>
          <w:rFonts w:ascii="標楷體" w:eastAsia="標楷體" w:hAnsi="標楷體"/>
          <w:color w:val="000000"/>
        </w:rPr>
      </w:pPr>
      <w:r>
        <w:rPr>
          <w:rFonts w:ascii="標楷體" w:eastAsia="標楷體" w:hAnsi="標楷體"/>
          <w:color w:val="000000"/>
        </w:rPr>
        <w:t>III.再次申請時需附上治療後相關臨床資料（如：影像學）證實無惡化，才可繼續使用。每次處方以4週為限，如給藥4週後需追蹤胸部X光或電腦斷層等影像檢查評估療效，每8至12週需進行完整療效評估(如胸部X光或電腦斷層)，若病情惡化、復發或產生不可接受之毒性，即不得再次申請。</w:t>
      </w:r>
    </w:p>
    <w:p w:rsidR="00B96EA0" w:rsidRDefault="007D66B8" w:rsidP="005142EB">
      <w:pPr>
        <w:spacing w:line="400" w:lineRule="exact"/>
        <w:ind w:left="993" w:hanging="567"/>
        <w:rPr>
          <w:rFonts w:ascii="標楷體" w:eastAsia="標楷體" w:hAnsi="標楷體"/>
          <w:color w:val="000000"/>
          <w:szCs w:val="28"/>
        </w:rPr>
      </w:pPr>
      <w:r>
        <w:rPr>
          <w:rFonts w:ascii="標楷體" w:eastAsia="標楷體" w:hAnsi="標楷體"/>
          <w:color w:val="000000"/>
          <w:szCs w:val="28"/>
        </w:rPr>
        <w:t>(2)用於第一線治療用藥：與gefitinib、erlotinib、afatinib及dacomitinib僅得擇一使用，除因耐受性不良，不得互換。如需更換使用本藥品，必須符合本藥品具有EGFR Exon 19 Del或Exon 21 L858R基因突變之局部侵犯性或轉移性（即為IIIB、IIIC期或第Ⅳ期）肺腺癌病患。(109/6/1、111/4/1、113/10/1)</w:t>
      </w:r>
    </w:p>
    <w:p w:rsidR="00B96EA0" w:rsidRDefault="007D66B8" w:rsidP="005142EB">
      <w:pPr>
        <w:spacing w:line="400" w:lineRule="exact"/>
        <w:ind w:left="993" w:hanging="567"/>
        <w:rPr>
          <w:rFonts w:ascii="標楷體" w:eastAsia="標楷體" w:hAnsi="標楷體"/>
          <w:color w:val="000000"/>
          <w:szCs w:val="28"/>
        </w:rPr>
      </w:pPr>
      <w:r>
        <w:rPr>
          <w:rFonts w:ascii="標楷體" w:eastAsia="標楷體" w:hAnsi="標楷體"/>
          <w:color w:val="000000"/>
          <w:szCs w:val="28"/>
        </w:rPr>
        <w:t>(3)用於第二線治療用藥：須符合本藥品具有EGFR T790M基因突變，及檢附曾經接受gefitinib、erlotinib、afatinib或dacomitinib治療之證明，以及目前又有疾病惡化之影像診斷證明（如胸部X光、電腦斷層或其他可作為評估的影像），此影像證明以可測量（measurable）的病灶為優先，如沒有可以測量的病灶，則可評估（evaluable）的病灶亦可採用。 (109/10/1、113/10/1)</w:t>
      </w:r>
    </w:p>
    <w:p w:rsidR="00B96EA0" w:rsidRDefault="007D66B8" w:rsidP="005142EB">
      <w:pPr>
        <w:spacing w:line="400" w:lineRule="exact"/>
        <w:ind w:left="709" w:hanging="283"/>
      </w:pPr>
      <w:r>
        <w:rPr>
          <w:rFonts w:ascii="標楷體" w:eastAsia="標楷體" w:hAnsi="標楷體"/>
          <w:color w:val="000000"/>
          <w:szCs w:val="28"/>
        </w:rPr>
        <w:t>(4)每日限用1粒。</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9.81.Lorlatinib (如Lorviqua)：(109/6/1、112/11/1、113/4/1、113/6/1)</w:t>
      </w:r>
    </w:p>
    <w:p w:rsidR="00B96EA0" w:rsidRDefault="007D66B8" w:rsidP="005142EB">
      <w:pPr>
        <w:spacing w:line="400" w:lineRule="exact"/>
        <w:ind w:left="991" w:hanging="283"/>
        <w:rPr>
          <w:rFonts w:ascii="標楷體" w:eastAsia="標楷體" w:hAnsi="標楷體"/>
          <w:color w:val="000000"/>
        </w:rPr>
      </w:pPr>
      <w:r>
        <w:rPr>
          <w:rFonts w:ascii="標楷體" w:eastAsia="標楷體" w:hAnsi="標楷體"/>
          <w:color w:val="000000"/>
        </w:rPr>
        <w:t>1.適用於ALK陽性的晚期非小細胞肺癌第一線治療。(112/11/1)</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(1)須經事前審查核准後使用：</w:t>
      </w:r>
    </w:p>
    <w:p w:rsidR="00B96EA0" w:rsidRDefault="007D66B8" w:rsidP="005142EB">
      <w:pPr>
        <w:spacing w:line="400" w:lineRule="exact"/>
        <w:ind w:left="1432" w:hanging="340"/>
        <w:rPr>
          <w:rFonts w:ascii="標楷體" w:eastAsia="標楷體" w:hAnsi="標楷體"/>
          <w:color w:val="000000"/>
        </w:rPr>
      </w:pPr>
      <w:r>
        <w:rPr>
          <w:rFonts w:ascii="標楷體" w:eastAsia="標楷體" w:hAnsi="標楷體"/>
          <w:color w:val="000000"/>
        </w:rPr>
        <w:t>I.每次申請事前審查之療程以三個月為限，每三個月需再次申請。</w:t>
      </w:r>
    </w:p>
    <w:p w:rsidR="00B96EA0" w:rsidRDefault="007D66B8" w:rsidP="005142EB">
      <w:pPr>
        <w:spacing w:line="400" w:lineRule="exact"/>
        <w:ind w:left="1432" w:hanging="340"/>
        <w:rPr>
          <w:rFonts w:ascii="標楷體" w:eastAsia="標楷體" w:hAnsi="標楷體"/>
          <w:color w:val="000000"/>
        </w:rPr>
      </w:pPr>
      <w:r>
        <w:rPr>
          <w:rFonts w:ascii="標楷體" w:eastAsia="標楷體" w:hAnsi="標楷體"/>
          <w:color w:val="000000"/>
        </w:rPr>
        <w:t>II.初次申請時需檢具確實患有非小細胞肺癌之病理或細胞檢查報告，及ALK突變檢測報告且需符合全民健康保險藥品給付規定之通則十二。</w:t>
      </w:r>
    </w:p>
    <w:p w:rsidR="00B96EA0" w:rsidRDefault="007D66B8" w:rsidP="005142EB">
      <w:pPr>
        <w:spacing w:line="400" w:lineRule="exact"/>
        <w:ind w:left="1432" w:hanging="340"/>
        <w:rPr>
          <w:rFonts w:ascii="標楷體" w:eastAsia="標楷體" w:hAnsi="標楷體"/>
          <w:color w:val="000000"/>
        </w:rPr>
      </w:pPr>
      <w:r>
        <w:rPr>
          <w:rFonts w:ascii="標楷體" w:eastAsia="標楷體" w:hAnsi="標楷體"/>
          <w:color w:val="000000"/>
        </w:rPr>
        <w:t>III.再次申請時並需附上治療後相關臨床資料，如給藥4週後，需追蹤胸部X光或電腦斷層等影像檢查評估療效，往後每4週做胸部X光檢查，每3個月需追蹤其作為評估藥效的影像（如胸部X光或電腦斷層），若病情惡化即不得再次申請。</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lastRenderedPageBreak/>
        <w:t>(2)Lorlatinib與alectinib、ceritinib、crizotinib、brigatinib用於ALK陽性之晚期非小細胞肺癌第一線治療時，僅得擇一使用，除因病人使用後，發生嚴重不良反應或耐受不良之情形外，不得互換。</w:t>
      </w:r>
    </w:p>
    <w:p w:rsidR="00B96EA0" w:rsidRDefault="007D66B8" w:rsidP="005142EB">
      <w:pPr>
        <w:spacing w:line="400" w:lineRule="exact"/>
        <w:ind w:left="991" w:hanging="283"/>
        <w:rPr>
          <w:rFonts w:ascii="標楷體" w:eastAsia="標楷體" w:hAnsi="標楷體"/>
          <w:color w:val="000000"/>
        </w:rPr>
      </w:pPr>
      <w:r>
        <w:rPr>
          <w:rFonts w:ascii="標楷體" w:eastAsia="標楷體" w:hAnsi="標楷體"/>
          <w:color w:val="000000"/>
        </w:rPr>
        <w:t>2.適用於在ceritinib、alectinib或brigatinib治療中惡化之ALK陽性的晚期非小細胞肺癌患者。(109/6/1、112/11/1、113/4/1)</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(1)須經事前審查核准後使用。</w:t>
      </w:r>
    </w:p>
    <w:p w:rsidR="00B96EA0" w:rsidRDefault="007D66B8" w:rsidP="005142EB">
      <w:pPr>
        <w:spacing w:line="400" w:lineRule="exact"/>
        <w:ind w:left="1231" w:hanging="283"/>
        <w:rPr>
          <w:rFonts w:ascii="標楷體" w:eastAsia="標楷體" w:hAnsi="標楷體"/>
          <w:color w:val="000000"/>
        </w:rPr>
      </w:pPr>
      <w:r>
        <w:rPr>
          <w:rFonts w:ascii="標楷體" w:eastAsia="標楷體" w:hAnsi="標楷體"/>
          <w:color w:val="000000"/>
        </w:rPr>
        <w:t>(2)每次申請事前審查之療程以三個月為限，每三個月需再次申請，再次申請時並需附上治療後相關臨床資料，若病情惡化即不得再次申請。</w:t>
      </w:r>
    </w:p>
    <w:p w:rsidR="00B96EA0" w:rsidRDefault="007D66B8" w:rsidP="005142EB">
      <w:pPr>
        <w:spacing w:line="400" w:lineRule="exact"/>
        <w:ind w:left="567" w:hanging="283"/>
        <w:rPr>
          <w:rFonts w:ascii="標楷體" w:eastAsia="標楷體" w:hAnsi="標楷體"/>
          <w:color w:val="000000"/>
        </w:rPr>
      </w:pPr>
      <w:r>
        <w:rPr>
          <w:rFonts w:ascii="標楷體" w:eastAsia="標楷體" w:hAnsi="標楷體"/>
          <w:color w:val="000000"/>
        </w:rPr>
        <w:t>9.82.Brigatinib (如Alunbrig)：(109/8/1、111/8/1、112/11/1、113/6/1)</w:t>
      </w:r>
    </w:p>
    <w:p w:rsidR="00B96EA0" w:rsidRDefault="007D66B8" w:rsidP="005142EB">
      <w:pPr>
        <w:pStyle w:val="a9"/>
        <w:numPr>
          <w:ilvl w:val="0"/>
          <w:numId w:val="10"/>
        </w:numPr>
        <w:suppressAutoHyphens w:val="0"/>
        <w:spacing w:line="400" w:lineRule="exact"/>
        <w:ind w:left="992" w:hanging="284"/>
        <w:textAlignment w:val="auto"/>
      </w:pPr>
      <w:r>
        <w:rPr>
          <w:rFonts w:ascii="標楷體" w:eastAsia="標楷體" w:hAnsi="標楷體"/>
        </w:rPr>
        <w:t>適用</w:t>
      </w:r>
      <w:r>
        <w:rPr>
          <w:rFonts w:ascii="標楷體" w:eastAsia="標楷體" w:hAnsi="標楷體"/>
          <w:color w:val="000000"/>
        </w:rPr>
        <w:t>於ALK陽性的晚期非小細胞肺癌第一線治療。（111/8/1、113/6/1)</w:t>
      </w:r>
    </w:p>
    <w:p w:rsidR="00B96EA0" w:rsidRDefault="007D66B8" w:rsidP="005142EB">
      <w:pPr>
        <w:pStyle w:val="a9"/>
        <w:numPr>
          <w:ilvl w:val="1"/>
          <w:numId w:val="3"/>
        </w:numPr>
        <w:suppressAutoHyphens w:val="0"/>
        <w:spacing w:line="400" w:lineRule="exact"/>
        <w:ind w:left="1308"/>
        <w:textAlignment w:val="auto"/>
      </w:pPr>
      <w:r>
        <w:rPr>
          <w:rFonts w:ascii="標楷體" w:eastAsia="標楷體" w:hAnsi="標楷體"/>
          <w:color w:val="000000"/>
        </w:rPr>
        <w:t>需經</w:t>
      </w:r>
      <w:r>
        <w:rPr>
          <w:rFonts w:ascii="標楷體" w:eastAsia="標楷體" w:hAnsi="標楷體"/>
        </w:rPr>
        <w:t>事前</w:t>
      </w:r>
      <w:r>
        <w:rPr>
          <w:rFonts w:ascii="標楷體" w:eastAsia="標楷體" w:hAnsi="標楷體"/>
          <w:color w:val="000000"/>
        </w:rPr>
        <w:t>審查核准後使用：</w:t>
      </w:r>
    </w:p>
    <w:p w:rsidR="00B96EA0" w:rsidRDefault="007D66B8" w:rsidP="005142EB">
      <w:pPr>
        <w:pStyle w:val="a9"/>
        <w:numPr>
          <w:ilvl w:val="2"/>
          <w:numId w:val="10"/>
        </w:numPr>
        <w:suppressAutoHyphens w:val="0"/>
        <w:spacing w:line="400" w:lineRule="exact"/>
        <w:ind w:left="1680" w:hanging="564"/>
        <w:textAlignment w:val="auto"/>
        <w:rPr>
          <w:rFonts w:ascii="標楷體" w:eastAsia="標楷體" w:hAnsi="標楷體"/>
          <w:color w:val="000000"/>
        </w:rPr>
      </w:pPr>
      <w:r>
        <w:rPr>
          <w:rFonts w:ascii="標楷體" w:eastAsia="標楷體" w:hAnsi="標楷體"/>
          <w:color w:val="000000"/>
        </w:rPr>
        <w:t>每次申請事前審查之療程以3個月為限，每3個月需再次申請。</w:t>
      </w:r>
    </w:p>
    <w:p w:rsidR="00B96EA0" w:rsidRDefault="007D66B8" w:rsidP="005142EB">
      <w:pPr>
        <w:pStyle w:val="a9"/>
        <w:numPr>
          <w:ilvl w:val="2"/>
          <w:numId w:val="10"/>
        </w:numPr>
        <w:suppressAutoHyphens w:val="0"/>
        <w:spacing w:line="400" w:lineRule="exact"/>
        <w:ind w:left="1680" w:hanging="564"/>
        <w:textAlignment w:val="auto"/>
        <w:rPr>
          <w:rFonts w:ascii="標楷體" w:eastAsia="標楷體" w:hAnsi="標楷體"/>
          <w:color w:val="000000"/>
        </w:rPr>
      </w:pPr>
      <w:r>
        <w:rPr>
          <w:rFonts w:ascii="標楷體" w:eastAsia="標楷體" w:hAnsi="標楷體"/>
          <w:color w:val="000000"/>
        </w:rPr>
        <w:t>初次申請時需檢具確實患有非小細胞肺癌之病理或細胞檢查報告，及ALK突變檢測報告且需符合全民健康保險藥品給付規定之通則十二。</w:t>
      </w:r>
    </w:p>
    <w:p w:rsidR="00B96EA0" w:rsidRDefault="007D66B8" w:rsidP="005142EB">
      <w:pPr>
        <w:pStyle w:val="a9"/>
        <w:numPr>
          <w:ilvl w:val="2"/>
          <w:numId w:val="10"/>
        </w:numPr>
        <w:suppressAutoHyphens w:val="0"/>
        <w:spacing w:line="400" w:lineRule="exact"/>
        <w:ind w:left="1680" w:hanging="564"/>
        <w:textAlignment w:val="auto"/>
        <w:rPr>
          <w:rFonts w:ascii="標楷體" w:eastAsia="標楷體" w:hAnsi="標楷體"/>
          <w:color w:val="000000"/>
        </w:rPr>
      </w:pPr>
      <w:r>
        <w:rPr>
          <w:rFonts w:ascii="標楷體" w:eastAsia="標楷體" w:hAnsi="標楷體"/>
          <w:color w:val="000000"/>
        </w:rPr>
        <w:t>再次申請時並需附上治療後相關臨床資料，如給藥4週後，需追蹤胸部X光或電腦斷層等影像檢查評估療效，往後每4週做胸部X光檢查，每3個月需追蹤其作為評估藥效的影像（如胸部X光或電腦斷層），若病情惡化即不得再次申請。(112/11/1)</w:t>
      </w:r>
    </w:p>
    <w:p w:rsidR="00B96EA0" w:rsidRDefault="007D66B8" w:rsidP="005142EB">
      <w:pPr>
        <w:pStyle w:val="a9"/>
        <w:numPr>
          <w:ilvl w:val="1"/>
          <w:numId w:val="3"/>
        </w:numPr>
        <w:suppressAutoHyphens w:val="0"/>
        <w:spacing w:line="400" w:lineRule="exact"/>
        <w:ind w:left="1308"/>
        <w:textAlignment w:val="auto"/>
        <w:rPr>
          <w:rFonts w:ascii="標楷體" w:eastAsia="標楷體" w:hAnsi="標楷體"/>
          <w:color w:val="000000"/>
        </w:rPr>
      </w:pPr>
      <w:r>
        <w:rPr>
          <w:rFonts w:ascii="標楷體" w:eastAsia="標楷體" w:hAnsi="標楷體"/>
          <w:color w:val="000000"/>
        </w:rPr>
        <w:t>Brigatinib與alectinib、ceritinib、crizotinib、lorlatinib用於ALK陽性之晚期非小細胞肺癌第一線治療時，僅得擇一使用，除因病人使用後，發生嚴重不良反應或耐受不良之情形外，不得互換。(112/11/1)</w:t>
      </w:r>
    </w:p>
    <w:p w:rsidR="00B96EA0" w:rsidRDefault="007D66B8" w:rsidP="005142EB">
      <w:pPr>
        <w:pStyle w:val="a9"/>
        <w:numPr>
          <w:ilvl w:val="0"/>
          <w:numId w:val="10"/>
        </w:numPr>
        <w:suppressAutoHyphens w:val="0"/>
        <w:spacing w:line="400" w:lineRule="exact"/>
        <w:ind w:left="992" w:hanging="284"/>
        <w:textAlignment w:val="auto"/>
        <w:rPr>
          <w:rFonts w:ascii="標楷體" w:eastAsia="標楷體" w:hAnsi="標楷體"/>
          <w:color w:val="000000"/>
        </w:rPr>
      </w:pPr>
      <w:r>
        <w:rPr>
          <w:rFonts w:ascii="標楷體" w:eastAsia="標楷體" w:hAnsi="標楷體"/>
          <w:color w:val="000000"/>
        </w:rPr>
        <w:t>適用於在crizotinib治療中惡化之ALK陽性的晚期非小細胞肺癌患者。</w:t>
      </w:r>
    </w:p>
    <w:p w:rsidR="00B96EA0" w:rsidRDefault="007D66B8" w:rsidP="005142EB">
      <w:pPr>
        <w:pStyle w:val="a9"/>
        <w:numPr>
          <w:ilvl w:val="0"/>
          <w:numId w:val="11"/>
        </w:numPr>
        <w:suppressAutoHyphens w:val="0"/>
        <w:spacing w:line="400" w:lineRule="exact"/>
        <w:ind w:left="1305" w:hanging="357"/>
        <w:textAlignment w:val="auto"/>
        <w:rPr>
          <w:rFonts w:ascii="標楷體" w:eastAsia="標楷體" w:hAnsi="標楷體"/>
          <w:color w:val="000000"/>
        </w:rPr>
      </w:pPr>
      <w:r>
        <w:rPr>
          <w:rFonts w:ascii="標楷體" w:eastAsia="標楷體" w:hAnsi="標楷體"/>
          <w:color w:val="000000"/>
        </w:rPr>
        <w:t>需經事前審查核准後使用。</w:t>
      </w:r>
    </w:p>
    <w:p w:rsidR="00B96EA0" w:rsidRDefault="007D66B8" w:rsidP="005142EB">
      <w:pPr>
        <w:pStyle w:val="a9"/>
        <w:numPr>
          <w:ilvl w:val="0"/>
          <w:numId w:val="11"/>
        </w:numPr>
        <w:suppressAutoHyphens w:val="0"/>
        <w:spacing w:line="400" w:lineRule="exact"/>
        <w:ind w:left="1305" w:hanging="357"/>
        <w:textAlignment w:val="auto"/>
        <w:rPr>
          <w:rFonts w:ascii="標楷體" w:eastAsia="標楷體" w:hAnsi="標楷體"/>
          <w:color w:val="000000"/>
        </w:rPr>
      </w:pPr>
      <w:r>
        <w:rPr>
          <w:rFonts w:ascii="標楷體" w:eastAsia="標楷體" w:hAnsi="標楷體"/>
          <w:color w:val="000000"/>
        </w:rPr>
        <w:t>每次申請事前審查之療程以3個月為限，每3個月需再次申請，再次申請時並需附上治療後相關臨床資料，若病情惡化即不得再次申請。</w:t>
      </w:r>
    </w:p>
    <w:p w:rsidR="00B96EA0" w:rsidRDefault="007D66B8" w:rsidP="005142EB">
      <w:pPr>
        <w:spacing w:line="400" w:lineRule="exact"/>
        <w:ind w:left="991" w:hanging="283"/>
        <w:rPr>
          <w:rFonts w:ascii="標楷體" w:eastAsia="標楷體" w:hAnsi="標楷體"/>
          <w:color w:val="000000"/>
        </w:rPr>
      </w:pPr>
      <w:r>
        <w:rPr>
          <w:rFonts w:ascii="標楷體" w:eastAsia="標楷體" w:hAnsi="標楷體"/>
          <w:color w:val="000000"/>
        </w:rPr>
        <w:t>3.每日最大劑量限180mg。(111/8/1)。</w:t>
      </w:r>
    </w:p>
    <w:p w:rsidR="00B96EA0" w:rsidRDefault="007D66B8" w:rsidP="005142EB">
      <w:pPr>
        <w:spacing w:line="400" w:lineRule="exact"/>
        <w:ind w:left="283"/>
        <w:rPr>
          <w:rFonts w:ascii="標楷體" w:eastAsia="標楷體" w:hAnsi="標楷體"/>
        </w:rPr>
      </w:pPr>
      <w:r>
        <w:rPr>
          <w:rFonts w:ascii="標楷體" w:eastAsia="標楷體" w:hAnsi="標楷體"/>
        </w:rPr>
        <w:t>9.83.Dacomitinib (如Vizimpro)：(109/10/1、111/9/1、113/6/1)</w:t>
      </w:r>
    </w:p>
    <w:p w:rsidR="00B96EA0" w:rsidRDefault="007D66B8" w:rsidP="005142EB">
      <w:pPr>
        <w:spacing w:line="400" w:lineRule="exact"/>
        <w:ind w:left="991" w:hanging="283"/>
        <w:rPr>
          <w:rFonts w:ascii="標楷體" w:eastAsia="標楷體" w:hAnsi="標楷體"/>
          <w:color w:val="000000"/>
        </w:rPr>
      </w:pPr>
      <w:r>
        <w:rPr>
          <w:rFonts w:ascii="標楷體" w:eastAsia="標楷體" w:hAnsi="標楷體"/>
          <w:color w:val="000000"/>
        </w:rPr>
        <w:t>1.限單獨使用具有EGFR-TK Exon 19 Del或Exon 21 L858R點突變，且無腦轉移 (non-CNS)之局部侵犯性或轉移性(即第ⅢB、ⅢC或第Ⅳ期)之肺腺癌病患之第一線治療，需檢附EGFR基因檢測結果報告，且需符合全民健康保險藥品給付規定之通則十二。</w:t>
      </w:r>
    </w:p>
    <w:p w:rsidR="00B96EA0" w:rsidRDefault="007D66B8" w:rsidP="005142EB">
      <w:pPr>
        <w:spacing w:line="400" w:lineRule="exact"/>
        <w:ind w:left="566" w:firstLine="120"/>
        <w:rPr>
          <w:rFonts w:ascii="標楷體" w:eastAsia="標楷體" w:hAnsi="標楷體"/>
          <w:color w:val="000000"/>
        </w:rPr>
      </w:pPr>
      <w:r>
        <w:rPr>
          <w:rFonts w:ascii="標楷體" w:eastAsia="標楷體" w:hAnsi="標楷體"/>
          <w:color w:val="000000"/>
        </w:rPr>
        <w:t>2.使用注意事項</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(1)病歷應留存確實患有肺腺癌之病理或細胞檢查報告，及EGFR-TK基因</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突變檢測報告。</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(2)每次處方以4週為限，再次處方時需於病歷記錄治療後相關臨床資 </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料，如每4週需追蹤胸部X光或電腦斷層等影像檢查，每8至12週需</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lastRenderedPageBreak/>
        <w:t xml:space="preserve">        進行完整療效評估（如胸部X光或電腦斷層）。</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(3)本藥品與gefitinib、erlotinib及afatinib，僅得擇一使用，除因</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耐受性不良，不得互換。如需更換使用本藥品，必須符合本藥品第一</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線使用於具有EGFR-TK Exon 19 Del或Exon 21 L858R點突變，且無</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腦轉移(non-CNS)之局部侵犯性或轉移性(即第ⅢB、ⅢC或第Ⅳ期)肺</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腺癌之限制。(111/9/1)</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 xml:space="preserve">     (4)每日限用1粒。</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9.84.Copanlisib (如Aliqopa）(刪除)：(109/11/1、113/6/1)</w:t>
      </w:r>
    </w:p>
    <w:p w:rsidR="007455F6" w:rsidRPr="00EA15AB" w:rsidRDefault="007455F6" w:rsidP="007455F6">
      <w:pPr>
        <w:spacing w:line="400" w:lineRule="exact"/>
        <w:ind w:left="849" w:hanging="566"/>
        <w:rPr>
          <w:rFonts w:ascii="標楷體" w:eastAsia="標楷體" w:hAnsi="標楷體"/>
        </w:rPr>
      </w:pPr>
      <w:bookmarkStart w:id="33" w:name="_Hlk209192735"/>
      <w:r w:rsidRPr="00EA15AB">
        <w:rPr>
          <w:rFonts w:ascii="標楷體" w:eastAsia="標楷體" w:hAnsi="標楷體"/>
          <w:color w:val="000000"/>
          <w:szCs w:val="24"/>
        </w:rPr>
        <w:t>9.85.PARP抑制劑(如olaparib、niraparib、talazoparib)：(109/11/1、111/6/1、111/8/1、112/1/1、112/11/1、113/3/1、113/6/1、113/9/1、114/3/1、114/6/1、114/8/1</w:t>
      </w:r>
      <w:r w:rsidRPr="007F32D4">
        <w:rPr>
          <w:rFonts w:ascii="標楷體" w:eastAsia="標楷體" w:hAnsi="標楷體"/>
          <w:color w:val="000000"/>
          <w:szCs w:val="24"/>
        </w:rPr>
        <w:t>、114/10/1</w:t>
      </w:r>
      <w:r w:rsidRPr="00EA15AB">
        <w:rPr>
          <w:rFonts w:ascii="標楷體" w:eastAsia="標楷體" w:hAnsi="標楷體"/>
          <w:color w:val="000000"/>
          <w:szCs w:val="24"/>
        </w:rPr>
        <w:t>)</w:t>
      </w:r>
    </w:p>
    <w:p w:rsidR="007455F6" w:rsidRPr="00EA15AB" w:rsidRDefault="007455F6" w:rsidP="007455F6">
      <w:pPr>
        <w:spacing w:line="400" w:lineRule="exact"/>
        <w:ind w:left="851" w:hanging="284"/>
        <w:rPr>
          <w:rFonts w:ascii="標楷體" w:eastAsia="標楷體" w:hAnsi="標楷體"/>
        </w:rPr>
      </w:pPr>
      <w:r w:rsidRPr="00EA15AB">
        <w:rPr>
          <w:rFonts w:ascii="標楷體" w:eastAsia="標楷體" w:hAnsi="標楷體"/>
          <w:color w:val="000000"/>
          <w:szCs w:val="24"/>
        </w:rPr>
        <w:t>1.卵巢、輸卵管或原發性腹膜癌(olaparib、niraparib)：(109/11/1、 111/6/1、111/8/1、112</w:t>
      </w:r>
      <w:r w:rsidRPr="00EA15AB">
        <w:rPr>
          <w:rFonts w:ascii="標楷體" w:eastAsia="標楷體" w:hAnsi="標楷體" w:cs="BiauKai"/>
          <w:color w:val="000000"/>
          <w:szCs w:val="24"/>
        </w:rPr>
        <w:t>/1/1</w:t>
      </w:r>
      <w:r w:rsidRPr="00EA15AB">
        <w:rPr>
          <w:rFonts w:ascii="標楷體" w:eastAsia="標楷體" w:hAnsi="標楷體"/>
          <w:color w:val="000000"/>
        </w:rPr>
        <w:t>、113/3/1、113/6/1、113/9/1、114/3/1、114/6/1</w:t>
      </w:r>
      <w:r w:rsidRPr="00EA15AB">
        <w:rPr>
          <w:rFonts w:ascii="標楷體" w:eastAsia="標楷體" w:hAnsi="標楷體"/>
          <w:color w:val="000000"/>
          <w:szCs w:val="24"/>
        </w:rPr>
        <w:t>、114/8/1)</w:t>
      </w:r>
    </w:p>
    <w:p w:rsidR="007455F6" w:rsidRPr="00EA15AB" w:rsidRDefault="007455F6" w:rsidP="007455F6">
      <w:pPr>
        <w:spacing w:line="400" w:lineRule="exact"/>
        <w:ind w:left="709"/>
        <w:rPr>
          <w:rFonts w:ascii="標楷體" w:eastAsia="標楷體" w:hAnsi="標楷體"/>
          <w:color w:val="000000"/>
        </w:rPr>
      </w:pPr>
      <w:r w:rsidRPr="00EA15AB">
        <w:rPr>
          <w:rFonts w:ascii="標楷體" w:eastAsia="標楷體" w:hAnsi="標楷體"/>
          <w:color w:val="000000"/>
        </w:rPr>
        <w:t xml:space="preserve"> (1)單獨使用olaparib於具下列所有條件的病人做為維持治療，限用兩年：</w:t>
      </w:r>
    </w:p>
    <w:p w:rsidR="007455F6" w:rsidRPr="00EA15AB" w:rsidRDefault="007455F6" w:rsidP="007455F6">
      <w:pPr>
        <w:tabs>
          <w:tab w:val="left" w:pos="5245"/>
        </w:tabs>
        <w:spacing w:line="400" w:lineRule="exact"/>
        <w:ind w:left="1276"/>
        <w:rPr>
          <w:rFonts w:ascii="標楷體" w:eastAsia="標楷體" w:hAnsi="標楷體"/>
          <w:color w:val="000000"/>
        </w:rPr>
      </w:pPr>
      <w:r w:rsidRPr="00EA15AB">
        <w:rPr>
          <w:rFonts w:ascii="標楷體" w:eastAsia="標楷體" w:hAnsi="標楷體"/>
          <w:color w:val="000000"/>
        </w:rPr>
        <w:t>I.對第一線含鉑化療有治療反應後使用。</w:t>
      </w:r>
    </w:p>
    <w:p w:rsidR="007455F6" w:rsidRPr="00EA15AB" w:rsidRDefault="007455F6" w:rsidP="007455F6">
      <w:pPr>
        <w:spacing w:line="400" w:lineRule="exact"/>
        <w:ind w:left="1176"/>
        <w:rPr>
          <w:rFonts w:ascii="標楷體" w:eastAsia="標楷體" w:hAnsi="標楷體"/>
          <w:color w:val="000000"/>
        </w:rPr>
      </w:pPr>
      <w:r w:rsidRPr="00EA15AB">
        <w:rPr>
          <w:rFonts w:ascii="標楷體" w:eastAsia="標楷體" w:hAnsi="標楷體"/>
          <w:color w:val="000000"/>
        </w:rPr>
        <w:t xml:space="preserve">Ⅱ.具germline or somatic BRCA 1/2致病性或疑似致病性突變。 </w:t>
      </w:r>
    </w:p>
    <w:p w:rsidR="007455F6" w:rsidRPr="00EA15AB" w:rsidRDefault="007455F6" w:rsidP="007455F6">
      <w:pPr>
        <w:spacing w:line="400" w:lineRule="exact"/>
        <w:ind w:left="1176"/>
        <w:rPr>
          <w:rFonts w:ascii="標楷體" w:eastAsia="標楷體" w:hAnsi="標楷體"/>
          <w:color w:val="000000"/>
        </w:rPr>
      </w:pPr>
      <w:r w:rsidRPr="00EA15AB">
        <w:rPr>
          <w:rFonts w:ascii="標楷體" w:eastAsia="標楷體" w:hAnsi="標楷體"/>
          <w:color w:val="000000"/>
        </w:rPr>
        <w:t xml:space="preserve">   (109/11/1、111/8/1)</w:t>
      </w:r>
    </w:p>
    <w:p w:rsidR="007455F6" w:rsidRPr="00EA15AB" w:rsidRDefault="007455F6" w:rsidP="007455F6">
      <w:pPr>
        <w:spacing w:line="400" w:lineRule="exact"/>
        <w:ind w:left="1176"/>
        <w:rPr>
          <w:rFonts w:ascii="標楷體" w:eastAsia="標楷體" w:hAnsi="標楷體"/>
          <w:color w:val="000000"/>
        </w:rPr>
      </w:pPr>
      <w:r w:rsidRPr="00EA15AB">
        <w:rPr>
          <w:rFonts w:ascii="標楷體" w:eastAsia="標楷體" w:hAnsi="標楷體"/>
          <w:color w:val="000000"/>
        </w:rPr>
        <w:t xml:space="preserve">Ⅲ.FIGO (International Federation of Gynecology and Obstetrics)  </w:t>
      </w:r>
    </w:p>
    <w:p w:rsidR="007455F6" w:rsidRPr="00EA15AB" w:rsidRDefault="007455F6" w:rsidP="007455F6">
      <w:pPr>
        <w:spacing w:line="400" w:lineRule="exact"/>
        <w:ind w:left="1176"/>
        <w:rPr>
          <w:rFonts w:ascii="標楷體" w:eastAsia="標楷體" w:hAnsi="標楷體"/>
          <w:color w:val="000000"/>
        </w:rPr>
      </w:pPr>
      <w:r w:rsidRPr="00EA15AB">
        <w:rPr>
          <w:rFonts w:ascii="標楷體" w:eastAsia="標楷體" w:hAnsi="標楷體"/>
          <w:color w:val="000000"/>
        </w:rPr>
        <w:t xml:space="preserve">   Stage III or IV disease。</w:t>
      </w:r>
    </w:p>
    <w:p w:rsidR="007455F6" w:rsidRPr="00EA15AB" w:rsidRDefault="007455F6" w:rsidP="007455F6">
      <w:pPr>
        <w:spacing w:line="400" w:lineRule="exact"/>
        <w:ind w:left="851"/>
        <w:rPr>
          <w:rFonts w:ascii="標楷體" w:eastAsia="標楷體" w:hAnsi="標楷體"/>
          <w:color w:val="000000"/>
        </w:rPr>
      </w:pPr>
      <w:r w:rsidRPr="00EA15AB">
        <w:rPr>
          <w:rFonts w:ascii="標楷體" w:eastAsia="標楷體" w:hAnsi="標楷體"/>
          <w:color w:val="000000"/>
        </w:rPr>
        <w:t>(2)單獨使用niraparib於具下列所有條件的病人做為維持治療，限用兩年：</w:t>
      </w:r>
    </w:p>
    <w:p w:rsidR="007455F6" w:rsidRPr="00EA15AB" w:rsidRDefault="007455F6" w:rsidP="007455F6">
      <w:pPr>
        <w:tabs>
          <w:tab w:val="left" w:pos="5245"/>
        </w:tabs>
        <w:spacing w:line="400" w:lineRule="exact"/>
        <w:ind w:left="1276" w:firstLineChars="59" w:firstLine="142"/>
        <w:rPr>
          <w:rFonts w:ascii="標楷體" w:eastAsia="標楷體" w:hAnsi="標楷體"/>
          <w:color w:val="000000"/>
        </w:rPr>
      </w:pPr>
      <w:r w:rsidRPr="00EA15AB">
        <w:rPr>
          <w:rFonts w:ascii="標楷體" w:eastAsia="標楷體" w:hAnsi="標楷體"/>
          <w:color w:val="000000"/>
        </w:rPr>
        <w:t>I.對第一線含鉑化療有治療反應後使用。</w:t>
      </w:r>
    </w:p>
    <w:p w:rsidR="007455F6" w:rsidRPr="00EA15AB" w:rsidRDefault="007455F6" w:rsidP="007455F6">
      <w:pPr>
        <w:spacing w:line="400" w:lineRule="exact"/>
        <w:ind w:left="1276"/>
        <w:rPr>
          <w:rFonts w:ascii="標楷體" w:eastAsia="標楷體" w:hAnsi="標楷體"/>
          <w:color w:val="000000"/>
        </w:rPr>
      </w:pPr>
      <w:r w:rsidRPr="00EA15AB">
        <w:rPr>
          <w:rFonts w:ascii="標楷體" w:eastAsia="標楷體" w:hAnsi="標楷體"/>
          <w:color w:val="000000"/>
        </w:rPr>
        <w:t>Ⅱ.檢測結果符合下列任一情形之病人：</w:t>
      </w:r>
    </w:p>
    <w:p w:rsidR="007455F6" w:rsidRPr="00EA15AB" w:rsidRDefault="007455F6" w:rsidP="007455F6">
      <w:pPr>
        <w:spacing w:line="400" w:lineRule="exact"/>
        <w:ind w:left="1699" w:hanging="281"/>
        <w:rPr>
          <w:rFonts w:ascii="標楷體" w:eastAsia="標楷體" w:hAnsi="標楷體"/>
          <w:color w:val="000000"/>
        </w:rPr>
      </w:pPr>
      <w:r w:rsidRPr="00EA15AB">
        <w:rPr>
          <w:rFonts w:ascii="標楷體" w:eastAsia="標楷體" w:hAnsi="標楷體"/>
          <w:color w:val="000000"/>
        </w:rPr>
        <w:t>i.具germline or somatic BRCA 1/2 致病性或疑似致病性突變病人。</w:t>
      </w:r>
    </w:p>
    <w:p w:rsidR="007455F6" w:rsidRPr="00EA15AB" w:rsidRDefault="007455F6" w:rsidP="007455F6">
      <w:pPr>
        <w:spacing w:line="400" w:lineRule="exact"/>
        <w:ind w:left="1699" w:hanging="281"/>
        <w:rPr>
          <w:rFonts w:ascii="標楷體" w:eastAsia="標楷體" w:hAnsi="標楷體"/>
          <w:color w:val="000000"/>
        </w:rPr>
      </w:pPr>
      <w:r w:rsidRPr="00EA15AB">
        <w:rPr>
          <w:rFonts w:ascii="標楷體" w:eastAsia="標楷體" w:hAnsi="標楷體"/>
          <w:color w:val="000000"/>
        </w:rPr>
        <w:t>ii.具同源重組缺陷(Homologous Recombination Deficient, HRD)陽性且BRCA wild type之高度惡性病人。</w:t>
      </w:r>
    </w:p>
    <w:p w:rsidR="007455F6" w:rsidRPr="00EA15AB" w:rsidRDefault="007455F6" w:rsidP="007455F6">
      <w:pPr>
        <w:tabs>
          <w:tab w:val="left" w:pos="5245"/>
        </w:tabs>
        <w:spacing w:line="400" w:lineRule="exact"/>
        <w:ind w:left="1701" w:hanging="425"/>
        <w:rPr>
          <w:rFonts w:ascii="標楷體" w:eastAsia="標楷體" w:hAnsi="標楷體"/>
          <w:color w:val="000000"/>
        </w:rPr>
      </w:pPr>
      <w:r w:rsidRPr="00EA15AB">
        <w:rPr>
          <w:rFonts w:ascii="標楷體" w:eastAsia="標楷體" w:hAnsi="標楷體"/>
          <w:color w:val="000000"/>
        </w:rPr>
        <w:t>Ⅲ.FIGO (International Federation of Gynecology and Obstetrics) Stage III or IV disease。</w:t>
      </w:r>
    </w:p>
    <w:p w:rsidR="007455F6" w:rsidRDefault="007455F6" w:rsidP="007455F6">
      <w:pPr>
        <w:spacing w:line="400" w:lineRule="exact"/>
        <w:ind w:left="851"/>
        <w:rPr>
          <w:rFonts w:ascii="標楷體" w:eastAsia="標楷體" w:hAnsi="標楷體"/>
          <w:color w:val="000000"/>
        </w:rPr>
      </w:pPr>
      <w:r w:rsidRPr="00EA15AB">
        <w:rPr>
          <w:rFonts w:ascii="標楷體" w:eastAsia="標楷體" w:hAnsi="標楷體"/>
          <w:color w:val="000000"/>
        </w:rPr>
        <w:t>(3)限olaparib併用 bevacizumab(限使用Alymsys、Abevmy、Vegzelma或</w:t>
      </w:r>
    </w:p>
    <w:p w:rsidR="007455F6" w:rsidRPr="00EA15AB" w:rsidRDefault="007455F6" w:rsidP="007455F6">
      <w:pPr>
        <w:spacing w:line="400" w:lineRule="exact"/>
        <w:ind w:left="1276"/>
        <w:rPr>
          <w:rFonts w:ascii="標楷體" w:eastAsia="標楷體" w:hAnsi="標楷體"/>
          <w:color w:val="000000"/>
        </w:rPr>
      </w:pPr>
      <w:r w:rsidRPr="00EA15AB">
        <w:rPr>
          <w:rFonts w:ascii="標楷體" w:eastAsia="標楷體" w:hAnsi="標楷體"/>
          <w:color w:val="000000"/>
        </w:rPr>
        <w:t>Mvasi)，使用於具下列所有條件的成年病人做為維持治療，限用兩年：(114/6/1</w:t>
      </w:r>
      <w:r w:rsidRPr="00EA15AB">
        <w:rPr>
          <w:rFonts w:ascii="標楷體" w:eastAsia="標楷體" w:hAnsi="標楷體" w:hint="eastAsia"/>
          <w:color w:val="000000"/>
        </w:rPr>
        <w:t>、114/8/1</w:t>
      </w:r>
      <w:r w:rsidRPr="00EA15AB">
        <w:rPr>
          <w:rFonts w:ascii="標楷體" w:eastAsia="標楷體" w:hAnsi="標楷體"/>
          <w:color w:val="000000"/>
        </w:rPr>
        <w:t>)：</w:t>
      </w:r>
    </w:p>
    <w:p w:rsidR="007455F6" w:rsidRPr="00EA15AB" w:rsidRDefault="007455F6" w:rsidP="007455F6">
      <w:pPr>
        <w:tabs>
          <w:tab w:val="left" w:pos="5245"/>
        </w:tabs>
        <w:spacing w:line="400" w:lineRule="exact"/>
        <w:ind w:left="1276"/>
        <w:rPr>
          <w:rFonts w:ascii="標楷體" w:eastAsia="標楷體" w:hAnsi="標楷體"/>
          <w:color w:val="000000"/>
        </w:rPr>
      </w:pPr>
      <w:r w:rsidRPr="00EA15AB">
        <w:rPr>
          <w:rFonts w:ascii="標楷體" w:eastAsia="標楷體" w:hAnsi="標楷體"/>
          <w:color w:val="000000"/>
        </w:rPr>
        <w:t>I.對第一線含鉑化療合併bevacizumab有反應(完全反應或部分反應)。</w:t>
      </w:r>
    </w:p>
    <w:p w:rsidR="007455F6" w:rsidRPr="00EA15AB" w:rsidRDefault="007455F6" w:rsidP="007455F6">
      <w:pPr>
        <w:tabs>
          <w:tab w:val="left" w:pos="5245"/>
        </w:tabs>
        <w:spacing w:line="400" w:lineRule="exact"/>
        <w:ind w:left="1560" w:hanging="425"/>
        <w:rPr>
          <w:rFonts w:ascii="標楷體" w:eastAsia="標楷體" w:hAnsi="標楷體"/>
          <w:color w:val="000000"/>
        </w:rPr>
      </w:pPr>
      <w:r w:rsidRPr="00EA15AB">
        <w:rPr>
          <w:rFonts w:ascii="標楷體" w:eastAsia="標楷體" w:hAnsi="標楷體"/>
          <w:color w:val="000000"/>
        </w:rPr>
        <w:t>Ⅱ.其癌症帶有下列任一定義的DNA同源修復系統缺失 (homologous recombination deficiency, HRD)：</w:t>
      </w:r>
    </w:p>
    <w:p w:rsidR="007455F6" w:rsidRPr="00EA15AB" w:rsidRDefault="007455F6" w:rsidP="007455F6">
      <w:pPr>
        <w:spacing w:line="400" w:lineRule="exact"/>
        <w:ind w:left="1699" w:hanging="281"/>
        <w:rPr>
          <w:rFonts w:ascii="標楷體" w:eastAsia="標楷體" w:hAnsi="標楷體"/>
          <w:color w:val="000000"/>
        </w:rPr>
      </w:pPr>
      <w:r w:rsidRPr="00EA15AB">
        <w:rPr>
          <w:rFonts w:ascii="標楷體" w:eastAsia="標楷體" w:hAnsi="標楷體"/>
          <w:color w:val="000000"/>
        </w:rPr>
        <w:t>i.致病性或疑似致病性BRCA突變。</w:t>
      </w:r>
    </w:p>
    <w:p w:rsidR="007455F6" w:rsidRPr="00EA15AB" w:rsidRDefault="007455F6" w:rsidP="007455F6">
      <w:pPr>
        <w:spacing w:line="400" w:lineRule="exact"/>
        <w:ind w:left="1699" w:hanging="281"/>
        <w:rPr>
          <w:rFonts w:ascii="標楷體" w:eastAsia="標楷體" w:hAnsi="標楷體"/>
          <w:color w:val="000000"/>
        </w:rPr>
      </w:pPr>
      <w:r w:rsidRPr="00EA15AB">
        <w:rPr>
          <w:rFonts w:ascii="標楷體" w:eastAsia="標楷體" w:hAnsi="標楷體"/>
          <w:color w:val="000000"/>
        </w:rPr>
        <w:t>ii.基因體不穩定(genomic instability)。</w:t>
      </w:r>
    </w:p>
    <w:p w:rsidR="007455F6" w:rsidRPr="00EA15AB" w:rsidRDefault="007455F6" w:rsidP="007455F6">
      <w:pPr>
        <w:spacing w:line="400" w:lineRule="exact"/>
        <w:ind w:left="1276"/>
        <w:rPr>
          <w:rFonts w:ascii="標楷體" w:eastAsia="標楷體" w:hAnsi="標楷體"/>
          <w:color w:val="000000"/>
        </w:rPr>
      </w:pPr>
      <w:r w:rsidRPr="00EA15AB">
        <w:rPr>
          <w:rFonts w:ascii="標楷體" w:eastAsia="標楷體" w:hAnsi="標楷體"/>
          <w:color w:val="000000"/>
        </w:rPr>
        <w:t>(4)須經事前審查核准後使用：(109/11/1、111/6/1、111/8/1、113/6/1、</w:t>
      </w:r>
      <w:r w:rsidRPr="00EA15AB">
        <w:rPr>
          <w:rFonts w:ascii="標楷體" w:eastAsia="標楷體" w:hAnsi="標楷體"/>
          <w:color w:val="000000"/>
        </w:rPr>
        <w:lastRenderedPageBreak/>
        <w:t>114/6/1)</w:t>
      </w:r>
    </w:p>
    <w:p w:rsidR="007455F6" w:rsidRPr="00EA15AB" w:rsidRDefault="007455F6" w:rsidP="007455F6">
      <w:pPr>
        <w:tabs>
          <w:tab w:val="left" w:pos="5245"/>
        </w:tabs>
        <w:spacing w:line="400" w:lineRule="exact"/>
        <w:ind w:left="1276"/>
        <w:rPr>
          <w:rFonts w:ascii="標楷體" w:eastAsia="標楷體" w:hAnsi="標楷體"/>
          <w:color w:val="000000"/>
        </w:rPr>
      </w:pPr>
      <w:r w:rsidRPr="00EA15AB">
        <w:rPr>
          <w:rFonts w:ascii="標楷體" w:eastAsia="標楷體" w:hAnsi="標楷體"/>
          <w:color w:val="000000"/>
        </w:rPr>
        <w:t>I.每次申請之療程以6個月為限。</w:t>
      </w:r>
    </w:p>
    <w:p w:rsidR="007455F6" w:rsidRPr="00EA15AB" w:rsidRDefault="007455F6" w:rsidP="007455F6">
      <w:pPr>
        <w:spacing w:line="400" w:lineRule="exact"/>
        <w:ind w:left="1560" w:hanging="362"/>
        <w:rPr>
          <w:rFonts w:ascii="標楷體" w:eastAsia="標楷體" w:hAnsi="標楷體"/>
          <w:color w:val="000000"/>
        </w:rPr>
      </w:pPr>
      <w:r w:rsidRPr="00EA15AB">
        <w:rPr>
          <w:rFonts w:ascii="標楷體" w:eastAsia="標楷體" w:hAnsi="標楷體"/>
          <w:color w:val="000000"/>
        </w:rPr>
        <w:t>Ⅱ.初次申請時需檢附germline or somatic BRCA 1/2突變檢測報告或HRD陽性檢測報告，且需符合全民健康保險藥品給付規定之通則十二。 (111/6/1、111/8/1、113/6/1、114/6/1)</w:t>
      </w:r>
    </w:p>
    <w:p w:rsidR="007455F6" w:rsidRPr="00EA15AB" w:rsidRDefault="007455F6" w:rsidP="007455F6">
      <w:pPr>
        <w:spacing w:line="400" w:lineRule="exact"/>
        <w:ind w:left="1134"/>
        <w:rPr>
          <w:rFonts w:ascii="標楷體" w:eastAsia="標楷體" w:hAnsi="標楷體"/>
          <w:color w:val="000000"/>
        </w:rPr>
      </w:pPr>
      <w:r w:rsidRPr="00EA15AB">
        <w:rPr>
          <w:rFonts w:ascii="標楷體" w:eastAsia="標楷體" w:hAnsi="標楷體"/>
          <w:color w:val="000000"/>
        </w:rPr>
        <w:t>Ⅲ.再次申請必須提出客觀證據（如：影像學）證實無惡化，才可繼續使用。</w:t>
      </w:r>
    </w:p>
    <w:p w:rsidR="007455F6" w:rsidRPr="00EA15AB" w:rsidRDefault="007455F6" w:rsidP="007455F6">
      <w:pPr>
        <w:spacing w:line="400" w:lineRule="exact"/>
        <w:ind w:left="1276"/>
        <w:rPr>
          <w:rFonts w:ascii="標楷體" w:eastAsia="標楷體" w:hAnsi="標楷體"/>
        </w:rPr>
      </w:pPr>
      <w:r w:rsidRPr="00EA15AB">
        <w:rPr>
          <w:rFonts w:ascii="標楷體" w:eastAsia="標楷體" w:hAnsi="標楷體"/>
          <w:color w:val="000000"/>
          <w:szCs w:val="24"/>
        </w:rPr>
        <w:t>(5)用於具germline or somatic BRCA 1/2 致病性或疑似致病性突變時，olaparib與niraparib僅能擇一使用，除因耐受不良，不得互換。(112/1/1、114/6/1)</w:t>
      </w:r>
    </w:p>
    <w:p w:rsidR="007455F6" w:rsidRPr="00EA15AB" w:rsidRDefault="007455F6" w:rsidP="007455F6">
      <w:pPr>
        <w:spacing w:line="400" w:lineRule="exact"/>
        <w:ind w:left="1344" w:hanging="480"/>
        <w:rPr>
          <w:rFonts w:ascii="標楷體" w:eastAsia="標楷體" w:hAnsi="標楷體"/>
        </w:rPr>
      </w:pPr>
      <w:r w:rsidRPr="00EA15AB">
        <w:rPr>
          <w:rFonts w:ascii="標楷體" w:eastAsia="標楷體" w:hAnsi="標楷體"/>
          <w:color w:val="000000"/>
          <w:szCs w:val="24"/>
        </w:rPr>
        <w:t xml:space="preserve"> (6)倘因併用bevacizumab耐受性不良，在維持性治療可再換成olaparib單獨使用，總療程數合併計算，限用兩年。(114/6/1)</w:t>
      </w:r>
    </w:p>
    <w:p w:rsidR="007455F6" w:rsidRPr="00EA15AB" w:rsidRDefault="007455F6" w:rsidP="007455F6">
      <w:pPr>
        <w:spacing w:line="400" w:lineRule="exact"/>
        <w:ind w:left="1289" w:hanging="341"/>
        <w:rPr>
          <w:rFonts w:ascii="標楷體" w:eastAsia="標楷體" w:hAnsi="標楷體"/>
        </w:rPr>
      </w:pPr>
      <w:r w:rsidRPr="00EA15AB">
        <w:rPr>
          <w:rFonts w:ascii="標楷體" w:eastAsia="標楷體" w:hAnsi="標楷體"/>
          <w:kern w:val="0"/>
          <w:szCs w:val="24"/>
        </w:rPr>
        <w:t>(7)</w:t>
      </w:r>
      <w:r w:rsidRPr="00EA15AB">
        <w:rPr>
          <w:rFonts w:ascii="標楷體" w:eastAsia="標楷體" w:hAnsi="標楷體"/>
        </w:rPr>
        <w:t xml:space="preserve"> </w:t>
      </w:r>
      <w:r w:rsidRPr="00EA15AB">
        <w:rPr>
          <w:rFonts w:ascii="標楷體" w:eastAsia="標楷體" w:hAnsi="標楷體"/>
          <w:kern w:val="0"/>
          <w:szCs w:val="24"/>
        </w:rPr>
        <w:t>niraparib使用時，體重大於(含)77公斤且基期血小板高於(含)15萬/uL，每日最多使用300mg；體重小於77公斤或基期血小板低於15萬/uL，每日最多使用200mg。(112/1/1)</w:t>
      </w:r>
    </w:p>
    <w:p w:rsidR="007455F6" w:rsidRPr="00EA15AB" w:rsidRDefault="007455F6" w:rsidP="007455F6">
      <w:pPr>
        <w:spacing w:line="400" w:lineRule="exact"/>
        <w:ind w:left="1289" w:hanging="341"/>
        <w:rPr>
          <w:rFonts w:ascii="標楷體" w:eastAsia="標楷體" w:hAnsi="標楷體"/>
        </w:rPr>
      </w:pPr>
      <w:r w:rsidRPr="00EA15AB">
        <w:rPr>
          <w:rFonts w:ascii="標楷體" w:eastAsia="標楷體" w:hAnsi="標楷體"/>
          <w:kern w:val="0"/>
          <w:szCs w:val="24"/>
        </w:rPr>
        <w:t>(8)FIGO Stage IV disease具germline or somatic BRCA 1/2致病性或疑似致病性突變者，若已經申請niraparib用於第一線化學治療後維持性治療時不得另外申請bevacizumab併用，除因niraparib耐受性不良，在維持性治療可再換成bevacizumab(除Zirabev以外)單獨使用，總申請療程以17個療程為上限。(113/3/1、113/9/1、114/3/1、114/6/1</w:t>
      </w:r>
      <w:r w:rsidRPr="007F32D4">
        <w:rPr>
          <w:rFonts w:ascii="標楷體" w:eastAsia="標楷體" w:hAnsi="標楷體"/>
          <w:kern w:val="0"/>
          <w:szCs w:val="24"/>
        </w:rPr>
        <w:t>、114/10/1</w:t>
      </w:r>
      <w:r w:rsidRPr="00EA15AB">
        <w:rPr>
          <w:rFonts w:ascii="標楷體" w:eastAsia="標楷體" w:hAnsi="標楷體"/>
          <w:kern w:val="0"/>
          <w:szCs w:val="24"/>
        </w:rPr>
        <w:t>)</w:t>
      </w:r>
    </w:p>
    <w:p w:rsidR="007455F6" w:rsidRPr="00EA15AB" w:rsidRDefault="007455F6" w:rsidP="007455F6">
      <w:pPr>
        <w:spacing w:line="400" w:lineRule="exact"/>
        <w:ind w:left="851" w:hanging="284"/>
        <w:rPr>
          <w:rFonts w:ascii="標楷體" w:eastAsia="標楷體" w:hAnsi="標楷體"/>
        </w:rPr>
      </w:pPr>
      <w:r w:rsidRPr="00EA15AB">
        <w:rPr>
          <w:rFonts w:ascii="標楷體" w:eastAsia="標楷體" w:hAnsi="標楷體"/>
          <w:color w:val="000000"/>
          <w:szCs w:val="24"/>
        </w:rPr>
        <w:t>2.三陰性乳癌(olaparib、talazoparib)：(109/11/1、111/6/1、111/8/1、112</w:t>
      </w:r>
      <w:r w:rsidRPr="00EA15AB">
        <w:rPr>
          <w:rFonts w:ascii="標楷體" w:eastAsia="標楷體" w:hAnsi="標楷體" w:cs="BiauKai"/>
          <w:color w:val="000000"/>
          <w:szCs w:val="24"/>
        </w:rPr>
        <w:t>/1/1、113/6/1</w:t>
      </w:r>
      <w:r w:rsidRPr="00EA15AB">
        <w:rPr>
          <w:rFonts w:ascii="標楷體" w:eastAsia="標楷體" w:hAnsi="標楷體"/>
          <w:color w:val="000000"/>
          <w:szCs w:val="24"/>
        </w:rPr>
        <w:t>)</w:t>
      </w:r>
    </w:p>
    <w:p w:rsidR="007455F6" w:rsidRPr="00EA15AB" w:rsidRDefault="007455F6" w:rsidP="007455F6">
      <w:pPr>
        <w:spacing w:line="400" w:lineRule="exact"/>
        <w:ind w:left="1517" w:hanging="480"/>
        <w:rPr>
          <w:rFonts w:ascii="標楷體" w:eastAsia="標楷體" w:hAnsi="標楷體"/>
        </w:rPr>
      </w:pPr>
      <w:r w:rsidRPr="00EA15AB">
        <w:rPr>
          <w:rFonts w:ascii="標楷體" w:eastAsia="標楷體" w:hAnsi="標楷體"/>
          <w:color w:val="000000"/>
          <w:szCs w:val="24"/>
        </w:rPr>
        <w:t>(1)olaparib單獨使用於曾接受前導性、術後輔助性或轉移性化療，且具germline BRCA 1/2致病性或疑似致病性突變之三陰性(荷爾蒙接受體及 HER2受體皆為陰性)轉移性乳癌病人。(109/11/1、111/8/1、112/1/1)</w:t>
      </w:r>
    </w:p>
    <w:p w:rsidR="007455F6" w:rsidRPr="00EA15AB" w:rsidRDefault="007455F6" w:rsidP="007455F6">
      <w:pPr>
        <w:tabs>
          <w:tab w:val="left" w:pos="1418"/>
        </w:tabs>
        <w:spacing w:line="400" w:lineRule="exact"/>
        <w:ind w:left="1515" w:hanging="425"/>
        <w:rPr>
          <w:rFonts w:ascii="標楷體" w:eastAsia="標楷體" w:hAnsi="標楷體"/>
        </w:rPr>
      </w:pPr>
      <w:r w:rsidRPr="00EA15AB">
        <w:rPr>
          <w:rFonts w:ascii="標楷體" w:eastAsia="標楷體" w:hAnsi="標楷體"/>
          <w:color w:val="000000"/>
        </w:rPr>
        <w:t>(2)</w:t>
      </w:r>
      <w:r w:rsidRPr="00EA15AB">
        <w:rPr>
          <w:rFonts w:ascii="標楷體" w:eastAsia="標楷體" w:hAnsi="標楷體"/>
          <w:color w:val="000000"/>
          <w:szCs w:val="24"/>
        </w:rPr>
        <w:t>talazoparib</w:t>
      </w:r>
      <w:r w:rsidRPr="00EA15AB">
        <w:rPr>
          <w:rFonts w:ascii="標楷體" w:eastAsia="標楷體" w:hAnsi="標楷體" w:cs="BiauKai"/>
          <w:color w:val="000000"/>
          <w:szCs w:val="24"/>
        </w:rPr>
        <w:t>限用於治療同時符合下列條件之18歲以上局部晚期或轉移性乳癌病患：(110/3/1、111/8/1</w:t>
      </w:r>
      <w:r w:rsidRPr="00EA15AB">
        <w:rPr>
          <w:rFonts w:ascii="標楷體" w:eastAsia="標楷體" w:hAnsi="標楷體"/>
          <w:color w:val="000000"/>
          <w:szCs w:val="24"/>
        </w:rPr>
        <w:t>、112</w:t>
      </w:r>
      <w:r w:rsidRPr="00EA15AB">
        <w:rPr>
          <w:rFonts w:ascii="標楷體" w:eastAsia="標楷體" w:hAnsi="標楷體" w:cs="BiauKai"/>
          <w:color w:val="000000"/>
          <w:szCs w:val="24"/>
        </w:rPr>
        <w:t>/1/1)</w:t>
      </w:r>
    </w:p>
    <w:p w:rsidR="007455F6" w:rsidRPr="00EA15AB" w:rsidRDefault="007455F6" w:rsidP="007455F6">
      <w:pPr>
        <w:spacing w:line="400" w:lineRule="exact"/>
        <w:ind w:left="1711" w:hanging="240"/>
        <w:rPr>
          <w:rFonts w:ascii="標楷體" w:eastAsia="標楷體" w:hAnsi="標楷體"/>
        </w:rPr>
      </w:pPr>
      <w:r w:rsidRPr="00EA15AB">
        <w:rPr>
          <w:rFonts w:ascii="標楷體" w:eastAsia="標楷體" w:hAnsi="標楷體"/>
          <w:color w:val="000000"/>
          <w:szCs w:val="24"/>
        </w:rPr>
        <w:t>I.</w:t>
      </w:r>
      <w:r w:rsidRPr="00EA15AB">
        <w:rPr>
          <w:rFonts w:ascii="標楷體" w:eastAsia="標楷體" w:hAnsi="標楷體" w:cs="BiauKai"/>
          <w:color w:val="000000"/>
          <w:szCs w:val="24"/>
        </w:rPr>
        <w:t>曾接受前導性、術後輔助性或轉移性化療者，或是無法接受化療者。</w:t>
      </w:r>
    </w:p>
    <w:p w:rsidR="007455F6" w:rsidRPr="00EA15AB" w:rsidRDefault="007455F6" w:rsidP="007455F6">
      <w:pPr>
        <w:spacing w:line="400" w:lineRule="exact"/>
        <w:ind w:left="1711" w:hanging="240"/>
        <w:rPr>
          <w:rFonts w:ascii="標楷體" w:eastAsia="標楷體" w:hAnsi="標楷體"/>
        </w:rPr>
      </w:pPr>
      <w:r w:rsidRPr="00EA15AB">
        <w:rPr>
          <w:rFonts w:ascii="標楷體" w:eastAsia="標楷體" w:hAnsi="標楷體"/>
          <w:color w:val="000000"/>
          <w:szCs w:val="24"/>
        </w:rPr>
        <w:t>Ⅱ.</w:t>
      </w:r>
      <w:r w:rsidRPr="00EA15AB">
        <w:rPr>
          <w:rFonts w:ascii="標楷體" w:eastAsia="標楷體" w:hAnsi="標楷體" w:cs="BiauKai"/>
          <w:color w:val="000000"/>
          <w:szCs w:val="24"/>
        </w:rPr>
        <w:t>具germline BRCA 1/2突變(110/3/1、111/8/1)</w:t>
      </w:r>
    </w:p>
    <w:p w:rsidR="007455F6" w:rsidRPr="00EA15AB" w:rsidRDefault="007455F6" w:rsidP="007455F6">
      <w:pPr>
        <w:spacing w:line="400" w:lineRule="exact"/>
        <w:ind w:left="1711" w:hanging="240"/>
        <w:rPr>
          <w:rFonts w:ascii="標楷體" w:eastAsia="標楷體" w:hAnsi="標楷體"/>
        </w:rPr>
      </w:pPr>
      <w:r w:rsidRPr="00EA15AB">
        <w:rPr>
          <w:rFonts w:ascii="標楷體" w:eastAsia="標楷體" w:hAnsi="標楷體"/>
          <w:color w:val="000000"/>
          <w:szCs w:val="24"/>
        </w:rPr>
        <w:t>Ⅲ.</w:t>
      </w:r>
      <w:r w:rsidRPr="00EA15AB">
        <w:rPr>
          <w:rFonts w:ascii="標楷體" w:eastAsia="標楷體" w:hAnsi="標楷體" w:cs="BiauKai"/>
          <w:color w:val="000000"/>
          <w:szCs w:val="24"/>
        </w:rPr>
        <w:t>第二型人類表皮生長因子接受體(HER2)、雌激素受體(ER)以及黃體素受體(PR)均呈現陰性。</w:t>
      </w:r>
    </w:p>
    <w:p w:rsidR="007455F6" w:rsidRPr="00EA15AB" w:rsidRDefault="007455F6" w:rsidP="007455F6">
      <w:pPr>
        <w:spacing w:line="400" w:lineRule="exact"/>
        <w:ind w:left="948"/>
        <w:rPr>
          <w:rFonts w:ascii="標楷體" w:eastAsia="標楷體" w:hAnsi="標楷體"/>
        </w:rPr>
      </w:pPr>
      <w:r w:rsidRPr="00EA15AB">
        <w:rPr>
          <w:rFonts w:ascii="標楷體" w:eastAsia="標楷體" w:hAnsi="標楷體"/>
          <w:color w:val="000000"/>
          <w:szCs w:val="24"/>
        </w:rPr>
        <w:t xml:space="preserve"> (3)須經事前審查核准後使用：(109/11/1、111/6/1、111/8/1、</w:t>
      </w:r>
      <w:r w:rsidRPr="00EA15AB">
        <w:rPr>
          <w:rFonts w:ascii="標楷體" w:eastAsia="標楷體" w:hAnsi="標楷體" w:cs="BiauKai"/>
          <w:color w:val="000000"/>
          <w:szCs w:val="24"/>
        </w:rPr>
        <w:t>112/1/1、113/6/1</w:t>
      </w:r>
      <w:r w:rsidRPr="00EA15AB">
        <w:rPr>
          <w:rFonts w:ascii="標楷體" w:eastAsia="標楷體" w:hAnsi="標楷體"/>
          <w:color w:val="000000"/>
          <w:szCs w:val="24"/>
        </w:rPr>
        <w:t>)</w:t>
      </w:r>
    </w:p>
    <w:p w:rsidR="007455F6" w:rsidRPr="00EA15AB" w:rsidRDefault="007455F6" w:rsidP="007455F6">
      <w:pPr>
        <w:tabs>
          <w:tab w:val="left" w:pos="5245"/>
        </w:tabs>
        <w:spacing w:line="400" w:lineRule="exact"/>
        <w:ind w:left="1276"/>
        <w:rPr>
          <w:rFonts w:ascii="標楷體" w:eastAsia="標楷體" w:hAnsi="標楷體"/>
          <w:color w:val="000000"/>
          <w:szCs w:val="24"/>
        </w:rPr>
      </w:pPr>
      <w:r w:rsidRPr="00EA15AB">
        <w:rPr>
          <w:rFonts w:ascii="標楷體" w:eastAsia="標楷體" w:hAnsi="標楷體"/>
          <w:color w:val="000000"/>
          <w:szCs w:val="24"/>
        </w:rPr>
        <w:t>I.每次申請之療程以3個月為限。</w:t>
      </w:r>
    </w:p>
    <w:p w:rsidR="007455F6" w:rsidRPr="00EA15AB" w:rsidRDefault="007455F6" w:rsidP="007455F6">
      <w:pPr>
        <w:tabs>
          <w:tab w:val="left" w:pos="5245"/>
        </w:tabs>
        <w:spacing w:line="400" w:lineRule="exact"/>
        <w:ind w:left="1276"/>
        <w:rPr>
          <w:rFonts w:ascii="標楷體" w:eastAsia="標楷體" w:hAnsi="標楷體"/>
          <w:color w:val="000000"/>
          <w:szCs w:val="24"/>
        </w:rPr>
      </w:pPr>
      <w:r w:rsidRPr="00EA15AB">
        <w:rPr>
          <w:rFonts w:ascii="標楷體" w:eastAsia="標楷體" w:hAnsi="標楷體"/>
          <w:color w:val="000000"/>
          <w:szCs w:val="24"/>
        </w:rPr>
        <w:t>Ⅱ.初次申請時需檢附ER、PR、HER2皆為陰性之檢測報告，以及germline BRCA 1/2突變之檢測報告，且需符合全民健康保險藥品給付規定之通則十二。 (111/6/1、111/8/1、113/6/1)</w:t>
      </w:r>
    </w:p>
    <w:p w:rsidR="007455F6" w:rsidRPr="00EA15AB" w:rsidRDefault="007455F6" w:rsidP="007455F6">
      <w:pPr>
        <w:tabs>
          <w:tab w:val="left" w:pos="5245"/>
        </w:tabs>
        <w:spacing w:line="400" w:lineRule="exact"/>
        <w:ind w:left="1276"/>
        <w:rPr>
          <w:rFonts w:ascii="標楷體" w:eastAsia="標楷體" w:hAnsi="標楷體"/>
          <w:color w:val="000000"/>
          <w:szCs w:val="24"/>
        </w:rPr>
      </w:pPr>
      <w:r w:rsidRPr="00EA15AB">
        <w:rPr>
          <w:rFonts w:ascii="標楷體" w:eastAsia="標楷體" w:hAnsi="標楷體"/>
          <w:color w:val="000000"/>
          <w:szCs w:val="24"/>
        </w:rPr>
        <w:lastRenderedPageBreak/>
        <w:t xml:space="preserve">Ⅲ.再次申請必須提出客觀證據（如：影像學）證實無惡化，才可繼續使  </w:t>
      </w:r>
    </w:p>
    <w:p w:rsidR="007455F6" w:rsidRPr="00EA15AB" w:rsidRDefault="007455F6" w:rsidP="007455F6">
      <w:pPr>
        <w:spacing w:line="400" w:lineRule="exact"/>
        <w:ind w:left="1517" w:hanging="360"/>
        <w:rPr>
          <w:rFonts w:ascii="標楷體" w:eastAsia="標楷體" w:hAnsi="標楷體"/>
          <w:color w:val="000000"/>
          <w:szCs w:val="24"/>
        </w:rPr>
      </w:pPr>
      <w:r w:rsidRPr="00EA15AB">
        <w:rPr>
          <w:rFonts w:ascii="標楷體" w:eastAsia="標楷體" w:hAnsi="標楷體"/>
          <w:color w:val="000000"/>
          <w:szCs w:val="24"/>
        </w:rPr>
        <w:t xml:space="preserve">    用。</w:t>
      </w:r>
    </w:p>
    <w:p w:rsidR="007455F6" w:rsidRPr="00EA15AB" w:rsidRDefault="007455F6" w:rsidP="007455F6">
      <w:pPr>
        <w:spacing w:line="400" w:lineRule="exact"/>
        <w:ind w:left="1373" w:hanging="281"/>
        <w:rPr>
          <w:rFonts w:ascii="標楷體" w:eastAsia="標楷體" w:hAnsi="標楷體"/>
        </w:rPr>
      </w:pPr>
      <w:r w:rsidRPr="00EA15AB">
        <w:rPr>
          <w:rFonts w:ascii="標楷體" w:eastAsia="標楷體" w:hAnsi="標楷體"/>
          <w:color w:val="000000"/>
          <w:szCs w:val="24"/>
        </w:rPr>
        <w:t>(4)</w:t>
      </w:r>
      <w:r w:rsidRPr="00EA15AB">
        <w:rPr>
          <w:rFonts w:ascii="標楷體" w:eastAsia="標楷體" w:hAnsi="標楷體" w:cs="BiauKai"/>
          <w:color w:val="000000"/>
          <w:szCs w:val="24"/>
        </w:rPr>
        <w:t>Olaparib與talazoparib僅得擇一使用，除因耐受性不良，不得互換。（111/8/1</w:t>
      </w:r>
      <w:r w:rsidRPr="00EA15AB">
        <w:rPr>
          <w:rFonts w:ascii="標楷體" w:eastAsia="標楷體" w:hAnsi="標楷體"/>
          <w:color w:val="000000"/>
          <w:szCs w:val="24"/>
        </w:rPr>
        <w:t>、</w:t>
      </w:r>
      <w:r w:rsidRPr="00EA15AB">
        <w:rPr>
          <w:rFonts w:ascii="標楷體" w:eastAsia="標楷體" w:hAnsi="標楷體" w:cs="BiauKai"/>
          <w:color w:val="000000"/>
          <w:szCs w:val="24"/>
        </w:rPr>
        <w:t>112/1/1)</w:t>
      </w:r>
    </w:p>
    <w:p w:rsidR="007455F6" w:rsidRPr="00EA15AB" w:rsidRDefault="007455F6" w:rsidP="007455F6">
      <w:pPr>
        <w:spacing w:line="400" w:lineRule="exact"/>
        <w:ind w:left="851" w:hanging="284"/>
        <w:rPr>
          <w:rFonts w:ascii="標楷體" w:eastAsia="標楷體" w:hAnsi="標楷體"/>
          <w:color w:val="000000"/>
        </w:rPr>
      </w:pPr>
      <w:r w:rsidRPr="00EA15AB">
        <w:rPr>
          <w:rFonts w:ascii="標楷體" w:eastAsia="標楷體" w:hAnsi="標楷體"/>
          <w:color w:val="000000"/>
        </w:rPr>
        <w:t>3.去勢療法無效的轉移性攝護腺癌 (mCRPC) (olaparib)：（112/11/1、113/6/1、114/6/1)</w:t>
      </w:r>
    </w:p>
    <w:p w:rsidR="007455F6" w:rsidRPr="00EA15AB" w:rsidRDefault="007455F6" w:rsidP="007455F6">
      <w:pPr>
        <w:spacing w:line="400" w:lineRule="exact"/>
        <w:ind w:left="1569" w:hanging="566"/>
        <w:rPr>
          <w:rFonts w:ascii="標楷體" w:eastAsia="標楷體" w:hAnsi="標楷體"/>
          <w:color w:val="000000"/>
        </w:rPr>
      </w:pPr>
      <w:r w:rsidRPr="00EA15AB">
        <w:rPr>
          <w:rFonts w:ascii="標楷體" w:eastAsia="標楷體" w:hAnsi="標楷體"/>
          <w:color w:val="000000"/>
        </w:rPr>
        <w:t xml:space="preserve">(1)單獨使用於具germline or somatic BRCA 1/2致病性或疑似致病性突變且先前接受過新荷爾蒙藥物(novel hormonal agents)治療後惡化之成人病人。 </w:t>
      </w:r>
    </w:p>
    <w:p w:rsidR="007455F6" w:rsidRPr="00EA15AB" w:rsidRDefault="007455F6" w:rsidP="007455F6">
      <w:pPr>
        <w:spacing w:line="400" w:lineRule="exact"/>
        <w:ind w:left="1569" w:hanging="566"/>
        <w:rPr>
          <w:rFonts w:ascii="標楷體" w:eastAsia="標楷體" w:hAnsi="標楷體"/>
          <w:color w:val="000000"/>
        </w:rPr>
      </w:pPr>
      <w:r w:rsidRPr="00EA15AB">
        <w:rPr>
          <w:rFonts w:ascii="標楷體" w:eastAsia="標楷體" w:hAnsi="標楷體"/>
          <w:color w:val="000000"/>
        </w:rPr>
        <w:t>(2) 併用abiraterone及prednisone或prednisolone，用於具germline或 somatic BRCA 1/2致病性或疑似致病性突變且尚未接受化學治療之成人病人：(114/6/1）</w:t>
      </w:r>
    </w:p>
    <w:p w:rsidR="007455F6" w:rsidRPr="00EA15AB" w:rsidRDefault="007455F6" w:rsidP="007455F6">
      <w:pPr>
        <w:tabs>
          <w:tab w:val="left" w:pos="5245"/>
        </w:tabs>
        <w:spacing w:line="400" w:lineRule="exact"/>
        <w:ind w:left="1276"/>
        <w:rPr>
          <w:rFonts w:ascii="標楷體" w:eastAsia="標楷體" w:hAnsi="標楷體"/>
          <w:color w:val="000000"/>
          <w:szCs w:val="24"/>
        </w:rPr>
      </w:pPr>
      <w:r w:rsidRPr="00EA15AB">
        <w:rPr>
          <w:rFonts w:ascii="標楷體" w:eastAsia="標楷體" w:hAnsi="標楷體"/>
          <w:color w:val="000000"/>
          <w:szCs w:val="24"/>
        </w:rPr>
        <w:t>I.需符合下列條件之 一：</w:t>
      </w:r>
    </w:p>
    <w:p w:rsidR="007455F6" w:rsidRPr="00EA15AB" w:rsidRDefault="007455F6" w:rsidP="007455F6">
      <w:pPr>
        <w:spacing w:line="400" w:lineRule="exact"/>
        <w:ind w:left="1699" w:hanging="281"/>
        <w:rPr>
          <w:rFonts w:ascii="標楷體" w:eastAsia="標楷體" w:hAnsi="標楷體"/>
          <w:color w:val="000000"/>
        </w:rPr>
      </w:pPr>
      <w:r w:rsidRPr="00EA15AB">
        <w:rPr>
          <w:rFonts w:ascii="標楷體" w:eastAsia="標楷體" w:hAnsi="標楷體"/>
          <w:color w:val="000000"/>
        </w:rPr>
        <w:t>i.未曾使用新型荷爾蒙藥品(abiraterone、apalutamide、darolutamide和enzalutamide)治療前列腺癌。</w:t>
      </w:r>
    </w:p>
    <w:p w:rsidR="007455F6" w:rsidRPr="00EA15AB" w:rsidRDefault="007455F6" w:rsidP="007455F6">
      <w:pPr>
        <w:spacing w:line="400" w:lineRule="exact"/>
        <w:ind w:left="1699" w:hanging="281"/>
        <w:rPr>
          <w:rFonts w:ascii="標楷體" w:eastAsia="標楷體" w:hAnsi="標楷體"/>
          <w:color w:val="000000"/>
        </w:rPr>
      </w:pPr>
      <w:r w:rsidRPr="00EA15AB">
        <w:rPr>
          <w:rFonts w:ascii="標楷體" w:eastAsia="標楷體" w:hAnsi="標楷體"/>
          <w:color w:val="000000"/>
        </w:rPr>
        <w:t>ii.於mCRPC階段使用abiraterone治療未超過4個月且使用期間未惡化。</w:t>
      </w:r>
    </w:p>
    <w:p w:rsidR="007455F6" w:rsidRPr="00EA15AB" w:rsidRDefault="007455F6" w:rsidP="007455F6">
      <w:pPr>
        <w:tabs>
          <w:tab w:val="left" w:pos="5245"/>
        </w:tabs>
        <w:spacing w:line="400" w:lineRule="exact"/>
        <w:ind w:left="1276"/>
        <w:rPr>
          <w:rFonts w:ascii="標楷體" w:eastAsia="標楷體" w:hAnsi="標楷體"/>
        </w:rPr>
      </w:pPr>
      <w:r w:rsidRPr="00EA15AB">
        <w:rPr>
          <w:rFonts w:ascii="標楷體" w:eastAsia="標楷體" w:hAnsi="標楷體"/>
          <w:color w:val="000000"/>
          <w:szCs w:val="24"/>
        </w:rPr>
        <w:t>Ⅱ.不論病人處於轉移或非轉移的狀態下，新型荷爾蒙藥品(abiraterone、apalutamide、darolutamide和enzalutamide) ，及olaparib 與 abiraterone併用，終生僅能接受一種治療，且除非出現嚴重不耐受反應導致必須永久停止治療，不得互換。</w:t>
      </w:r>
    </w:p>
    <w:p w:rsidR="007455F6" w:rsidRPr="00EA15AB" w:rsidRDefault="007455F6" w:rsidP="007455F6">
      <w:pPr>
        <w:spacing w:line="400" w:lineRule="exact"/>
        <w:ind w:left="1569" w:hanging="566"/>
        <w:rPr>
          <w:rFonts w:ascii="標楷體" w:eastAsia="標楷體" w:hAnsi="標楷體"/>
        </w:rPr>
      </w:pPr>
      <w:r w:rsidRPr="00EA15AB">
        <w:rPr>
          <w:rFonts w:ascii="標楷體" w:eastAsia="標楷體" w:hAnsi="標楷體"/>
          <w:color w:val="000000"/>
        </w:rPr>
        <w:t>(3)經事前審查核准後使用，每3個月需再次申請：(113/6/1)</w:t>
      </w:r>
    </w:p>
    <w:p w:rsidR="007455F6" w:rsidRPr="00EA15AB" w:rsidRDefault="007455F6" w:rsidP="007455F6">
      <w:pPr>
        <w:spacing w:line="400" w:lineRule="exact"/>
        <w:ind w:left="1809" w:hanging="566"/>
        <w:rPr>
          <w:rFonts w:ascii="標楷體" w:eastAsia="標楷體" w:hAnsi="標楷體"/>
          <w:color w:val="000000"/>
        </w:rPr>
      </w:pPr>
      <w:r w:rsidRPr="00EA15AB">
        <w:rPr>
          <w:rFonts w:ascii="標楷體" w:eastAsia="標楷體" w:hAnsi="標楷體"/>
          <w:color w:val="000000"/>
        </w:rPr>
        <w:t>Ⅰ.初次申請時需檢附germline or somatic BRCA 1/2突變檢測報告，且需符合全民健康保險藥品給付規定之通則十二。</w:t>
      </w:r>
    </w:p>
    <w:p w:rsidR="007455F6" w:rsidRPr="00EA15AB" w:rsidRDefault="007455F6" w:rsidP="007455F6">
      <w:pPr>
        <w:spacing w:line="400" w:lineRule="exact"/>
        <w:ind w:left="1809" w:hanging="566"/>
        <w:rPr>
          <w:rFonts w:ascii="標楷體" w:eastAsia="標楷體" w:hAnsi="標楷體"/>
          <w:color w:val="000000"/>
        </w:rPr>
      </w:pPr>
      <w:r w:rsidRPr="00EA15AB">
        <w:rPr>
          <w:rFonts w:ascii="標楷體" w:eastAsia="標楷體" w:hAnsi="標楷體"/>
          <w:color w:val="000000"/>
        </w:rPr>
        <w:t>Ⅱ.申請時需檢附病理報告、使用雄性素去除療法紀錄及系列PSA和睪固酮數據。</w:t>
      </w:r>
    </w:p>
    <w:p w:rsidR="007455F6" w:rsidRPr="00EA15AB" w:rsidRDefault="007455F6" w:rsidP="007455F6">
      <w:pPr>
        <w:spacing w:line="400" w:lineRule="exact"/>
        <w:ind w:left="1809" w:hanging="566"/>
        <w:rPr>
          <w:rFonts w:ascii="標楷體" w:eastAsia="標楷體" w:hAnsi="標楷體"/>
          <w:color w:val="000000"/>
        </w:rPr>
      </w:pPr>
      <w:r w:rsidRPr="00EA15AB">
        <w:rPr>
          <w:rFonts w:ascii="標楷體" w:eastAsia="標楷體" w:hAnsi="標楷體"/>
          <w:color w:val="000000"/>
        </w:rPr>
        <w:t>Ⅲ.再申請時若PSA值下降未超過治療前的50%以上，則需停藥。</w:t>
      </w:r>
    </w:p>
    <w:p w:rsidR="007455F6" w:rsidRPr="00EA15AB" w:rsidRDefault="007455F6" w:rsidP="007455F6">
      <w:pPr>
        <w:spacing w:line="400" w:lineRule="exact"/>
        <w:ind w:left="1809" w:hanging="566"/>
        <w:rPr>
          <w:rFonts w:ascii="標楷體" w:eastAsia="標楷體" w:hAnsi="標楷體"/>
          <w:color w:val="000000"/>
        </w:rPr>
      </w:pPr>
      <w:r w:rsidRPr="00EA15AB">
        <w:rPr>
          <w:rFonts w:ascii="標楷體" w:eastAsia="標楷體" w:hAnsi="標楷體"/>
          <w:color w:val="000000"/>
        </w:rPr>
        <w:t>IV.下降達最低值後之持續追蹤出現PSA較最低值上升50%以上且PSA≧2ng/ml，則需停藥，但影像學證據尚無疾病進展者，可以繼續使用。</w:t>
      </w:r>
    </w:p>
    <w:p w:rsidR="007455F6" w:rsidRPr="00EA15AB" w:rsidRDefault="007455F6" w:rsidP="007455F6">
      <w:pPr>
        <w:spacing w:line="400" w:lineRule="exact"/>
        <w:ind w:left="1569" w:hanging="566"/>
        <w:rPr>
          <w:rFonts w:ascii="標楷體" w:eastAsia="標楷體" w:hAnsi="標楷體"/>
          <w:color w:val="000000"/>
        </w:rPr>
      </w:pPr>
      <w:r w:rsidRPr="00EA15AB">
        <w:rPr>
          <w:rFonts w:ascii="標楷體" w:eastAsia="標楷體" w:hAnsi="標楷體"/>
          <w:color w:val="000000"/>
        </w:rPr>
        <w:t>(3)不得合併化療使用。</w:t>
      </w:r>
    </w:p>
    <w:p w:rsidR="007455F6" w:rsidRPr="00EA15AB" w:rsidRDefault="007455F6" w:rsidP="007455F6">
      <w:pPr>
        <w:spacing w:line="400" w:lineRule="exact"/>
        <w:ind w:left="851" w:hanging="284"/>
        <w:rPr>
          <w:rFonts w:ascii="標楷體" w:eastAsia="標楷體" w:hAnsi="標楷體"/>
        </w:rPr>
      </w:pPr>
      <w:r w:rsidRPr="00EA15AB">
        <w:rPr>
          <w:rFonts w:ascii="標楷體" w:eastAsia="標楷體" w:hAnsi="標楷體"/>
        </w:rPr>
        <w:t>4.高復發風險之</w:t>
      </w:r>
      <w:r w:rsidRPr="00A47AB0">
        <w:rPr>
          <w:rFonts w:ascii="標楷體" w:eastAsia="標楷體" w:hAnsi="標楷體"/>
          <w:color w:val="000000"/>
        </w:rPr>
        <w:t>早期</w:t>
      </w:r>
      <w:r w:rsidRPr="00EA15AB">
        <w:rPr>
          <w:rFonts w:ascii="標楷體" w:eastAsia="標楷體" w:hAnsi="標楷體"/>
        </w:rPr>
        <w:t>乳癌(olaparib)：(114/6/1)</w:t>
      </w:r>
    </w:p>
    <w:p w:rsidR="007455F6" w:rsidRPr="00EA15AB" w:rsidRDefault="007455F6" w:rsidP="007455F6">
      <w:pPr>
        <w:spacing w:line="400" w:lineRule="exact"/>
        <w:ind w:left="1418" w:hanging="425"/>
        <w:rPr>
          <w:rFonts w:ascii="標楷體" w:eastAsia="標楷體" w:hAnsi="標楷體"/>
          <w:color w:val="000000"/>
          <w:szCs w:val="24"/>
        </w:rPr>
      </w:pPr>
      <w:r w:rsidRPr="00EA15AB">
        <w:rPr>
          <w:rFonts w:ascii="標楷體" w:eastAsia="標楷體" w:hAnsi="標楷體"/>
          <w:color w:val="000000"/>
          <w:szCs w:val="24"/>
        </w:rPr>
        <w:t>(1)Olaparib適用於曾接受前導性化療或術後輔助性化療，且具遺傳性BRCA1/2 (germline BRCA1/2)突變併 HER2陰性而有高復發風險之早期乳癌成年病人術後輔助治療，依藥品仿單記載以1年為上限。</w:t>
      </w:r>
    </w:p>
    <w:p w:rsidR="007455F6" w:rsidRPr="00EA15AB" w:rsidRDefault="007455F6" w:rsidP="007455F6">
      <w:pPr>
        <w:spacing w:line="400" w:lineRule="exact"/>
        <w:ind w:left="1569" w:hanging="566"/>
        <w:rPr>
          <w:rFonts w:ascii="標楷體" w:eastAsia="標楷體" w:hAnsi="標楷體"/>
          <w:color w:val="000000"/>
          <w:szCs w:val="24"/>
        </w:rPr>
      </w:pPr>
      <w:r w:rsidRPr="00EA15AB">
        <w:rPr>
          <w:rFonts w:ascii="標楷體" w:eastAsia="標楷體" w:hAnsi="標楷體"/>
          <w:color w:val="000000"/>
          <w:szCs w:val="24"/>
        </w:rPr>
        <w:t>(2)病人須完成至少6個週期的前導性化療或術後輔助性化療，且化療處方須含有anthracyclines類藥物、taxane類藥物，或兩者的複方；亦允許含鉑化療。</w:t>
      </w:r>
    </w:p>
    <w:p w:rsidR="007455F6" w:rsidRPr="00EA15AB" w:rsidRDefault="007455F6" w:rsidP="007455F6">
      <w:pPr>
        <w:spacing w:line="400" w:lineRule="exact"/>
        <w:ind w:left="1418" w:hanging="425"/>
        <w:rPr>
          <w:rFonts w:ascii="標楷體" w:eastAsia="標楷體" w:hAnsi="標楷體"/>
          <w:color w:val="000000"/>
          <w:szCs w:val="24"/>
        </w:rPr>
      </w:pPr>
      <w:r w:rsidRPr="00EA15AB">
        <w:rPr>
          <w:rFonts w:ascii="標楷體" w:eastAsia="標楷體" w:hAnsi="標楷體"/>
          <w:color w:val="000000"/>
          <w:szCs w:val="24"/>
        </w:rPr>
        <w:t>(3)病人須在最後一次治療(包括手術、化療或放療)完成後的12週內使用olaparib。</w:t>
      </w:r>
    </w:p>
    <w:p w:rsidR="007455F6" w:rsidRPr="00EA15AB" w:rsidRDefault="007455F6" w:rsidP="007455F6">
      <w:pPr>
        <w:spacing w:line="400" w:lineRule="exact"/>
        <w:ind w:left="1569" w:hanging="566"/>
        <w:rPr>
          <w:rFonts w:ascii="標楷體" w:eastAsia="標楷體" w:hAnsi="標楷體"/>
          <w:color w:val="000000"/>
          <w:szCs w:val="24"/>
        </w:rPr>
      </w:pPr>
      <w:r w:rsidRPr="00EA15AB">
        <w:rPr>
          <w:rFonts w:ascii="標楷體" w:eastAsia="標楷體" w:hAnsi="標楷體"/>
          <w:color w:val="000000"/>
          <w:szCs w:val="24"/>
        </w:rPr>
        <w:lastRenderedPageBreak/>
        <w:t>(4)須符合下列之高復發風險條件：</w:t>
      </w:r>
    </w:p>
    <w:p w:rsidR="007455F6" w:rsidRPr="00EA15AB" w:rsidRDefault="007455F6" w:rsidP="007455F6">
      <w:pPr>
        <w:spacing w:line="400" w:lineRule="exact"/>
        <w:ind w:left="1809" w:hanging="566"/>
        <w:rPr>
          <w:rFonts w:ascii="標楷體" w:eastAsia="標楷體" w:hAnsi="標楷體"/>
          <w:color w:val="000000"/>
        </w:rPr>
      </w:pPr>
      <w:r w:rsidRPr="00EA15AB">
        <w:rPr>
          <w:rFonts w:ascii="標楷體" w:eastAsia="標楷體" w:hAnsi="標楷體"/>
          <w:color w:val="000000"/>
        </w:rPr>
        <w:t>Ⅰ.三陰性乳癌：</w:t>
      </w:r>
    </w:p>
    <w:p w:rsidR="007455F6" w:rsidRPr="00EA15AB" w:rsidRDefault="007455F6" w:rsidP="007455F6">
      <w:pPr>
        <w:spacing w:line="400" w:lineRule="exact"/>
        <w:ind w:left="1699" w:hanging="281"/>
        <w:rPr>
          <w:rFonts w:ascii="標楷體" w:eastAsia="標楷體" w:hAnsi="標楷體"/>
          <w:color w:val="000000"/>
        </w:rPr>
      </w:pPr>
      <w:r w:rsidRPr="00EA15AB">
        <w:rPr>
          <w:rFonts w:ascii="標楷體" w:eastAsia="標楷體" w:hAnsi="標楷體"/>
          <w:color w:val="000000"/>
        </w:rPr>
        <w:t>i.針對曾接受前導性化療的病人，須符合於乳房和/或手術切除的淋巴結中發現有殘餘的侵襲性癌症(non-pCR)。</w:t>
      </w:r>
    </w:p>
    <w:p w:rsidR="007455F6" w:rsidRPr="00EA15AB" w:rsidRDefault="007455F6" w:rsidP="007455F6">
      <w:pPr>
        <w:spacing w:line="400" w:lineRule="exact"/>
        <w:ind w:left="1699" w:hanging="281"/>
        <w:rPr>
          <w:rFonts w:ascii="標楷體" w:eastAsia="標楷體" w:hAnsi="標楷體"/>
          <w:color w:val="000000"/>
          <w:szCs w:val="24"/>
        </w:rPr>
      </w:pPr>
      <w:r w:rsidRPr="00EA15AB">
        <w:rPr>
          <w:rFonts w:ascii="標楷體" w:eastAsia="標楷體" w:hAnsi="標楷體"/>
          <w:color w:val="000000"/>
          <w:szCs w:val="24"/>
        </w:rPr>
        <w:t>ii.針對曾接受手術且接續術後輔助性化療的病人，須具有腋窩淋巴結陽性(≧pN1)，或腋窩淋巴結陰性(pN0)且原發性病理腫瘤大小≧2公分(≧pT2)。</w:t>
      </w:r>
    </w:p>
    <w:p w:rsidR="007455F6" w:rsidRPr="00EA15AB" w:rsidRDefault="007455F6" w:rsidP="007455F6">
      <w:pPr>
        <w:spacing w:line="400" w:lineRule="exact"/>
        <w:ind w:left="1809" w:hanging="566"/>
        <w:rPr>
          <w:rFonts w:ascii="標楷體" w:eastAsia="標楷體" w:hAnsi="標楷體"/>
          <w:color w:val="000000"/>
        </w:rPr>
      </w:pPr>
      <w:r w:rsidRPr="00EA15AB">
        <w:rPr>
          <w:rFonts w:ascii="標楷體" w:eastAsia="標楷體" w:hAnsi="標楷體"/>
          <w:color w:val="000000"/>
        </w:rPr>
        <w:t>Ⅱ.HR陽性且HER2陰性乳癌：</w:t>
      </w:r>
    </w:p>
    <w:p w:rsidR="007455F6" w:rsidRPr="00EA15AB" w:rsidRDefault="007455F6" w:rsidP="007455F6">
      <w:pPr>
        <w:spacing w:line="400" w:lineRule="exact"/>
        <w:ind w:left="1699" w:hanging="281"/>
        <w:rPr>
          <w:rFonts w:ascii="標楷體" w:eastAsia="標楷體" w:hAnsi="標楷體"/>
          <w:color w:val="000000"/>
        </w:rPr>
      </w:pPr>
      <w:r w:rsidRPr="00EA15AB">
        <w:rPr>
          <w:rFonts w:ascii="標楷體" w:eastAsia="標楷體" w:hAnsi="標楷體"/>
          <w:color w:val="000000"/>
        </w:rPr>
        <w:t>i.針對曾接受前導性化療的病人，須為non-pCR。</w:t>
      </w:r>
    </w:p>
    <w:p w:rsidR="007455F6" w:rsidRPr="00EA15AB" w:rsidRDefault="007455F6" w:rsidP="007455F6">
      <w:pPr>
        <w:spacing w:line="400" w:lineRule="exact"/>
        <w:ind w:left="1699" w:hanging="281"/>
        <w:rPr>
          <w:rFonts w:ascii="標楷體" w:eastAsia="標楷體" w:hAnsi="標楷體"/>
        </w:rPr>
      </w:pPr>
      <w:r w:rsidRPr="00EA15AB">
        <w:rPr>
          <w:rFonts w:ascii="標楷體" w:eastAsia="標楷體" w:hAnsi="標楷體"/>
          <w:color w:val="000000"/>
          <w:szCs w:val="24"/>
        </w:rPr>
        <w:t>ii</w:t>
      </w:r>
      <w:r w:rsidRPr="00EA15AB">
        <w:rPr>
          <w:rFonts w:ascii="標楷體" w:eastAsia="標楷體" w:hAnsi="標楷體"/>
        </w:rPr>
        <w:t xml:space="preserve"> </w:t>
      </w:r>
      <w:r w:rsidRPr="00EA15AB">
        <w:rPr>
          <w:rFonts w:ascii="標楷體" w:eastAsia="標楷體" w:hAnsi="標楷體"/>
          <w:color w:val="000000"/>
          <w:szCs w:val="24"/>
        </w:rPr>
        <w:t>針對曾接受手術且接續術後輔助性化療的病人，須具有4個以上經病理學證實的陽性淋巴結。</w:t>
      </w:r>
    </w:p>
    <w:p w:rsidR="007455F6" w:rsidRPr="00EA15AB" w:rsidRDefault="007455F6" w:rsidP="007455F6">
      <w:pPr>
        <w:spacing w:line="400" w:lineRule="exact"/>
        <w:ind w:left="1569" w:hanging="566"/>
        <w:rPr>
          <w:rFonts w:ascii="標楷體" w:eastAsia="標楷體" w:hAnsi="標楷體"/>
          <w:color w:val="000000"/>
          <w:szCs w:val="24"/>
        </w:rPr>
      </w:pPr>
      <w:r w:rsidRPr="00EA15AB">
        <w:rPr>
          <w:rFonts w:ascii="標楷體" w:eastAsia="標楷體" w:hAnsi="標楷體"/>
          <w:color w:val="000000"/>
          <w:szCs w:val="24"/>
        </w:rPr>
        <w:t>(5)須經事前審查核准後使用：</w:t>
      </w:r>
    </w:p>
    <w:p w:rsidR="007455F6" w:rsidRPr="00EA15AB" w:rsidRDefault="007455F6" w:rsidP="007455F6">
      <w:pPr>
        <w:spacing w:line="400" w:lineRule="exact"/>
        <w:ind w:left="1809" w:hanging="566"/>
        <w:rPr>
          <w:rFonts w:ascii="標楷體" w:eastAsia="標楷體" w:hAnsi="標楷體"/>
        </w:rPr>
      </w:pPr>
      <w:r w:rsidRPr="00EA15AB">
        <w:rPr>
          <w:rFonts w:ascii="標楷體" w:eastAsia="標楷體" w:hAnsi="標楷體"/>
          <w:color w:val="000000"/>
        </w:rPr>
        <w:t>Ⅰ.</w:t>
      </w:r>
      <w:r w:rsidRPr="00EA15AB">
        <w:rPr>
          <w:rFonts w:ascii="標楷體" w:eastAsia="標楷體" w:hAnsi="標楷體"/>
          <w:color w:val="000000"/>
          <w:szCs w:val="24"/>
        </w:rPr>
        <w:t>每次申請之療程以3個月為限。</w:t>
      </w:r>
    </w:p>
    <w:p w:rsidR="007455F6" w:rsidRPr="00EA15AB" w:rsidRDefault="007455F6" w:rsidP="007455F6">
      <w:pPr>
        <w:spacing w:line="400" w:lineRule="exact"/>
        <w:ind w:left="1809" w:hanging="566"/>
        <w:rPr>
          <w:rFonts w:ascii="標楷體" w:eastAsia="標楷體" w:hAnsi="標楷體"/>
          <w:color w:val="000000"/>
          <w:szCs w:val="24"/>
        </w:rPr>
      </w:pPr>
      <w:r w:rsidRPr="00EA15AB">
        <w:rPr>
          <w:rFonts w:ascii="標楷體" w:eastAsia="標楷體" w:hAnsi="標楷體"/>
          <w:color w:val="000000"/>
          <w:szCs w:val="24"/>
        </w:rPr>
        <w:t>II.初次申請時需檢附HER2為陰性之檢測報告、ER和PR之檢測報告，以及germline BRCA 1/2突變之檢測報告，且需符合全民健康保險藥品給付規定之通則十二。</w:t>
      </w:r>
    </w:p>
    <w:p w:rsidR="007455F6" w:rsidRPr="00EA15AB" w:rsidRDefault="007455F6" w:rsidP="007455F6">
      <w:pPr>
        <w:spacing w:line="400" w:lineRule="exact"/>
        <w:ind w:left="1809" w:hanging="566"/>
        <w:rPr>
          <w:rFonts w:ascii="標楷體" w:eastAsia="標楷體" w:hAnsi="標楷體"/>
          <w:color w:val="000000"/>
          <w:szCs w:val="24"/>
        </w:rPr>
      </w:pPr>
      <w:r w:rsidRPr="00EA15AB">
        <w:rPr>
          <w:rFonts w:ascii="標楷體" w:eastAsia="標楷體" w:hAnsi="標楷體"/>
          <w:color w:val="000000"/>
          <w:szCs w:val="24"/>
        </w:rPr>
        <w:t>III.再次申請必須提出客觀證據（如：影像學）證實無惡化，才可繼續使用。</w:t>
      </w:r>
    </w:p>
    <w:p w:rsidR="007455F6" w:rsidRPr="00EA15AB" w:rsidRDefault="007455F6" w:rsidP="007455F6">
      <w:pPr>
        <w:spacing w:line="400" w:lineRule="exact"/>
        <w:ind w:left="1809" w:hanging="566"/>
        <w:rPr>
          <w:rFonts w:ascii="標楷體" w:eastAsia="標楷體" w:hAnsi="標楷體"/>
          <w:color w:val="000000"/>
          <w:szCs w:val="24"/>
        </w:rPr>
      </w:pPr>
      <w:r w:rsidRPr="00EA15AB">
        <w:rPr>
          <w:rFonts w:ascii="標楷體" w:eastAsia="標楷體" w:hAnsi="標楷體"/>
          <w:color w:val="000000"/>
          <w:szCs w:val="24"/>
        </w:rPr>
        <w:t>IV. 用於術後輔助治療，olaparib與pembrolizumab僅能擇一給付。</w:t>
      </w:r>
    </w:p>
    <w:p w:rsidR="00B96EA0" w:rsidRPr="007455F6" w:rsidRDefault="007455F6" w:rsidP="007455F6">
      <w:pPr>
        <w:spacing w:line="400" w:lineRule="exact"/>
        <w:ind w:leftChars="-118" w:left="-283" w:firstLineChars="236" w:firstLine="566"/>
      </w:pPr>
      <w:r w:rsidRPr="00EA15AB">
        <w:rPr>
          <w:rFonts w:ascii="標楷體" w:eastAsia="標楷體" w:hAnsi="標楷體"/>
          <w:color w:val="000000"/>
          <w:szCs w:val="24"/>
        </w:rPr>
        <w:t xml:space="preserve">  5</w:t>
      </w:r>
      <w:r w:rsidRPr="00EA15AB">
        <w:rPr>
          <w:rFonts w:ascii="標楷體" w:eastAsia="標楷體" w:hAnsi="標楷體" w:cs="BiauKai"/>
          <w:color w:val="000000"/>
          <w:szCs w:val="24"/>
        </w:rPr>
        <w:t>.</w:t>
      </w:r>
      <w:r w:rsidRPr="00A47AB0">
        <w:rPr>
          <w:rFonts w:ascii="標楷體" w:eastAsia="標楷體" w:hAnsi="標楷體"/>
        </w:rPr>
        <w:t>Olaparib</w:t>
      </w:r>
      <w:r w:rsidRPr="00EA15AB">
        <w:rPr>
          <w:rFonts w:ascii="標楷體" w:eastAsia="標楷體" w:hAnsi="標楷體"/>
          <w:color w:val="000000"/>
          <w:szCs w:val="24"/>
        </w:rPr>
        <w:t>每日最多使用4粒</w:t>
      </w:r>
      <w:r w:rsidRPr="00EA15AB">
        <w:rPr>
          <w:rFonts w:ascii="標楷體" w:eastAsia="標楷體" w:hAnsi="標楷體" w:cs="BiauKai"/>
          <w:color w:val="000000"/>
          <w:szCs w:val="24"/>
        </w:rPr>
        <w:t>(112/1/1)</w:t>
      </w:r>
      <w:bookmarkEnd w:id="33"/>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9.86.Vandetanib (如Caprelsa)：(109/11/1)</w:t>
      </w:r>
    </w:p>
    <w:p w:rsidR="00B96EA0" w:rsidRDefault="007D66B8" w:rsidP="005142EB">
      <w:pPr>
        <w:spacing w:line="400" w:lineRule="exact"/>
        <w:ind w:left="283"/>
      </w:pPr>
      <w:r>
        <w:rPr>
          <w:rFonts w:ascii="標楷體" w:eastAsia="標楷體" w:hAnsi="標楷體"/>
          <w:color w:val="000000"/>
        </w:rPr>
        <w:t>適用於無法進行手術切除的局部侵犯或轉移性甲狀腺</w:t>
      </w:r>
      <w:r>
        <w:rPr>
          <w:rFonts w:ascii="標楷體" w:eastAsia="標楷體" w:hAnsi="標楷體" w:cs="BiauKai"/>
          <w:color w:val="000000"/>
          <w:szCs w:val="28"/>
        </w:rPr>
        <w:t>髓質癌，並且為症狀性及疾病侵襲性的患者。</w:t>
      </w:r>
    </w:p>
    <w:p w:rsidR="00B96EA0" w:rsidRDefault="007D66B8" w:rsidP="005142EB">
      <w:pPr>
        <w:numPr>
          <w:ilvl w:val="0"/>
          <w:numId w:val="12"/>
        </w:numPr>
        <w:spacing w:line="400" w:lineRule="exact"/>
        <w:ind w:left="922" w:hanging="284"/>
        <w:jc w:val="both"/>
      </w:pPr>
      <w:r>
        <w:rPr>
          <w:rFonts w:ascii="標楷體" w:eastAsia="標楷體" w:hAnsi="標楷體"/>
          <w:color w:val="000000"/>
          <w:szCs w:val="28"/>
        </w:rPr>
        <w:t>需經事前審查核准後使用，每次申請之療程以6個月為限，送審時需檢送影像資料，每6個月評估一次。</w:t>
      </w:r>
    </w:p>
    <w:p w:rsidR="00B96EA0" w:rsidRDefault="007D66B8" w:rsidP="005142EB">
      <w:pPr>
        <w:numPr>
          <w:ilvl w:val="0"/>
          <w:numId w:val="12"/>
        </w:numPr>
        <w:spacing w:line="400" w:lineRule="exact"/>
        <w:ind w:left="922" w:hanging="284"/>
        <w:jc w:val="both"/>
      </w:pPr>
      <w:r>
        <w:rPr>
          <w:rFonts w:ascii="標楷體" w:eastAsia="標楷體" w:hAnsi="標楷體"/>
          <w:color w:val="000000"/>
          <w:szCs w:val="28"/>
        </w:rPr>
        <w:t>出現疾病惡化或無法忍受之藥物不良反應，應立即停用。</w:t>
      </w:r>
    </w:p>
    <w:p w:rsidR="00B96EA0" w:rsidRDefault="007D66B8" w:rsidP="005142EB">
      <w:pPr>
        <w:spacing w:line="400" w:lineRule="exact"/>
        <w:ind w:left="644"/>
        <w:jc w:val="both"/>
      </w:pPr>
      <w:r>
        <w:rPr>
          <w:rFonts w:ascii="標楷體" w:eastAsia="標楷體" w:hAnsi="標楷體"/>
          <w:color w:val="000000"/>
          <w:szCs w:val="28"/>
        </w:rPr>
        <w:t>4.每日最大劑量為300毫克。</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9.87.Trastuzumab emtansine (如Kadcyla)：(110/2/1、113/8/1、114/2/1、114/5/1)</w:t>
      </w:r>
    </w:p>
    <w:p w:rsidR="00B96EA0" w:rsidRDefault="007D66B8" w:rsidP="005142EB">
      <w:pPr>
        <w:spacing w:line="400" w:lineRule="exact"/>
        <w:ind w:left="896" w:hanging="238"/>
        <w:rPr>
          <w:rFonts w:ascii="標楷體" w:eastAsia="標楷體" w:hAnsi="標楷體"/>
          <w:color w:val="000000"/>
        </w:rPr>
      </w:pPr>
      <w:r>
        <w:rPr>
          <w:rFonts w:ascii="標楷體" w:eastAsia="標楷體" w:hAnsi="標楷體"/>
          <w:color w:val="000000"/>
        </w:rPr>
        <w:t>1.早期乳癌(113/8/1、114/2/1、114/5/1)</w:t>
      </w:r>
    </w:p>
    <w:p w:rsidR="00B96EA0" w:rsidRDefault="007D66B8" w:rsidP="005142EB">
      <w:pPr>
        <w:spacing w:line="400" w:lineRule="exact"/>
        <w:ind w:left="1248" w:hanging="397"/>
        <w:rPr>
          <w:rFonts w:ascii="標楷體" w:eastAsia="標楷體" w:hAnsi="標楷體"/>
          <w:color w:val="000000"/>
        </w:rPr>
      </w:pPr>
      <w:r>
        <w:rPr>
          <w:rFonts w:ascii="標楷體" w:eastAsia="標楷體" w:hAnsi="標楷體"/>
          <w:color w:val="000000"/>
        </w:rPr>
        <w:t>(1)使用於具HER2過度表現(IHC 3+或FISH+)之早期乳癌病人，曾接受過至少6個療程（每3週一療程，至少16週）的化學治療（其中至少3個療程(9週)的taxane藥物）和至少3個療程(9週)的trastuzumab術前輔助治療後，仍有殘留病灶的術後輔助治療，且需符合下列任一條件：</w:t>
      </w:r>
    </w:p>
    <w:p w:rsidR="00B96EA0" w:rsidRDefault="007D66B8" w:rsidP="005142EB">
      <w:pPr>
        <w:spacing w:line="400" w:lineRule="exact"/>
        <w:ind w:left="1372" w:hanging="238"/>
        <w:rPr>
          <w:rFonts w:ascii="標楷體" w:eastAsia="標楷體" w:hAnsi="標楷體"/>
          <w:color w:val="000000"/>
        </w:rPr>
      </w:pPr>
      <w:r>
        <w:rPr>
          <w:rFonts w:ascii="標楷體" w:eastAsia="標楷體" w:hAnsi="標楷體"/>
          <w:color w:val="000000"/>
        </w:rPr>
        <w:t>I.具腋下淋巴結轉移但無遠處臟器轉移之早期乳癌病人。</w:t>
      </w:r>
    </w:p>
    <w:p w:rsidR="00B96EA0" w:rsidRDefault="007D66B8" w:rsidP="005142EB">
      <w:pPr>
        <w:spacing w:line="400" w:lineRule="exact"/>
        <w:ind w:left="1372" w:hanging="238"/>
        <w:rPr>
          <w:rFonts w:ascii="標楷體" w:eastAsia="標楷體" w:hAnsi="標楷體"/>
          <w:color w:val="000000"/>
        </w:rPr>
      </w:pPr>
      <w:r>
        <w:rPr>
          <w:rFonts w:ascii="標楷體" w:eastAsia="標楷體" w:hAnsi="標楷體"/>
          <w:color w:val="000000"/>
        </w:rPr>
        <w:t>Ⅱ.未發生腋下淋巴結轉移，但雌激素受體(ER)為陰性且腫瘤大於2公分之早期乳癌病人。</w:t>
      </w:r>
    </w:p>
    <w:p w:rsidR="00B96EA0" w:rsidRDefault="007D66B8" w:rsidP="005142EB">
      <w:pPr>
        <w:spacing w:line="400" w:lineRule="exact"/>
        <w:ind w:left="1248" w:hanging="397"/>
        <w:rPr>
          <w:rFonts w:ascii="標楷體" w:eastAsia="標楷體" w:hAnsi="標楷體"/>
          <w:color w:val="000000"/>
        </w:rPr>
      </w:pPr>
      <w:r>
        <w:rPr>
          <w:rFonts w:ascii="標楷體" w:eastAsia="標楷體" w:hAnsi="標楷體"/>
          <w:color w:val="000000"/>
        </w:rPr>
        <w:t>(2)經事前審查核准後使用，核准後每24週須檢附療效評估資料再次申請，若疾病有惡化情形即不應再行申請。每位病人使用本藥品以14個療程為上限。</w:t>
      </w:r>
      <w:r>
        <w:rPr>
          <w:rFonts w:ascii="標楷體" w:eastAsia="標楷體" w:hAnsi="標楷體"/>
          <w:color w:val="000000"/>
        </w:rPr>
        <w:lastRenderedPageBreak/>
        <w:t>（113/8/1、114/5/1）</w:t>
      </w:r>
    </w:p>
    <w:p w:rsidR="00B96EA0" w:rsidRDefault="007D66B8" w:rsidP="005142EB">
      <w:pPr>
        <w:spacing w:line="400" w:lineRule="exact"/>
        <w:ind w:left="1089" w:hanging="238"/>
        <w:rPr>
          <w:rFonts w:ascii="標楷體" w:eastAsia="標楷體" w:hAnsi="標楷體"/>
          <w:color w:val="000000"/>
        </w:rPr>
      </w:pPr>
      <w:r>
        <w:rPr>
          <w:rFonts w:ascii="標楷體" w:eastAsia="標楷體" w:hAnsi="標楷體"/>
          <w:color w:val="000000"/>
        </w:rPr>
        <w:t>(3)排除使用本藥品條件：</w:t>
      </w:r>
    </w:p>
    <w:p w:rsidR="00B96EA0" w:rsidRDefault="007D66B8" w:rsidP="005142EB">
      <w:pPr>
        <w:spacing w:line="400" w:lineRule="exact"/>
        <w:ind w:left="1372" w:hanging="238"/>
        <w:rPr>
          <w:rFonts w:ascii="標楷體" w:eastAsia="標楷體" w:hAnsi="標楷體"/>
          <w:color w:val="000000"/>
        </w:rPr>
      </w:pPr>
      <w:r>
        <w:rPr>
          <w:rFonts w:ascii="標楷體" w:eastAsia="標楷體" w:hAnsi="標楷體"/>
          <w:color w:val="000000"/>
        </w:rPr>
        <w:t>I.未於術後12週內開始治療或提出治療申請。</w:t>
      </w:r>
    </w:p>
    <w:p w:rsidR="00B96EA0" w:rsidRDefault="007D66B8" w:rsidP="005142EB">
      <w:pPr>
        <w:spacing w:line="400" w:lineRule="exact"/>
        <w:ind w:left="1372" w:hanging="238"/>
        <w:rPr>
          <w:rFonts w:ascii="標楷體" w:eastAsia="標楷體" w:hAnsi="標楷體"/>
          <w:color w:val="000000"/>
        </w:rPr>
      </w:pPr>
      <w:r>
        <w:rPr>
          <w:rFonts w:ascii="標楷體" w:eastAsia="標楷體" w:hAnsi="標楷體"/>
          <w:color w:val="000000"/>
        </w:rPr>
        <w:t>Ⅱ.左心室射出分率少於45%或有症狀的心衰竭病人。</w:t>
      </w:r>
    </w:p>
    <w:p w:rsidR="00B96EA0" w:rsidRDefault="007D66B8" w:rsidP="005142EB">
      <w:pPr>
        <w:spacing w:line="400" w:lineRule="exact"/>
        <w:ind w:left="1372" w:hanging="238"/>
        <w:rPr>
          <w:rFonts w:ascii="標楷體" w:eastAsia="標楷體" w:hAnsi="標楷體"/>
          <w:color w:val="000000"/>
        </w:rPr>
      </w:pPr>
      <w:r>
        <w:rPr>
          <w:rFonts w:ascii="標楷體" w:eastAsia="標楷體" w:hAnsi="標楷體"/>
          <w:color w:val="000000"/>
        </w:rPr>
        <w:t>Ⅲ.不得與其他抗HER2藥物併用。</w:t>
      </w:r>
    </w:p>
    <w:p w:rsidR="00B96EA0" w:rsidRDefault="007D66B8" w:rsidP="005142EB">
      <w:pPr>
        <w:spacing w:line="400" w:lineRule="exact"/>
        <w:ind w:left="1248" w:hanging="397"/>
        <w:rPr>
          <w:rFonts w:ascii="標楷體" w:eastAsia="標楷體" w:hAnsi="標楷體"/>
          <w:color w:val="000000"/>
        </w:rPr>
      </w:pPr>
      <w:r>
        <w:rPr>
          <w:rFonts w:ascii="標楷體" w:eastAsia="標楷體" w:hAnsi="標楷體"/>
          <w:color w:val="000000"/>
        </w:rPr>
        <w:t>(4)本藥品申請通過後，如轉換成trastuzumab或其他抗HER2藥物後不得再次申請本藥品，且本藥品與trastuzumab使用於早期乳癌手術前後的總療程合併計算，每位病人以全部18個療程為上限。</w:t>
      </w:r>
    </w:p>
    <w:p w:rsidR="00B96EA0" w:rsidRDefault="007D66B8" w:rsidP="005142EB">
      <w:pPr>
        <w:spacing w:line="400" w:lineRule="exact"/>
        <w:ind w:left="896" w:hanging="238"/>
        <w:rPr>
          <w:rFonts w:ascii="標楷體" w:eastAsia="標楷體" w:hAnsi="標楷體"/>
          <w:color w:val="000000"/>
        </w:rPr>
      </w:pPr>
      <w:r>
        <w:rPr>
          <w:rFonts w:ascii="標楷體" w:eastAsia="標楷體" w:hAnsi="標楷體"/>
          <w:color w:val="000000"/>
        </w:rPr>
        <w:t>2.轉移性乳癌(110/2/1、113/8/1、114/2/1)</w:t>
      </w:r>
    </w:p>
    <w:p w:rsidR="00B96EA0" w:rsidRDefault="007D66B8" w:rsidP="005142EB">
      <w:pPr>
        <w:spacing w:line="400" w:lineRule="exact"/>
        <w:ind w:left="1089" w:hanging="238"/>
        <w:rPr>
          <w:rFonts w:ascii="標楷體" w:eastAsia="標楷體" w:hAnsi="標楷體"/>
          <w:color w:val="000000"/>
        </w:rPr>
      </w:pPr>
      <w:r>
        <w:rPr>
          <w:rFonts w:ascii="標楷體" w:eastAsia="標楷體" w:hAnsi="標楷體"/>
          <w:color w:val="000000"/>
        </w:rPr>
        <w:t>(1)限單獨使用於先前未使用過本藥品且HER2過度表現(IHC3+或FISH+)之轉移性乳癌病人作為二線治療，並同時符合下列情形：</w:t>
      </w:r>
    </w:p>
    <w:p w:rsidR="00B96EA0" w:rsidRDefault="007D66B8" w:rsidP="005142EB">
      <w:pPr>
        <w:spacing w:line="400" w:lineRule="exact"/>
        <w:ind w:left="1372" w:hanging="238"/>
        <w:rPr>
          <w:rFonts w:ascii="標楷體" w:eastAsia="標楷體" w:hAnsi="標楷體"/>
          <w:color w:val="000000"/>
        </w:rPr>
      </w:pPr>
      <w:r>
        <w:rPr>
          <w:rFonts w:ascii="標楷體" w:eastAsia="標楷體" w:hAnsi="標楷體"/>
          <w:color w:val="000000"/>
        </w:rPr>
        <w:t>I.之前分別接受過trastuzumab與一種taxane藥物治療，或其合併療法，或pertuzumab與trastuzumab與一種taxane藥物治療。</w:t>
      </w:r>
    </w:p>
    <w:p w:rsidR="00B96EA0" w:rsidRDefault="007D66B8" w:rsidP="005142EB">
      <w:pPr>
        <w:spacing w:line="400" w:lineRule="exact"/>
        <w:ind w:left="1372" w:hanging="238"/>
        <w:rPr>
          <w:rFonts w:ascii="標楷體" w:eastAsia="標楷體" w:hAnsi="標楷體"/>
          <w:color w:val="000000"/>
        </w:rPr>
      </w:pPr>
      <w:r>
        <w:rPr>
          <w:rFonts w:ascii="標楷體" w:eastAsia="標楷體" w:hAnsi="標楷體"/>
          <w:color w:val="000000"/>
        </w:rPr>
        <w:t>Ⅱ.之前已經接受過轉移性癌症治療，或在輔助療法治療期間或完成治療後6個月內癌症復發。</w:t>
      </w:r>
    </w:p>
    <w:p w:rsidR="00B96EA0" w:rsidRDefault="007D66B8" w:rsidP="005142EB">
      <w:pPr>
        <w:spacing w:line="400" w:lineRule="exact"/>
        <w:ind w:left="1372" w:hanging="238"/>
        <w:rPr>
          <w:rFonts w:ascii="標楷體" w:eastAsia="標楷體" w:hAnsi="標楷體"/>
          <w:color w:val="000000"/>
        </w:rPr>
      </w:pPr>
      <w:r>
        <w:rPr>
          <w:rFonts w:ascii="標楷體" w:eastAsia="標楷體" w:hAnsi="標楷體"/>
          <w:color w:val="000000"/>
        </w:rPr>
        <w:t>Ⅲ.合併有主要臟器(不包含骨及軟組織)轉移。</w:t>
      </w:r>
    </w:p>
    <w:p w:rsidR="00B96EA0" w:rsidRDefault="007D66B8" w:rsidP="005142EB">
      <w:pPr>
        <w:spacing w:line="400" w:lineRule="exact"/>
        <w:ind w:left="1276" w:hanging="425"/>
        <w:rPr>
          <w:rFonts w:ascii="標楷體" w:eastAsia="標楷體" w:hAnsi="標楷體"/>
          <w:color w:val="000000"/>
        </w:rPr>
      </w:pPr>
      <w:r>
        <w:rPr>
          <w:rFonts w:ascii="標楷體" w:eastAsia="標楷體" w:hAnsi="標楷體"/>
          <w:color w:val="000000"/>
        </w:rPr>
        <w:t>(2)經事前審查核准後使用，核准後每12週須檢附療效評估資料再次申請，若疾病有惡化情形即不應再行申請，每位病人至多給付10個月(13個療程為上限)。</w:t>
      </w:r>
    </w:p>
    <w:p w:rsidR="00B96EA0" w:rsidRDefault="007D66B8" w:rsidP="005142EB">
      <w:pPr>
        <w:spacing w:line="400" w:lineRule="exact"/>
        <w:ind w:left="1276" w:hanging="425"/>
        <w:rPr>
          <w:rFonts w:ascii="標楷體" w:eastAsia="標楷體" w:hAnsi="標楷體"/>
          <w:color w:val="000000"/>
        </w:rPr>
      </w:pPr>
      <w:r>
        <w:rPr>
          <w:rFonts w:ascii="標楷體" w:eastAsia="標楷體" w:hAnsi="標楷體"/>
          <w:color w:val="000000"/>
        </w:rPr>
        <w:t>(3)Trastuzumab emtansine、lapatinib和trastuzumab deruxtecan僅能擇一給付，不得互換。(114/2/1)</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9.88.Ixabepilone (如Ixempra)：(110/2/1)</w:t>
      </w:r>
    </w:p>
    <w:p w:rsidR="00B96EA0" w:rsidRDefault="007D66B8" w:rsidP="005142EB">
      <w:pPr>
        <w:spacing w:line="400" w:lineRule="exact"/>
        <w:ind w:left="924" w:hanging="240"/>
        <w:rPr>
          <w:rFonts w:ascii="標楷體" w:eastAsia="標楷體" w:hAnsi="標楷體"/>
          <w:color w:val="000000"/>
        </w:rPr>
      </w:pPr>
      <w:r>
        <w:rPr>
          <w:rFonts w:ascii="標楷體" w:eastAsia="標楷體" w:hAnsi="標楷體"/>
          <w:color w:val="000000"/>
        </w:rPr>
        <w:t>1.限Ixabepilone合併capecitabine用於局部晚期或轉移性乳癌患者，需符合以下條件之一：</w:t>
      </w:r>
    </w:p>
    <w:p w:rsidR="00B96EA0" w:rsidRDefault="007D66B8" w:rsidP="005142EB">
      <w:pPr>
        <w:spacing w:line="400" w:lineRule="exact"/>
        <w:ind w:left="991"/>
        <w:rPr>
          <w:rFonts w:ascii="標楷體" w:eastAsia="標楷體" w:hAnsi="標楷體"/>
          <w:color w:val="000000"/>
        </w:rPr>
      </w:pPr>
      <w:r>
        <w:rPr>
          <w:rFonts w:ascii="標楷體" w:eastAsia="標楷體" w:hAnsi="標楷體"/>
          <w:color w:val="000000"/>
        </w:rPr>
        <w:t>(1)對taxane有抗藥性且無法接受anthracycline治療者。</w:t>
      </w:r>
    </w:p>
    <w:p w:rsidR="00B96EA0" w:rsidRDefault="007D66B8" w:rsidP="005142EB">
      <w:pPr>
        <w:spacing w:line="400" w:lineRule="exact"/>
        <w:ind w:left="991"/>
        <w:rPr>
          <w:rFonts w:ascii="標楷體" w:eastAsia="標楷體" w:hAnsi="標楷體"/>
          <w:color w:val="000000"/>
        </w:rPr>
      </w:pPr>
      <w:r>
        <w:rPr>
          <w:rFonts w:ascii="標楷體" w:eastAsia="標楷體" w:hAnsi="標楷體"/>
          <w:color w:val="000000"/>
        </w:rPr>
        <w:t>(2)對taxane及anthracycline治療無效者。</w:t>
      </w:r>
    </w:p>
    <w:p w:rsidR="00B96EA0" w:rsidRDefault="007D66B8" w:rsidP="005142EB">
      <w:pPr>
        <w:spacing w:line="400" w:lineRule="exact"/>
        <w:ind w:left="684"/>
        <w:rPr>
          <w:rFonts w:ascii="標楷體" w:eastAsia="標楷體" w:hAnsi="標楷體"/>
          <w:color w:val="000000"/>
        </w:rPr>
      </w:pPr>
      <w:r>
        <w:rPr>
          <w:rFonts w:ascii="標楷體" w:eastAsia="標楷體" w:hAnsi="標楷體"/>
          <w:color w:val="000000"/>
        </w:rPr>
        <w:t>2.每3個療程需進行療效評估，病歷應留存評估紀錄，無疾病惡化方可繼續使用。</w:t>
      </w:r>
    </w:p>
    <w:p w:rsidR="00B96EA0" w:rsidRDefault="007D66B8" w:rsidP="005142EB">
      <w:pPr>
        <w:spacing w:line="400" w:lineRule="exact"/>
        <w:ind w:left="924" w:hanging="240"/>
        <w:rPr>
          <w:rFonts w:ascii="標楷體" w:eastAsia="標楷體" w:hAnsi="標楷體"/>
          <w:color w:val="000000"/>
        </w:rPr>
      </w:pPr>
      <w:r>
        <w:rPr>
          <w:rFonts w:ascii="標楷體" w:eastAsia="標楷體" w:hAnsi="標楷體"/>
          <w:color w:val="000000"/>
        </w:rPr>
        <w:t>3.Ixabepilone與eribulin用於治療上述之轉移性乳癌患者時，僅得擇一使用，且不得互換(ixabepilone限用於未曾使用過eribulin之病患)。</w:t>
      </w:r>
    </w:p>
    <w:p w:rsidR="00B96EA0" w:rsidRDefault="007D66B8" w:rsidP="005142EB">
      <w:pPr>
        <w:spacing w:line="400" w:lineRule="exact"/>
        <w:ind w:left="284"/>
      </w:pPr>
      <w:r>
        <w:rPr>
          <w:rFonts w:ascii="標楷體" w:eastAsia="標楷體" w:hAnsi="標楷體" w:cs="BiauKai"/>
          <w:color w:val="000000"/>
          <w:szCs w:val="24"/>
        </w:rPr>
        <w:t>9.89.(刪除)：(110/3/1、111/6/1、111/8/1</w:t>
      </w:r>
      <w:r>
        <w:rPr>
          <w:rFonts w:ascii="標楷體" w:eastAsia="標楷體" w:hAnsi="標楷體"/>
          <w:color w:val="000000"/>
          <w:szCs w:val="24"/>
        </w:rPr>
        <w:t>、112</w:t>
      </w:r>
      <w:r>
        <w:rPr>
          <w:rFonts w:ascii="標楷體" w:eastAsia="標楷體" w:hAnsi="標楷體" w:cs="BiauKai"/>
          <w:color w:val="000000"/>
          <w:szCs w:val="24"/>
        </w:rPr>
        <w:t>/1/1)</w:t>
      </w:r>
    </w:p>
    <w:p w:rsidR="00B96EA0" w:rsidRDefault="007D66B8" w:rsidP="005142EB">
      <w:pPr>
        <w:spacing w:line="400" w:lineRule="exact"/>
        <w:ind w:left="283"/>
      </w:pPr>
      <w:r>
        <w:rPr>
          <w:rFonts w:ascii="標楷體" w:eastAsia="標楷體" w:hAnsi="標楷體"/>
          <w:color w:val="000000"/>
        </w:rPr>
        <w:t>9.90.</w:t>
      </w:r>
      <w:r>
        <w:t xml:space="preserve"> </w:t>
      </w:r>
      <w:r>
        <w:rPr>
          <w:rFonts w:ascii="標楷體" w:eastAsia="標楷體" w:hAnsi="標楷體"/>
          <w:color w:val="000000"/>
        </w:rPr>
        <w:t>Apalutamide (如Erleada)：(110/3/1、110/11/1、111/3/1、112/9/1、113/8/1、114/6/1)</w:t>
      </w:r>
    </w:p>
    <w:p w:rsidR="00B96EA0" w:rsidRDefault="007D66B8" w:rsidP="005142EB">
      <w:pPr>
        <w:tabs>
          <w:tab w:val="left" w:leader="underscore" w:pos="567"/>
        </w:tabs>
        <w:snapToGrid w:val="0"/>
        <w:spacing w:line="400" w:lineRule="exact"/>
        <w:ind w:left="851" w:hanging="280"/>
        <w:rPr>
          <w:rFonts w:ascii="標楷體" w:eastAsia="標楷體" w:hAnsi="標楷體"/>
          <w:szCs w:val="24"/>
        </w:rPr>
      </w:pPr>
      <w:r>
        <w:rPr>
          <w:rFonts w:ascii="標楷體" w:eastAsia="標楷體" w:hAnsi="標楷體"/>
          <w:szCs w:val="24"/>
        </w:rPr>
        <w:t>1.治療高風險非轉移性去勢抗性前列腺癌(high risk nmCRPC)的成年男性。</w:t>
      </w:r>
    </w:p>
    <w:p w:rsidR="00B96EA0" w:rsidRDefault="007D66B8" w:rsidP="005142EB">
      <w:pPr>
        <w:tabs>
          <w:tab w:val="left" w:leader="underscore" w:pos="567"/>
        </w:tabs>
        <w:snapToGrid w:val="0"/>
        <w:spacing w:line="400" w:lineRule="exact"/>
        <w:ind w:left="1418" w:hanging="420"/>
        <w:rPr>
          <w:rFonts w:ascii="標楷體" w:eastAsia="標楷體" w:hAnsi="標楷體"/>
          <w:szCs w:val="24"/>
        </w:rPr>
      </w:pPr>
      <w:r>
        <w:rPr>
          <w:rFonts w:ascii="標楷體" w:eastAsia="標楷體" w:hAnsi="標楷體"/>
          <w:szCs w:val="24"/>
        </w:rPr>
        <w:t>(1)須經事前審查核准後使用。</w:t>
      </w:r>
    </w:p>
    <w:p w:rsidR="00B96EA0" w:rsidRDefault="007D66B8" w:rsidP="005142EB">
      <w:pPr>
        <w:tabs>
          <w:tab w:val="left" w:leader="underscore" w:pos="567"/>
        </w:tabs>
        <w:snapToGrid w:val="0"/>
        <w:spacing w:line="400" w:lineRule="exact"/>
        <w:ind w:left="1418" w:hanging="420"/>
        <w:rPr>
          <w:rFonts w:ascii="標楷體" w:eastAsia="標楷體" w:hAnsi="標楷體"/>
          <w:szCs w:val="24"/>
        </w:rPr>
      </w:pPr>
      <w:r>
        <w:rPr>
          <w:rFonts w:ascii="標楷體" w:eastAsia="標楷體" w:hAnsi="標楷體"/>
          <w:szCs w:val="24"/>
        </w:rPr>
        <w:t>(2)初次申請時需檢附病理報告、使用雄性素去除療法紀錄，系列PSA和睪固酮數據，三個月內影像報告證明無遠端轉移。</w:t>
      </w:r>
    </w:p>
    <w:p w:rsidR="00B96EA0" w:rsidRDefault="007D66B8" w:rsidP="005142EB">
      <w:pPr>
        <w:tabs>
          <w:tab w:val="left" w:leader="underscore" w:pos="567"/>
        </w:tabs>
        <w:snapToGrid w:val="0"/>
        <w:spacing w:line="400" w:lineRule="exact"/>
        <w:ind w:left="1418" w:hanging="420"/>
        <w:rPr>
          <w:rFonts w:ascii="標楷體" w:eastAsia="標楷體" w:hAnsi="標楷體"/>
          <w:szCs w:val="24"/>
        </w:rPr>
      </w:pPr>
      <w:r>
        <w:rPr>
          <w:rFonts w:ascii="標楷體" w:eastAsia="標楷體" w:hAnsi="標楷體"/>
          <w:szCs w:val="24"/>
        </w:rPr>
        <w:t>(3)ECOG分數須≦1。</w:t>
      </w:r>
    </w:p>
    <w:p w:rsidR="00B96EA0" w:rsidRDefault="007D66B8" w:rsidP="005142EB">
      <w:pPr>
        <w:tabs>
          <w:tab w:val="left" w:leader="underscore" w:pos="567"/>
        </w:tabs>
        <w:snapToGrid w:val="0"/>
        <w:spacing w:line="400" w:lineRule="exact"/>
        <w:ind w:left="1418" w:hanging="420"/>
        <w:rPr>
          <w:rFonts w:ascii="標楷體" w:eastAsia="標楷體" w:hAnsi="標楷體"/>
          <w:szCs w:val="24"/>
        </w:rPr>
      </w:pPr>
      <w:r>
        <w:rPr>
          <w:rFonts w:ascii="標楷體" w:eastAsia="標楷體" w:hAnsi="標楷體"/>
          <w:szCs w:val="24"/>
        </w:rPr>
        <w:lastRenderedPageBreak/>
        <w:t>(4)PSA doubling time≦10個月，PSA倍增之時間，應依線性回歸模型計算，且其參數取得需基於下列原則：（112/9/1）</w:t>
      </w:r>
    </w:p>
    <w:p w:rsidR="00B96EA0" w:rsidRDefault="007D66B8" w:rsidP="005142EB">
      <w:pPr>
        <w:tabs>
          <w:tab w:val="left" w:pos="1701"/>
        </w:tabs>
        <w:snapToGrid w:val="0"/>
        <w:spacing w:line="400" w:lineRule="exact"/>
        <w:ind w:left="1560" w:hanging="280"/>
        <w:rPr>
          <w:rFonts w:ascii="標楷體" w:eastAsia="標楷體" w:hAnsi="標楷體"/>
          <w:color w:val="000000"/>
          <w:szCs w:val="24"/>
        </w:rPr>
      </w:pPr>
      <w:r>
        <w:rPr>
          <w:rFonts w:ascii="標楷體" w:eastAsia="標楷體" w:hAnsi="標楷體"/>
          <w:color w:val="000000"/>
          <w:szCs w:val="24"/>
        </w:rPr>
        <w:t>Ⅰ.至少三個連續PSA測量值，且各測量值皆≧0.2 ng/mL（最高的PSA值必須&gt;1.0ng/ml）。</w:t>
      </w:r>
    </w:p>
    <w:p w:rsidR="00B96EA0" w:rsidRDefault="007D66B8" w:rsidP="005142EB">
      <w:pPr>
        <w:tabs>
          <w:tab w:val="left" w:pos="1701"/>
        </w:tabs>
        <w:snapToGrid w:val="0"/>
        <w:spacing w:line="400" w:lineRule="exact"/>
        <w:ind w:left="1560" w:hanging="280"/>
        <w:rPr>
          <w:rFonts w:ascii="標楷體" w:eastAsia="標楷體" w:hAnsi="標楷體"/>
          <w:color w:val="000000"/>
          <w:szCs w:val="24"/>
        </w:rPr>
      </w:pPr>
      <w:r>
        <w:rPr>
          <w:rFonts w:ascii="標楷體" w:eastAsia="標楷體" w:hAnsi="標楷體"/>
          <w:color w:val="000000"/>
          <w:szCs w:val="24"/>
        </w:rPr>
        <w:t>Ⅱ.應包含先前ADT治療期間的測量值，且最少一測量值為最近3個月內測得之PSA數值。</w:t>
      </w:r>
    </w:p>
    <w:p w:rsidR="00B96EA0" w:rsidRDefault="007D66B8" w:rsidP="005142EB">
      <w:pPr>
        <w:tabs>
          <w:tab w:val="left" w:pos="1701"/>
        </w:tabs>
        <w:snapToGrid w:val="0"/>
        <w:spacing w:line="400" w:lineRule="exact"/>
        <w:ind w:left="1560" w:hanging="280"/>
        <w:rPr>
          <w:rFonts w:ascii="標楷體" w:eastAsia="標楷體" w:hAnsi="標楷體"/>
          <w:color w:val="000000"/>
          <w:szCs w:val="24"/>
        </w:rPr>
      </w:pPr>
      <w:r>
        <w:rPr>
          <w:rFonts w:ascii="標楷體" w:eastAsia="標楷體" w:hAnsi="標楷體"/>
          <w:color w:val="000000"/>
          <w:szCs w:val="24"/>
        </w:rPr>
        <w:t>Ⅲ.第一個和最後一個PSA測量值間隔需≧8週，但≦12個月。</w:t>
      </w:r>
    </w:p>
    <w:p w:rsidR="00B96EA0" w:rsidRDefault="007D66B8" w:rsidP="005142EB">
      <w:pPr>
        <w:tabs>
          <w:tab w:val="left" w:leader="underscore" w:pos="567"/>
        </w:tabs>
        <w:snapToGrid w:val="0"/>
        <w:spacing w:line="400" w:lineRule="exact"/>
        <w:ind w:left="1418" w:hanging="420"/>
        <w:rPr>
          <w:rFonts w:ascii="標楷體" w:eastAsia="標楷體" w:hAnsi="標楷體"/>
          <w:szCs w:val="24"/>
        </w:rPr>
      </w:pPr>
      <w:r>
        <w:rPr>
          <w:rFonts w:ascii="標楷體" w:eastAsia="標楷體" w:hAnsi="標楷體"/>
          <w:szCs w:val="24"/>
        </w:rPr>
        <w:t xml:space="preserve">(5)每3個月需再次申請，申請之療程以3個月為限。再次申請時，有PSA progression者，需檢附影像學報告，若影像學報告證實轉移，則需停藥;無PSA progression者，則每6個月需檢附影像學報告，若影像學報告證實轉移，則需停藥。（112/9/1） </w:t>
      </w:r>
    </w:p>
    <w:p w:rsidR="00B96EA0" w:rsidRDefault="007D66B8" w:rsidP="005142EB">
      <w:pPr>
        <w:tabs>
          <w:tab w:val="left" w:leader="underscore" w:pos="567"/>
        </w:tabs>
        <w:snapToGrid w:val="0"/>
        <w:spacing w:line="400" w:lineRule="exact"/>
        <w:ind w:left="1200"/>
        <w:rPr>
          <w:rFonts w:ascii="標楷體" w:eastAsia="標楷體" w:hAnsi="標楷體"/>
          <w:szCs w:val="24"/>
        </w:rPr>
      </w:pPr>
      <w:r>
        <w:rPr>
          <w:rFonts w:ascii="標楷體" w:eastAsia="標楷體" w:hAnsi="標楷體"/>
          <w:szCs w:val="24"/>
        </w:rPr>
        <w:t>註：</w:t>
      </w:r>
    </w:p>
    <w:p w:rsidR="00B96EA0" w:rsidRDefault="007D66B8" w:rsidP="005142EB">
      <w:pPr>
        <w:tabs>
          <w:tab w:val="left" w:leader="underscore" w:pos="567"/>
        </w:tabs>
        <w:snapToGrid w:val="0"/>
        <w:spacing w:line="400" w:lineRule="exact"/>
        <w:ind w:left="1200"/>
      </w:pPr>
      <w:r>
        <w:rPr>
          <w:rFonts w:ascii="標楷體" w:eastAsia="標楷體" w:hAnsi="標楷體"/>
          <w:szCs w:val="24"/>
        </w:rPr>
        <w:t>PSA progression 定義為:PSA下降達最低值(nadir)後，出現 PSA值上升較 nadir≧25%，且PSA≧2 ng/mL，並於至少3週後，再次抽血確認PSA值有上升趨勢。</w:t>
      </w:r>
    </w:p>
    <w:p w:rsidR="00B96EA0" w:rsidRDefault="007D66B8" w:rsidP="005142EB">
      <w:pPr>
        <w:tabs>
          <w:tab w:val="left" w:pos="851"/>
        </w:tabs>
        <w:snapToGrid w:val="0"/>
        <w:spacing w:line="400" w:lineRule="exact"/>
        <w:ind w:left="851" w:hanging="280"/>
      </w:pPr>
      <w:r>
        <w:rPr>
          <w:rFonts w:ascii="標楷體" w:eastAsia="標楷體" w:hAnsi="標楷體"/>
          <w:szCs w:val="24"/>
        </w:rPr>
        <w:t>2.治療高風險轉移性的去勢敏感性前列腺癌(mCSPC)，總療程以36個月為上限。（110/3/1</w:t>
      </w:r>
      <w:r>
        <w:rPr>
          <w:rFonts w:ascii="標楷體" w:eastAsia="標楷體" w:hAnsi="標楷體" w:cs="BiauKai"/>
          <w:color w:val="000000"/>
          <w:szCs w:val="24"/>
        </w:rPr>
        <w:t>、</w:t>
      </w:r>
      <w:r>
        <w:rPr>
          <w:rFonts w:ascii="標楷體" w:eastAsia="標楷體" w:hAnsi="標楷體"/>
          <w:szCs w:val="24"/>
        </w:rPr>
        <w:t>111</w:t>
      </w:r>
      <w:r>
        <w:rPr>
          <w:rFonts w:ascii="標楷體" w:eastAsia="標楷體" w:hAnsi="標楷體"/>
          <w:color w:val="000000"/>
          <w:szCs w:val="24"/>
        </w:rPr>
        <w:t>/3/1、113/8/1</w:t>
      </w:r>
      <w:r>
        <w:rPr>
          <w:rFonts w:ascii="標楷體" w:eastAsia="標楷體" w:hAnsi="標楷體"/>
          <w:szCs w:val="24"/>
        </w:rPr>
        <w:t>）</w:t>
      </w:r>
    </w:p>
    <w:p w:rsidR="00B96EA0" w:rsidRDefault="007D66B8" w:rsidP="005142EB">
      <w:pPr>
        <w:tabs>
          <w:tab w:val="left" w:leader="underscore" w:pos="567"/>
        </w:tabs>
        <w:snapToGrid w:val="0"/>
        <w:spacing w:line="400" w:lineRule="exact"/>
        <w:ind w:left="1418" w:hanging="420"/>
        <w:rPr>
          <w:rFonts w:ascii="標楷體" w:eastAsia="標楷體" w:hAnsi="標楷體"/>
          <w:szCs w:val="24"/>
        </w:rPr>
      </w:pPr>
      <w:r>
        <w:rPr>
          <w:rFonts w:ascii="標楷體" w:eastAsia="標楷體" w:hAnsi="標楷體"/>
          <w:szCs w:val="24"/>
        </w:rPr>
        <w:t>(1)須經事前審查核准後使用。</w:t>
      </w:r>
    </w:p>
    <w:p w:rsidR="00B96EA0" w:rsidRDefault="007D66B8" w:rsidP="005142EB">
      <w:pPr>
        <w:tabs>
          <w:tab w:val="left" w:leader="underscore" w:pos="567"/>
        </w:tabs>
        <w:snapToGrid w:val="0"/>
        <w:spacing w:line="400" w:lineRule="exact"/>
        <w:ind w:left="1418" w:hanging="420"/>
      </w:pPr>
      <w:r>
        <w:rPr>
          <w:rFonts w:ascii="標楷體" w:eastAsia="標楷體" w:hAnsi="標楷體"/>
          <w:szCs w:val="24"/>
        </w:rPr>
        <w:t>(2)每3個月需再次申請，再申請時若</w:t>
      </w:r>
      <w:r>
        <w:rPr>
          <w:rFonts w:ascii="標楷體" w:eastAsia="標楷體" w:hAnsi="標楷體"/>
          <w:color w:val="000000"/>
          <w:szCs w:val="24"/>
        </w:rPr>
        <w:t>PSA值下降未超過治療前的50%以上，則需停藥。</w:t>
      </w:r>
    </w:p>
    <w:p w:rsidR="00B96EA0" w:rsidRDefault="007D66B8" w:rsidP="005142EB">
      <w:pPr>
        <w:tabs>
          <w:tab w:val="left" w:leader="underscore" w:pos="567"/>
        </w:tabs>
        <w:snapToGrid w:val="0"/>
        <w:spacing w:line="400" w:lineRule="exact"/>
        <w:ind w:left="1418" w:hanging="420"/>
        <w:rPr>
          <w:rFonts w:ascii="標楷體" w:eastAsia="標楷體" w:hAnsi="標楷體"/>
          <w:color w:val="000000"/>
          <w:szCs w:val="24"/>
        </w:rPr>
      </w:pPr>
      <w:r>
        <w:rPr>
          <w:rFonts w:ascii="標楷體" w:eastAsia="標楷體" w:hAnsi="標楷體"/>
          <w:color w:val="000000"/>
          <w:szCs w:val="24"/>
        </w:rPr>
        <w:t>(3)下降達最低值後之持續追蹤出現PSA較最低值上升50%以上且PSA≧2ng/mL，則需停藥，但影像學證據尚無疾病進展者，可以繼續使用。</w:t>
      </w:r>
    </w:p>
    <w:p w:rsidR="00B96EA0" w:rsidRDefault="007D66B8" w:rsidP="005142EB">
      <w:pPr>
        <w:tabs>
          <w:tab w:val="left" w:leader="underscore" w:pos="567"/>
        </w:tabs>
        <w:snapToGrid w:val="0"/>
        <w:spacing w:line="400" w:lineRule="exact"/>
        <w:ind w:left="1418" w:hanging="420"/>
        <w:rPr>
          <w:rFonts w:ascii="標楷體" w:eastAsia="標楷體" w:hAnsi="標楷體"/>
          <w:color w:val="000000"/>
          <w:szCs w:val="24"/>
        </w:rPr>
      </w:pPr>
      <w:r>
        <w:rPr>
          <w:rFonts w:ascii="標楷體" w:eastAsia="標楷體" w:hAnsi="標楷體"/>
          <w:color w:val="000000"/>
          <w:szCs w:val="24"/>
        </w:rPr>
        <w:t>(4)前述高風險需符合下列三項條件中至少兩項：（111/3/1、113/8/1）</w:t>
      </w:r>
    </w:p>
    <w:p w:rsidR="00B96EA0" w:rsidRDefault="007D66B8" w:rsidP="005142EB">
      <w:pPr>
        <w:tabs>
          <w:tab w:val="left" w:pos="945"/>
        </w:tabs>
        <w:snapToGrid w:val="0"/>
        <w:spacing w:line="400" w:lineRule="exact"/>
        <w:ind w:left="1843" w:hanging="420"/>
      </w:pPr>
      <w:r>
        <w:rPr>
          <w:rFonts w:ascii="標楷體" w:eastAsia="標楷體" w:hAnsi="標楷體"/>
          <w:color w:val="000000"/>
          <w:szCs w:val="24"/>
        </w:rPr>
        <w:t>Ⅰ.葛里森分數(Gleason score)</w:t>
      </w:r>
      <w:r>
        <w:rPr>
          <w:rFonts w:ascii="標楷體" w:eastAsia="標楷體" w:hAnsi="標楷體" w:cs="新細明體"/>
          <w:color w:val="000000"/>
          <w:szCs w:val="24"/>
        </w:rPr>
        <w:t>≧</w:t>
      </w:r>
      <w:r>
        <w:rPr>
          <w:rFonts w:ascii="標楷體" w:eastAsia="標楷體" w:hAnsi="標楷體"/>
          <w:color w:val="000000"/>
          <w:szCs w:val="24"/>
        </w:rPr>
        <w:t>8。</w:t>
      </w:r>
    </w:p>
    <w:p w:rsidR="00B96EA0" w:rsidRDefault="007D66B8" w:rsidP="005142EB">
      <w:pPr>
        <w:tabs>
          <w:tab w:val="left" w:pos="945"/>
        </w:tabs>
        <w:snapToGrid w:val="0"/>
        <w:spacing w:line="400" w:lineRule="exact"/>
        <w:ind w:left="1843" w:hanging="420"/>
      </w:pPr>
      <w:r>
        <w:rPr>
          <w:rFonts w:ascii="標楷體" w:eastAsia="標楷體" w:hAnsi="標楷體"/>
          <w:color w:val="000000"/>
          <w:szCs w:val="24"/>
        </w:rPr>
        <w:t>Ⅱ.</w:t>
      </w:r>
      <w:r>
        <w:t xml:space="preserve"> </w:t>
      </w:r>
      <w:r>
        <w:rPr>
          <w:rFonts w:ascii="標楷體" w:eastAsia="標楷體" w:hAnsi="標楷體"/>
          <w:color w:val="000000"/>
          <w:szCs w:val="24"/>
        </w:rPr>
        <w:t>骨骼掃描出現三個(含)以上病灶且至少其中一處以上為非脊柱及非骨盆腔轉移。（111/3/1、113/8/1）</w:t>
      </w:r>
    </w:p>
    <w:p w:rsidR="00B96EA0" w:rsidRDefault="007D66B8" w:rsidP="005142EB">
      <w:pPr>
        <w:tabs>
          <w:tab w:val="left" w:pos="945"/>
        </w:tabs>
        <w:snapToGrid w:val="0"/>
        <w:spacing w:line="400" w:lineRule="exact"/>
        <w:ind w:left="1843" w:hanging="420"/>
        <w:rPr>
          <w:rFonts w:ascii="標楷體" w:eastAsia="標楷體" w:hAnsi="標楷體"/>
          <w:color w:val="000000"/>
          <w:szCs w:val="24"/>
        </w:rPr>
      </w:pPr>
      <w:r>
        <w:rPr>
          <w:rFonts w:ascii="標楷體" w:eastAsia="標楷體" w:hAnsi="標楷體"/>
          <w:color w:val="000000"/>
          <w:szCs w:val="24"/>
        </w:rPr>
        <w:t>Ⅲ.出現內臟轉移。</w:t>
      </w:r>
    </w:p>
    <w:p w:rsidR="00B96EA0" w:rsidRDefault="007D66B8" w:rsidP="005142EB">
      <w:pPr>
        <w:spacing w:line="400" w:lineRule="exact"/>
        <w:ind w:left="881" w:hanging="238"/>
      </w:pPr>
      <w:r>
        <w:rPr>
          <w:rFonts w:ascii="標楷體" w:eastAsia="標楷體" w:hAnsi="標楷體"/>
          <w:color w:val="000000"/>
          <w:szCs w:val="24"/>
        </w:rPr>
        <w:t>3.</w:t>
      </w:r>
      <w:r>
        <w:t xml:space="preserve"> </w:t>
      </w:r>
      <w:r>
        <w:rPr>
          <w:rFonts w:ascii="標楷體" w:eastAsia="標楷體" w:hAnsi="標楷體"/>
          <w:color w:val="000000"/>
          <w:szCs w:val="24"/>
        </w:rPr>
        <w:t>不論病人處於轉移或非轉移的狀態下，新型荷爾蒙藥品(abiraterone、apalutamide、darolutamide和enzalutamide) ，及olaparib 與 abiraterone併用，終生僅給付一種治療，且除非出現嚴重不耐受反應導致必須永久停止治療，不得互換。 (112/9/1、114/6/1)</w:t>
      </w:r>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9.91.Dabrafenib (如Tafinlar)、Trametinib (如Mekinist)：(110/3/1、113/3/1、113/6/1)</w:t>
      </w:r>
    </w:p>
    <w:p w:rsidR="00B96EA0" w:rsidRDefault="007D66B8" w:rsidP="005142EB">
      <w:pPr>
        <w:spacing w:line="400" w:lineRule="exact"/>
        <w:ind w:left="708" w:hanging="142"/>
      </w:pPr>
      <w:r>
        <w:rPr>
          <w:rFonts w:ascii="標楷體" w:eastAsia="標楷體" w:hAnsi="標楷體"/>
          <w:color w:val="000000"/>
        </w:rPr>
        <w:t>1.Dabrafenib和trametinib併用於治療BRAF V600突變陽性ECOG</w:t>
      </w:r>
      <w:r>
        <w:rPr>
          <w:rFonts w:ascii="Times New Roman" w:eastAsia="標楷體" w:hAnsi="Times New Roman"/>
          <w:color w:val="000000"/>
        </w:rPr>
        <w:t>≤</w:t>
      </w:r>
      <w:r>
        <w:rPr>
          <w:rFonts w:ascii="標楷體" w:eastAsia="標楷體" w:hAnsi="標楷體"/>
          <w:color w:val="000000"/>
        </w:rPr>
        <w:t xml:space="preserve"> 2且罹患無法切除(第ⅢC期)或轉移性(第Ⅳ期)黑色素瘤之病人：</w:t>
      </w:r>
    </w:p>
    <w:p w:rsidR="00B96EA0" w:rsidRDefault="007D66B8" w:rsidP="005142EB">
      <w:pPr>
        <w:spacing w:line="400" w:lineRule="exact"/>
        <w:ind w:left="1356" w:hanging="365"/>
        <w:rPr>
          <w:rFonts w:ascii="標楷體" w:eastAsia="標楷體" w:hAnsi="標楷體"/>
          <w:color w:val="000000"/>
        </w:rPr>
      </w:pPr>
      <w:r>
        <w:rPr>
          <w:rFonts w:ascii="標楷體" w:eastAsia="標楷體" w:hAnsi="標楷體"/>
          <w:color w:val="000000"/>
        </w:rPr>
        <w:t>(1)需經事前審查核准後使用，每次申請療程以3個月為限，如發現病情惡化應停止</w:t>
      </w:r>
      <w:r>
        <w:rPr>
          <w:rFonts w:ascii="標楷體" w:eastAsia="標楷體" w:hAnsi="標楷體"/>
          <w:color w:val="000000"/>
        </w:rPr>
        <w:lastRenderedPageBreak/>
        <w:t>使用。</w:t>
      </w:r>
    </w:p>
    <w:p w:rsidR="00B96EA0" w:rsidRDefault="007D66B8" w:rsidP="005142EB">
      <w:pPr>
        <w:spacing w:line="400" w:lineRule="exact"/>
        <w:ind w:left="1356" w:hanging="365"/>
        <w:rPr>
          <w:rFonts w:ascii="標楷體" w:eastAsia="標楷體" w:hAnsi="標楷體"/>
          <w:color w:val="000000"/>
        </w:rPr>
      </w:pPr>
      <w:r>
        <w:rPr>
          <w:rFonts w:ascii="標楷體" w:eastAsia="標楷體" w:hAnsi="標楷體"/>
          <w:color w:val="000000"/>
        </w:rPr>
        <w:t>(2)再申請時應檢附前次治療結果評估資料。</w:t>
      </w:r>
    </w:p>
    <w:p w:rsidR="00B96EA0" w:rsidRDefault="007D66B8" w:rsidP="005142EB">
      <w:pPr>
        <w:spacing w:line="400" w:lineRule="exact"/>
        <w:ind w:left="796" w:hanging="230"/>
        <w:rPr>
          <w:rFonts w:ascii="標楷體" w:eastAsia="標楷體" w:hAnsi="標楷體"/>
          <w:color w:val="000000"/>
        </w:rPr>
      </w:pPr>
      <w:r>
        <w:rPr>
          <w:rFonts w:ascii="標楷體" w:eastAsia="標楷體" w:hAnsi="標楷體"/>
          <w:color w:val="000000"/>
        </w:rPr>
        <w:t>2.Dabrafenib和trametinib併用於BRAF V600突變陽性且完全切除之第三期黑色素瘤病人術後輔助治療：</w:t>
      </w:r>
    </w:p>
    <w:p w:rsidR="00B96EA0" w:rsidRDefault="007D66B8" w:rsidP="005142EB">
      <w:pPr>
        <w:spacing w:line="400" w:lineRule="exact"/>
        <w:ind w:left="1356" w:hanging="365"/>
        <w:rPr>
          <w:rFonts w:ascii="標楷體" w:eastAsia="標楷體" w:hAnsi="標楷體"/>
          <w:color w:val="000000"/>
        </w:rPr>
      </w:pPr>
      <w:r>
        <w:rPr>
          <w:rFonts w:ascii="標楷體" w:eastAsia="標楷體" w:hAnsi="標楷體"/>
          <w:color w:val="000000"/>
        </w:rPr>
        <w:t>(1)需經事前審查核准後使用，每次申請療程以6個月為限，如發現病情惡化應停止使用。</w:t>
      </w:r>
    </w:p>
    <w:p w:rsidR="00B96EA0" w:rsidRDefault="007D66B8" w:rsidP="005142EB">
      <w:pPr>
        <w:spacing w:line="400" w:lineRule="exact"/>
        <w:ind w:left="1356" w:hanging="365"/>
        <w:rPr>
          <w:rFonts w:ascii="標楷體" w:eastAsia="標楷體" w:hAnsi="標楷體"/>
          <w:color w:val="000000"/>
        </w:rPr>
      </w:pPr>
      <w:r>
        <w:rPr>
          <w:rFonts w:ascii="標楷體" w:eastAsia="標楷體" w:hAnsi="標楷體"/>
          <w:color w:val="000000"/>
        </w:rPr>
        <w:t>(2)限用1年。</w:t>
      </w:r>
    </w:p>
    <w:p w:rsidR="00B96EA0" w:rsidRDefault="007D66B8" w:rsidP="005142EB">
      <w:pPr>
        <w:spacing w:line="400" w:lineRule="exact"/>
        <w:ind w:left="840" w:hanging="274"/>
        <w:rPr>
          <w:rFonts w:ascii="標楷體" w:eastAsia="標楷體" w:hAnsi="標楷體"/>
          <w:color w:val="000000"/>
        </w:rPr>
      </w:pPr>
      <w:r>
        <w:rPr>
          <w:rFonts w:ascii="標楷體" w:eastAsia="標楷體" w:hAnsi="標楷體"/>
          <w:color w:val="000000"/>
        </w:rPr>
        <w:t>3.本品(dabrafenib併用trametinib之治療組合)與vemurafenib僅能擇一使用，除因耐受性不良，不得互換。</w:t>
      </w:r>
    </w:p>
    <w:p w:rsidR="00B96EA0" w:rsidRDefault="007D66B8" w:rsidP="005142EB">
      <w:pPr>
        <w:spacing w:line="400" w:lineRule="exact"/>
        <w:ind w:left="840" w:hanging="274"/>
      </w:pPr>
      <w:r>
        <w:t xml:space="preserve">4. </w:t>
      </w:r>
      <w:r>
        <w:rPr>
          <w:rFonts w:ascii="標楷體" w:eastAsia="標楷體" w:hAnsi="標楷體"/>
          <w:color w:val="000000"/>
        </w:rPr>
        <w:t>Dabrafenib與trametinib併用於治療BRAF V600E突變之轉移性(第IV期)非小細胞肺癌成人病人：(113/3/1、113/6/1)</w:t>
      </w:r>
    </w:p>
    <w:p w:rsidR="00B96EA0" w:rsidRDefault="007D66B8" w:rsidP="005142EB">
      <w:pPr>
        <w:spacing w:line="400" w:lineRule="exact"/>
        <w:ind w:left="1416" w:hanging="422"/>
        <w:rPr>
          <w:rFonts w:ascii="標楷體" w:eastAsia="標楷體" w:hAnsi="標楷體"/>
          <w:color w:val="000000"/>
        </w:rPr>
      </w:pPr>
      <w:r>
        <w:rPr>
          <w:rFonts w:ascii="標楷體" w:eastAsia="標楷體" w:hAnsi="標楷體"/>
          <w:color w:val="000000"/>
        </w:rPr>
        <w:t>(1)作為先前已接受過第一線含鉑化學治療，但仍惡化的轉移性(第IV期)非小細胞肺癌成人病人第二線治療，使用本品無效後則不再給付該適應症相關之免疫檢查點PD-1、PD-L1抑制劑。</w:t>
      </w:r>
    </w:p>
    <w:p w:rsidR="00B96EA0" w:rsidRDefault="007D66B8" w:rsidP="005142EB">
      <w:pPr>
        <w:spacing w:line="400" w:lineRule="exact"/>
        <w:ind w:left="1416" w:hanging="422"/>
        <w:rPr>
          <w:rFonts w:ascii="標楷體" w:eastAsia="標楷體" w:hAnsi="標楷體"/>
          <w:color w:val="000000"/>
        </w:rPr>
      </w:pPr>
      <w:r>
        <w:rPr>
          <w:rFonts w:ascii="標楷體" w:eastAsia="標楷體" w:hAnsi="標楷體"/>
          <w:color w:val="000000"/>
        </w:rPr>
        <w:t>(2)須經事前審查核准後使用:</w:t>
      </w:r>
    </w:p>
    <w:p w:rsidR="00B96EA0" w:rsidRDefault="007D66B8" w:rsidP="005142EB">
      <w:pPr>
        <w:spacing w:line="400" w:lineRule="exact"/>
        <w:ind w:left="1699" w:hanging="283"/>
        <w:rPr>
          <w:rFonts w:ascii="標楷體" w:eastAsia="標楷體" w:hAnsi="標楷體"/>
          <w:color w:val="000000"/>
        </w:rPr>
      </w:pPr>
      <w:r>
        <w:rPr>
          <w:rFonts w:ascii="標楷體" w:eastAsia="標楷體" w:hAnsi="標楷體"/>
          <w:color w:val="000000"/>
        </w:rPr>
        <w:t>I.初次申請時需檢附確實患有非小細胞肺癌之病理或細胞檢查報告以及 BRAF V600E 突變檢測報告，且需符合全民健康保險藥品給付規定之通則十二。</w:t>
      </w:r>
    </w:p>
    <w:p w:rsidR="00B96EA0" w:rsidRDefault="007D66B8" w:rsidP="005142EB">
      <w:pPr>
        <w:spacing w:line="400" w:lineRule="exact"/>
        <w:ind w:left="1699" w:hanging="283"/>
        <w:rPr>
          <w:rFonts w:ascii="標楷體" w:eastAsia="標楷體" w:hAnsi="標楷體"/>
          <w:color w:val="000000"/>
        </w:rPr>
      </w:pPr>
      <w:r>
        <w:rPr>
          <w:rFonts w:ascii="標楷體" w:eastAsia="標楷體" w:hAnsi="標楷體"/>
          <w:color w:val="000000"/>
        </w:rPr>
        <w:t>II.每次申請事前審查之療程以3個月為限，每3個月需再次申請，再次申請時並需附上治療後相關臨床資料，若病情惡化即不得再次申請。</w:t>
      </w:r>
    </w:p>
    <w:p w:rsidR="00B96EA0" w:rsidRDefault="007D66B8" w:rsidP="005142EB">
      <w:pPr>
        <w:spacing w:line="400" w:lineRule="exact"/>
        <w:ind w:left="283"/>
        <w:rPr>
          <w:rFonts w:ascii="標楷體" w:eastAsia="標楷體" w:hAnsi="標楷體"/>
          <w:color w:val="000000"/>
        </w:rPr>
      </w:pPr>
      <w:bookmarkStart w:id="34" w:name="_Hlk70327755"/>
      <w:r>
        <w:rPr>
          <w:rFonts w:ascii="標楷體" w:eastAsia="標楷體" w:hAnsi="標楷體"/>
          <w:color w:val="000000"/>
        </w:rPr>
        <w:t>9.92. Ramucirumab (如Cyramza)：(110/5/1)</w:t>
      </w:r>
    </w:p>
    <w:p w:rsidR="00B96EA0" w:rsidRDefault="007D66B8" w:rsidP="005142EB">
      <w:pPr>
        <w:spacing w:line="400" w:lineRule="exact"/>
        <w:ind w:left="814" w:hanging="245"/>
      </w:pPr>
      <w:r>
        <w:rPr>
          <w:rFonts w:ascii="標楷體" w:eastAsia="標楷體" w:hAnsi="標楷體"/>
          <w:color w:val="000000"/>
        </w:rPr>
        <w:t>1.單一療法適用於接受過sorafenib治療失敗後之轉移性或無法手術切除且不適合局部治療或局部治療失敗，且alpha- fetoprotein (AFP)</w:t>
      </w:r>
      <w:r>
        <w:rPr>
          <w:rFonts w:ascii="Times New Roman" w:eastAsia="標楷體" w:hAnsi="Times New Roman"/>
          <w:color w:val="000000"/>
        </w:rPr>
        <w:t>≥</w:t>
      </w:r>
      <w:r>
        <w:rPr>
          <w:rFonts w:ascii="標楷體" w:eastAsia="標楷體" w:hAnsi="標楷體"/>
          <w:color w:val="000000"/>
        </w:rPr>
        <w:t xml:space="preserve"> 400ng/mL之Child-Pugh A class晚期肝細胞癌成人患者。</w:t>
      </w:r>
    </w:p>
    <w:p w:rsidR="00B96EA0" w:rsidRDefault="007D66B8" w:rsidP="005142EB">
      <w:pPr>
        <w:spacing w:line="400" w:lineRule="exact"/>
        <w:ind w:left="814" w:hanging="245"/>
        <w:rPr>
          <w:rFonts w:ascii="標楷體" w:eastAsia="標楷體" w:hAnsi="標楷體"/>
          <w:color w:val="000000"/>
        </w:rPr>
      </w:pPr>
      <w:r>
        <w:rPr>
          <w:rFonts w:ascii="標楷體" w:eastAsia="標楷體" w:hAnsi="標楷體"/>
          <w:color w:val="000000"/>
        </w:rPr>
        <w:t>2.需經事前審查核准後使用，初次申請之療程以12週為限，之後每8週評估一次。送審時需檢送影像資料，無疾病惡化方可繼續使用。</w:t>
      </w:r>
    </w:p>
    <w:p w:rsidR="00B96EA0" w:rsidRDefault="007D66B8" w:rsidP="005142EB">
      <w:pPr>
        <w:spacing w:line="400" w:lineRule="exact"/>
        <w:ind w:left="814" w:hanging="245"/>
        <w:rPr>
          <w:rFonts w:ascii="標楷體" w:eastAsia="標楷體" w:hAnsi="標楷體"/>
          <w:color w:val="000000"/>
        </w:rPr>
      </w:pPr>
      <w:r>
        <w:rPr>
          <w:rFonts w:ascii="標楷體" w:eastAsia="標楷體" w:hAnsi="標楷體"/>
          <w:color w:val="000000"/>
        </w:rPr>
        <w:t>3.Ramucirumab與regorafenib、nivolumab僅能擇一使用，不得互換。</w:t>
      </w:r>
      <w:bookmarkEnd w:id="34"/>
    </w:p>
    <w:p w:rsidR="00B96EA0" w:rsidRDefault="007D66B8" w:rsidP="005142EB">
      <w:pPr>
        <w:spacing w:line="400" w:lineRule="exact"/>
        <w:ind w:left="283"/>
        <w:rPr>
          <w:rFonts w:ascii="標楷體" w:eastAsia="標楷體" w:hAnsi="標楷體"/>
          <w:color w:val="000000"/>
        </w:rPr>
      </w:pPr>
      <w:r>
        <w:rPr>
          <w:rFonts w:ascii="標楷體" w:eastAsia="標楷體" w:hAnsi="標楷體"/>
          <w:color w:val="000000"/>
        </w:rPr>
        <w:t>9.93.Entrectinib (如Rozlytrek)：(110/7/1、113/6/1)</w:t>
      </w:r>
    </w:p>
    <w:p w:rsidR="00B96EA0" w:rsidRDefault="007D66B8" w:rsidP="005142EB">
      <w:pPr>
        <w:spacing w:line="400" w:lineRule="exact"/>
        <w:ind w:left="566"/>
        <w:rPr>
          <w:rFonts w:ascii="標楷體" w:eastAsia="標楷體" w:hAnsi="標楷體"/>
          <w:color w:val="000000"/>
        </w:rPr>
      </w:pPr>
      <w:r>
        <w:rPr>
          <w:rFonts w:ascii="標楷體" w:eastAsia="標楷體" w:hAnsi="標楷體"/>
          <w:color w:val="000000"/>
        </w:rPr>
        <w:t>1.單獨使用於ROS-1陽性之局部晚期或轉移性非小細胞肺癌的成人病人。</w:t>
      </w:r>
    </w:p>
    <w:p w:rsidR="00B96EA0" w:rsidRDefault="007D66B8" w:rsidP="005142EB">
      <w:pPr>
        <w:spacing w:line="400" w:lineRule="exact"/>
        <w:ind w:left="566"/>
        <w:rPr>
          <w:rFonts w:ascii="標楷體" w:eastAsia="標楷體" w:hAnsi="標楷體"/>
          <w:color w:val="000000"/>
        </w:rPr>
      </w:pPr>
      <w:r>
        <w:rPr>
          <w:rFonts w:ascii="標楷體" w:eastAsia="標楷體" w:hAnsi="標楷體"/>
          <w:color w:val="000000"/>
        </w:rPr>
        <w:t>2.須經事前審查核准後使用：(113/6/1)</w:t>
      </w:r>
    </w:p>
    <w:p w:rsidR="00B96EA0" w:rsidRDefault="007D66B8" w:rsidP="005142EB">
      <w:pPr>
        <w:spacing w:line="400" w:lineRule="exact"/>
        <w:ind w:left="1416" w:hanging="425"/>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ab/>
        <w:t>需檢具確實患有非小細胞肺癌之病理或細胞檢查報告，以及符合診斷之ROS-1突變檢測報告，且需符合全民健康保險藥品給付規定之通則十二。</w:t>
      </w:r>
    </w:p>
    <w:p w:rsidR="00B96EA0" w:rsidRDefault="007D66B8" w:rsidP="005142EB">
      <w:pPr>
        <w:spacing w:line="400" w:lineRule="exact"/>
        <w:ind w:left="1416" w:hanging="425"/>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ab/>
        <w:t>每次申請事前審查之療程以三個月為限，每三個月需再次申請，再次申請時並需附上治療後相關臨床資料，如給藥4週後，需追蹤胸部X光或電腦斷層等影像檢查評估療效，往後每4週做胸部X光檢查，每隔8週需追蹤其作為評估藥效的影像(如胸部X光或電腦斷層)，若病情惡化即不得再次申請。</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3.Entrectinib與crizotinib用於ROS-1陽性之晚期非小細胞肺癌時，僅得擇一使</w:t>
      </w:r>
      <w:r>
        <w:rPr>
          <w:rFonts w:ascii="標楷體" w:eastAsia="標楷體" w:hAnsi="標楷體"/>
          <w:color w:val="000000"/>
        </w:rPr>
        <w:lastRenderedPageBreak/>
        <w:t>用，除因病人使用後，發生嚴重不良反應或耐受不良之情形外，不得互換。</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4.每日最大劑量限600mg。</w:t>
      </w:r>
    </w:p>
    <w:p w:rsidR="00B96EA0" w:rsidRDefault="007D66B8" w:rsidP="005142EB">
      <w:pPr>
        <w:spacing w:line="400" w:lineRule="exact"/>
        <w:ind w:left="567" w:hanging="245"/>
      </w:pPr>
      <w:bookmarkStart w:id="35" w:name="_Hlk198656405"/>
      <w:bookmarkStart w:id="36" w:name="_Hlk85807933"/>
      <w:r>
        <w:rPr>
          <w:rFonts w:ascii="標楷體" w:eastAsia="標楷體" w:hAnsi="標楷體"/>
          <w:color w:val="000000"/>
        </w:rPr>
        <w:t>9.94.</w:t>
      </w:r>
      <w:r>
        <w:t xml:space="preserve"> </w:t>
      </w:r>
      <w:r>
        <w:rPr>
          <w:rFonts w:ascii="標楷體" w:eastAsia="標楷體" w:hAnsi="標楷體"/>
          <w:color w:val="000000"/>
        </w:rPr>
        <w:t>Darolutamide(如Nubeqa)：(110/11/1、112/9/1、113/5/1、113/8/1)</w:t>
      </w:r>
    </w:p>
    <w:p w:rsidR="00B96EA0" w:rsidRDefault="007D66B8" w:rsidP="005142EB">
      <w:pPr>
        <w:spacing w:line="400" w:lineRule="exact"/>
        <w:ind w:left="811" w:hanging="245"/>
      </w:pPr>
      <w:r>
        <w:rPr>
          <w:rFonts w:ascii="標楷體" w:eastAsia="標楷體" w:hAnsi="標楷體"/>
          <w:color w:val="000000"/>
        </w:rPr>
        <w:t>1.與docetaxel併用於治療高風險轉移性的去勢敏感性前列腺癌(mCSPC)，總療程以24個月為上限。(113/5/1、114/6/1)</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(1)須經事前審查核准後使用。</w:t>
      </w:r>
    </w:p>
    <w:p w:rsidR="00B96EA0" w:rsidRDefault="007D66B8" w:rsidP="005142EB">
      <w:pPr>
        <w:spacing w:line="400" w:lineRule="exact"/>
        <w:ind w:left="1146" w:hanging="340"/>
        <w:rPr>
          <w:rFonts w:ascii="標楷體" w:eastAsia="標楷體" w:hAnsi="標楷體"/>
          <w:color w:val="000000"/>
        </w:rPr>
      </w:pPr>
      <w:r>
        <w:rPr>
          <w:rFonts w:ascii="標楷體" w:eastAsia="標楷體" w:hAnsi="標楷體"/>
          <w:color w:val="000000"/>
        </w:rPr>
        <w:t>(2)每3個月需再次申請，再申請時若PSA值下降未超過治療前的50%以上，則需停藥。</w:t>
      </w:r>
    </w:p>
    <w:p w:rsidR="00B96EA0" w:rsidRDefault="007D66B8" w:rsidP="005142EB">
      <w:pPr>
        <w:spacing w:line="400" w:lineRule="exact"/>
        <w:ind w:left="1146" w:hanging="340"/>
        <w:rPr>
          <w:rFonts w:ascii="標楷體" w:eastAsia="標楷體" w:hAnsi="標楷體"/>
          <w:color w:val="000000"/>
        </w:rPr>
      </w:pPr>
      <w:r>
        <w:rPr>
          <w:rFonts w:ascii="標楷體" w:eastAsia="標楷體" w:hAnsi="標楷體"/>
          <w:color w:val="000000"/>
        </w:rPr>
        <w:t>(3)下降達最低值後之持續追蹤出現PSA較最低值上升50%以上且PSA≧2ng/mL，則需停藥，但影像學證據尚無疾病進展者，可以繼續使用。</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(4)前述高風險需符合下列三項條件中至少兩項(113/5/1、113/8/1)：</w:t>
      </w:r>
    </w:p>
    <w:p w:rsidR="00B96EA0" w:rsidRDefault="007D66B8" w:rsidP="005142EB">
      <w:pPr>
        <w:spacing w:line="400" w:lineRule="exact"/>
        <w:ind w:left="1163" w:hanging="244"/>
        <w:rPr>
          <w:rFonts w:ascii="標楷體" w:eastAsia="標楷體" w:hAnsi="標楷體"/>
          <w:color w:val="000000"/>
        </w:rPr>
      </w:pPr>
      <w:r>
        <w:rPr>
          <w:rFonts w:ascii="標楷體" w:eastAsia="標楷體" w:hAnsi="標楷體"/>
          <w:color w:val="000000"/>
        </w:rPr>
        <w:t xml:space="preserve"> Ⅰ.葛里森分數(Gleason score)≧8。</w:t>
      </w:r>
    </w:p>
    <w:p w:rsidR="00B96EA0" w:rsidRDefault="007D66B8" w:rsidP="005142EB">
      <w:pPr>
        <w:spacing w:line="400" w:lineRule="exact"/>
        <w:ind w:left="1373" w:hanging="454"/>
      </w:pPr>
      <w:r>
        <w:rPr>
          <w:rFonts w:ascii="標楷體" w:eastAsia="標楷體" w:hAnsi="標楷體"/>
          <w:color w:val="000000"/>
        </w:rPr>
        <w:t xml:space="preserve"> Ⅱ.</w:t>
      </w:r>
      <w:r>
        <w:t xml:space="preserve"> </w:t>
      </w:r>
      <w:r>
        <w:rPr>
          <w:rFonts w:ascii="標楷體" w:eastAsia="標楷體" w:hAnsi="標楷體"/>
          <w:color w:val="000000"/>
        </w:rPr>
        <w:t>骨骼掃描出現三個(含)以上病灶且至少其中一處以上為非脊柱及非骨盆腔轉移。(113/5/1、113/8/1)</w:t>
      </w:r>
    </w:p>
    <w:p w:rsidR="00B96EA0" w:rsidRDefault="007D66B8" w:rsidP="005142EB">
      <w:pPr>
        <w:spacing w:line="400" w:lineRule="exact"/>
        <w:ind w:left="1163" w:hanging="244"/>
        <w:rPr>
          <w:rFonts w:ascii="標楷體" w:eastAsia="標楷體" w:hAnsi="標楷體"/>
          <w:color w:val="000000"/>
        </w:rPr>
      </w:pPr>
      <w:r>
        <w:rPr>
          <w:rFonts w:ascii="標楷體" w:eastAsia="標楷體" w:hAnsi="標楷體"/>
          <w:color w:val="000000"/>
        </w:rPr>
        <w:t xml:space="preserve"> Ⅲ.出現內臟轉移。</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 xml:space="preserve">(5)與docetaxel併用，docetaxel  </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 xml:space="preserve">   限使用6個療程，且須符合下列所有條件：</w:t>
      </w:r>
    </w:p>
    <w:p w:rsidR="00B96EA0" w:rsidRDefault="007D66B8" w:rsidP="005142EB">
      <w:pPr>
        <w:spacing w:line="400" w:lineRule="exact"/>
        <w:ind w:left="1163" w:hanging="244"/>
        <w:rPr>
          <w:rFonts w:ascii="標楷體" w:eastAsia="標楷體" w:hAnsi="標楷體"/>
          <w:color w:val="000000"/>
        </w:rPr>
      </w:pPr>
      <w:r>
        <w:rPr>
          <w:rFonts w:ascii="標楷體" w:eastAsia="標楷體" w:hAnsi="標楷體"/>
          <w:color w:val="000000"/>
        </w:rPr>
        <w:t xml:space="preserve">  Ⅰ.ECOG≦1。</w:t>
      </w:r>
    </w:p>
    <w:p w:rsidR="00B96EA0" w:rsidRDefault="007D66B8" w:rsidP="005142EB">
      <w:pPr>
        <w:spacing w:line="400" w:lineRule="exact"/>
        <w:ind w:left="1163" w:hanging="244"/>
        <w:rPr>
          <w:rFonts w:ascii="標楷體" w:eastAsia="標楷體" w:hAnsi="標楷體"/>
          <w:color w:val="000000"/>
        </w:rPr>
      </w:pPr>
      <w:r>
        <w:rPr>
          <w:rFonts w:ascii="標楷體" w:eastAsia="標楷體" w:hAnsi="標楷體"/>
          <w:color w:val="000000"/>
        </w:rPr>
        <w:t xml:space="preserve">  Ⅱ.絕對嗜中性球計數≧1500/mm3。</w:t>
      </w:r>
    </w:p>
    <w:p w:rsidR="00B96EA0" w:rsidRDefault="007D66B8" w:rsidP="005142EB">
      <w:pPr>
        <w:spacing w:line="400" w:lineRule="exact"/>
        <w:ind w:left="1163" w:hanging="244"/>
        <w:rPr>
          <w:rFonts w:ascii="標楷體" w:eastAsia="標楷體" w:hAnsi="標楷體"/>
          <w:color w:val="000000"/>
        </w:rPr>
      </w:pPr>
      <w:r>
        <w:rPr>
          <w:rFonts w:ascii="標楷體" w:eastAsia="標楷體" w:hAnsi="標楷體"/>
          <w:color w:val="000000"/>
        </w:rPr>
        <w:t xml:space="preserve">  Ⅲ.血小板計數≧100,000/mm3。</w:t>
      </w:r>
    </w:p>
    <w:p w:rsidR="00B96EA0" w:rsidRDefault="007D66B8" w:rsidP="005142EB">
      <w:pPr>
        <w:spacing w:line="400" w:lineRule="exact"/>
        <w:ind w:left="1163" w:hanging="244"/>
        <w:rPr>
          <w:rFonts w:ascii="標楷體" w:eastAsia="標楷體" w:hAnsi="標楷體"/>
          <w:color w:val="000000"/>
        </w:rPr>
      </w:pPr>
      <w:r>
        <w:rPr>
          <w:rFonts w:ascii="標楷體" w:eastAsia="標楷體" w:hAnsi="標楷體"/>
          <w:color w:val="000000"/>
        </w:rPr>
        <w:t xml:space="preserve">  IV.GPT≦2倍之正常值上限。</w:t>
      </w:r>
    </w:p>
    <w:p w:rsidR="00B96EA0" w:rsidRDefault="007D66B8" w:rsidP="005142EB">
      <w:pPr>
        <w:spacing w:line="400" w:lineRule="exact"/>
        <w:ind w:left="1163" w:hanging="244"/>
        <w:rPr>
          <w:rFonts w:ascii="標楷體" w:eastAsia="標楷體" w:hAnsi="標楷體"/>
          <w:color w:val="000000"/>
        </w:rPr>
      </w:pPr>
      <w:r>
        <w:rPr>
          <w:rFonts w:ascii="標楷體" w:eastAsia="標楷體" w:hAnsi="標楷體"/>
          <w:color w:val="000000"/>
        </w:rPr>
        <w:t xml:space="preserve">   V.Total bilirubin≦正常值上限。</w:t>
      </w:r>
    </w:p>
    <w:p w:rsidR="00B96EA0" w:rsidRDefault="007D66B8" w:rsidP="005142EB">
      <w:pPr>
        <w:spacing w:line="400" w:lineRule="exact"/>
        <w:ind w:left="1163" w:hanging="244"/>
        <w:rPr>
          <w:rFonts w:ascii="標楷體" w:eastAsia="標楷體" w:hAnsi="標楷體"/>
          <w:color w:val="000000"/>
        </w:rPr>
      </w:pPr>
      <w:r>
        <w:rPr>
          <w:rFonts w:ascii="標楷體" w:eastAsia="標楷體" w:hAnsi="標楷體"/>
          <w:color w:val="000000"/>
        </w:rPr>
        <w:t xml:space="preserve">  VI.eGFR≧30mL/min/1.73m2 </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2.治療高風險非轉移性去勢抗性前列腺癌(high risk nmCRPC)的成年男性。</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(1)須經事前審查核准後使用。</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(2)初次申請時需檢附病理報告、使用雄性素去除療法紀錄，系列PSA和睪固酮數據，三個月內影像報告證明無遠端轉移。</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(3)ECOG分數須≦1。</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(4)PSA doubling time≦10個月，PSA倍增之時間，應依線性回歸模型計算，且其參數取得需基於下列原則：（112/9/1）</w:t>
      </w:r>
    </w:p>
    <w:p w:rsidR="00B96EA0" w:rsidRDefault="007D66B8" w:rsidP="005142EB">
      <w:pPr>
        <w:spacing w:line="400" w:lineRule="exact"/>
        <w:ind w:left="1373" w:hanging="454"/>
        <w:rPr>
          <w:rFonts w:ascii="標楷體" w:eastAsia="標楷體" w:hAnsi="標楷體"/>
          <w:color w:val="000000"/>
        </w:rPr>
      </w:pPr>
      <w:r>
        <w:rPr>
          <w:rFonts w:ascii="標楷體" w:eastAsia="標楷體" w:hAnsi="標楷體"/>
          <w:color w:val="000000"/>
        </w:rPr>
        <w:t xml:space="preserve"> Ⅰ.至少三個連續PSA測量值，且各測量值皆≧0.2 ng/mL（最高的PSA值必須&gt;1.0ng/ml）。</w:t>
      </w:r>
    </w:p>
    <w:p w:rsidR="00B96EA0" w:rsidRDefault="007D66B8" w:rsidP="005142EB">
      <w:pPr>
        <w:spacing w:line="400" w:lineRule="exact"/>
        <w:ind w:left="1373" w:hanging="454"/>
        <w:rPr>
          <w:rFonts w:ascii="標楷體" w:eastAsia="標楷體" w:hAnsi="標楷體"/>
          <w:color w:val="000000"/>
        </w:rPr>
      </w:pPr>
      <w:r>
        <w:rPr>
          <w:rFonts w:ascii="標楷體" w:eastAsia="標楷體" w:hAnsi="標楷體"/>
          <w:color w:val="000000"/>
        </w:rPr>
        <w:t xml:space="preserve"> Ⅱ.應包含先前ADT治療期間的測量值，且最少一測量值為最近3個月內測得之PSA數值。</w:t>
      </w:r>
    </w:p>
    <w:p w:rsidR="00B96EA0" w:rsidRDefault="007D66B8" w:rsidP="005142EB">
      <w:pPr>
        <w:spacing w:line="400" w:lineRule="exact"/>
        <w:ind w:left="1163" w:hanging="244"/>
        <w:rPr>
          <w:rFonts w:ascii="標楷體" w:eastAsia="標楷體" w:hAnsi="標楷體"/>
          <w:color w:val="000000"/>
        </w:rPr>
      </w:pPr>
      <w:r>
        <w:rPr>
          <w:rFonts w:ascii="標楷體" w:eastAsia="標楷體" w:hAnsi="標楷體"/>
          <w:color w:val="000000"/>
        </w:rPr>
        <w:t xml:space="preserve"> Ⅲ.第一個和最後一個PSA測量值間隔需≧8週，但≦12個月。</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 xml:space="preserve">(5)每3個月需再次申請，申請之療程以3個月為限。再次申請時，有 PSA </w:t>
      </w:r>
      <w:r>
        <w:rPr>
          <w:rFonts w:ascii="標楷體" w:eastAsia="標楷體" w:hAnsi="標楷體"/>
          <w:color w:val="000000"/>
        </w:rPr>
        <w:lastRenderedPageBreak/>
        <w:t>progression 者，需檢附影像學報告，若影像學報告證實轉移，則需停藥;無PSA progression 者，則每6個月需檢附影像學報告，若影像學報告證實轉移，則需停藥。（112/9/1）</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註：</w:t>
      </w:r>
    </w:p>
    <w:p w:rsidR="00B96EA0" w:rsidRDefault="007D66B8" w:rsidP="005142EB">
      <w:pPr>
        <w:spacing w:line="400" w:lineRule="exact"/>
        <w:ind w:left="806"/>
        <w:rPr>
          <w:rFonts w:ascii="標楷體" w:eastAsia="標楷體" w:hAnsi="標楷體"/>
          <w:color w:val="000000"/>
        </w:rPr>
      </w:pPr>
      <w:r>
        <w:rPr>
          <w:rFonts w:ascii="標楷體" w:eastAsia="標楷體" w:hAnsi="標楷體"/>
          <w:color w:val="000000"/>
        </w:rPr>
        <w:t>PSA progression 定義為:PSA下降 達最低值(nadir)後，出現 PSA 值上升較 nadir≧25%，且PSA≧2 ng/mL，並於至少3週後，再次抽血 確認PSA值有上升趨勢。</w:t>
      </w:r>
    </w:p>
    <w:p w:rsidR="00B96EA0" w:rsidRDefault="007D66B8" w:rsidP="005142EB">
      <w:pPr>
        <w:spacing w:line="400" w:lineRule="exact"/>
        <w:ind w:left="811" w:hanging="245"/>
      </w:pPr>
      <w:r>
        <w:rPr>
          <w:rFonts w:ascii="標楷體" w:eastAsia="標楷體" w:hAnsi="標楷體"/>
          <w:color w:val="000000"/>
        </w:rPr>
        <w:t>3.</w:t>
      </w:r>
      <w:r>
        <w:t xml:space="preserve"> </w:t>
      </w:r>
      <w:r>
        <w:rPr>
          <w:rFonts w:ascii="標楷體" w:eastAsia="標楷體" w:hAnsi="標楷體"/>
          <w:color w:val="000000"/>
        </w:rPr>
        <w:t>不論病人處於轉移或非轉移的狀態下，新型荷爾蒙藥品(abiraterone、apalutamide、darolutamide和enzalutamide) ，及olaparib 與 abiraterone併用，終生僅給付一種治療，且除非出現嚴重不耐受反應導致必須永久停止治療，不得互換。(112/9/1、114/6/1)</w:t>
      </w:r>
      <w:bookmarkEnd w:id="35"/>
    </w:p>
    <w:bookmarkEnd w:id="36"/>
    <w:p w:rsidR="00B96EA0" w:rsidRDefault="007D66B8" w:rsidP="005142EB">
      <w:pPr>
        <w:spacing w:line="400" w:lineRule="exact"/>
        <w:ind w:left="567" w:hanging="245"/>
        <w:rPr>
          <w:rFonts w:ascii="標楷體" w:eastAsia="標楷體" w:hAnsi="標楷體"/>
          <w:color w:val="000000"/>
        </w:rPr>
      </w:pPr>
      <w:r>
        <w:rPr>
          <w:rFonts w:ascii="標楷體" w:eastAsia="標楷體" w:hAnsi="標楷體"/>
          <w:color w:val="000000"/>
        </w:rPr>
        <w:t>9.95.Larotrectinib (如Vitrakvi)：(111/3/1、111/6/1、112/12/1、113/6/1)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ab/>
        <w:t>適用於有NTRK基因融合的實體腫瘤成人和兒童病人，並應符合以下條件：(112/12/1)</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(1)具NTRK基因融合且無已知的後天阻抗性突變(acquired resistance mutation)。</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(2)為轉移性實體腫瘤，或手術切除極可能造成嚴重病症(severe morbidity)。</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(3)沒有合適的替代治療選項(包含免疫檢查點抑制劑)。</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2.前述1.之兒童(未滿18 歲)病人，除了嬰兒纖維肉瘤可作為(含)一線以上使用外，其餘適應症須為曾接受一線治療後無效或復發的病人。（112/12/1)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3.前述1.之成人(≧18歲)病人，包括之適應症有:（112/12/1)</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(1)非小細胞肺癌:</w:t>
      </w:r>
    </w:p>
    <w:p w:rsidR="00B96EA0" w:rsidRDefault="007D66B8" w:rsidP="005142EB">
      <w:pPr>
        <w:spacing w:line="400" w:lineRule="exact"/>
        <w:ind w:left="1461" w:hanging="244"/>
        <w:rPr>
          <w:rFonts w:ascii="標楷體" w:eastAsia="標楷體" w:hAnsi="標楷體"/>
          <w:color w:val="000000"/>
        </w:rPr>
      </w:pPr>
      <w:r>
        <w:rPr>
          <w:rFonts w:ascii="標楷體" w:eastAsia="標楷體" w:hAnsi="標楷體"/>
          <w:color w:val="000000"/>
        </w:rPr>
        <w:t>I.不適合接受化學治療之晚期非小細胞肺癌成人患者，非鱗狀癌者需為EGFR/ALK/ROS-1 腫瘤基因原生型、鱗狀癌者需為EGFR/ALK 腫瘤基因原生型。</w:t>
      </w:r>
    </w:p>
    <w:p w:rsidR="00B96EA0" w:rsidRDefault="007D66B8" w:rsidP="005142EB">
      <w:pPr>
        <w:spacing w:line="400" w:lineRule="exact"/>
        <w:ind w:left="1461" w:hanging="244"/>
        <w:rPr>
          <w:rFonts w:ascii="標楷體" w:eastAsia="標楷體" w:hAnsi="標楷體"/>
          <w:color w:val="000000"/>
        </w:rPr>
      </w:pPr>
      <w:r>
        <w:rPr>
          <w:rFonts w:ascii="標楷體" w:eastAsia="標楷體" w:hAnsi="標楷體"/>
          <w:color w:val="000000"/>
        </w:rPr>
        <w:t>Ⅱ.先前已使用過platinum 類化學治療失敗後，又有疾病惡化，且EGFR/ALK 腫瘤基因為原生型之晚期鱗狀非小細胞肺癌患者。</w:t>
      </w:r>
    </w:p>
    <w:p w:rsidR="00B96EA0" w:rsidRDefault="007D66B8" w:rsidP="005142EB">
      <w:pPr>
        <w:spacing w:line="400" w:lineRule="exact"/>
        <w:ind w:left="1461" w:hanging="244"/>
        <w:rPr>
          <w:rFonts w:ascii="標楷體" w:eastAsia="標楷體" w:hAnsi="標楷體"/>
          <w:color w:val="000000"/>
        </w:rPr>
      </w:pPr>
      <w:r>
        <w:rPr>
          <w:rFonts w:ascii="標楷體" w:eastAsia="標楷體" w:hAnsi="標楷體"/>
          <w:color w:val="000000"/>
        </w:rPr>
        <w:t>Ⅲ.先前已使用過platinum 類及docetaxel /paclitaxel 類二線(含)以上化學治療均失敗，又有疾病惡化，且EGFR/ALK/ROS-1 腫瘤基因為原生型之晚期非小細胞肺腺癌患者。</w:t>
      </w:r>
    </w:p>
    <w:p w:rsidR="00B96EA0" w:rsidRDefault="007D66B8" w:rsidP="005142EB">
      <w:pPr>
        <w:spacing w:line="400" w:lineRule="exact"/>
        <w:ind w:left="1461" w:hanging="244"/>
        <w:rPr>
          <w:rFonts w:ascii="標楷體" w:eastAsia="標楷體" w:hAnsi="標楷體"/>
          <w:color w:val="000000"/>
        </w:rPr>
      </w:pPr>
      <w:r>
        <w:rPr>
          <w:rFonts w:ascii="標楷體" w:eastAsia="標楷體" w:hAnsi="標楷體"/>
          <w:color w:val="000000"/>
        </w:rPr>
        <w:t>Ⅳ.先前曾接受過至少一線anti-EGFR TKI 治療失敗，且因NTRK 基因融合對anti-EGFR TKI 產生抗性之局部侵犯性或轉移性之EGFR 突變非小細胞肺癌患者。</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(2)大腸直腸癌:先前已使用過FOLFIRI（folinic acid/5- fluorouracil/irinotecan）或FOLFOX（folinic acid/5- fluorouracil/oxaliplatin）治療失敗，又有疾病惡化之轉移性直腸結腸癌患</w:t>
      </w:r>
      <w:r>
        <w:rPr>
          <w:rFonts w:ascii="標楷體" w:eastAsia="標楷體" w:hAnsi="標楷體"/>
          <w:color w:val="000000"/>
        </w:rPr>
        <w:lastRenderedPageBreak/>
        <w:t>者。</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(3)黑色素瘤:先前曾接受過至少一次全身性治療失敗，又有疾病惡化，且BRAF腫瘤基因為原生型之無法手術切除或轉移的第三期或第四期黑色素瘤患者。</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(4)胰臟癌:先前曾接受過至少一次全身性治療失敗，又有疾病惡化，無法手術切除或轉移性胰臟癌患者。</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(5)甲狀腺癌:用於放射性碘治療無效之局部晚期或轉移性的進行性 (progressive)甲狀腺癌。</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(6)惡性神經膠質瘤或退行性星狀細胞瘤:先前曾接受過標準放射線治療以及化學藥物治療失敗之高度惡性神經膠質瘤(WHO 第4級)或退行性星狀細胞瘤(WHO 第3-4 級)。</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(7)肝內膽管癌:先前曾接受過至少一次全身性治療失敗，又有疾病惡化，無法手術切除或晚期或復發之膽道癌(含肝內膽管)病患。</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(8)軟組織肉瘤:用於治療先前曾接受化療失敗的晚期軟組織肉瘤(STS)患者。其病情若能接受手術治療者，須先經手術治療。</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(9)胃腸道基質瘤:先前曾接受過至少一次全身性治療失敗，又有疾病惡化，無法手術切除或轉移的惡性胃腸道基質瘤。</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(10)唾液腺腫瘤:無法手術切除或轉移的唾液腺腫瘤。</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(11)骨癌:無法手術切除或轉移的骨癌。</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(12)闌尾癌:先前曾接受過至少一次全身性治療失敗，又有疾病惡化，無法手術切除或轉移的闌尾癌。</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(13)分泌型乳腺癌:先前曾接受過前導性、術後輔助性或轉移性化學治療的轉移性分泌型乳腺癌。</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4.需經事前審查核准後使用：(111/3/1、111/6/1、113/6/1)</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(1)每次申請之療程以12週為限。</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(2)初次申請時需檢附NTRK基因融合檢測報告。NTRK 1/2/3檢測需符合全民健康保險藥品給付規定之通則十二。(111/6/1、113/6/1)</w:t>
      </w:r>
    </w:p>
    <w:p w:rsidR="00B96EA0" w:rsidRDefault="007D66B8" w:rsidP="005142EB">
      <w:pPr>
        <w:spacing w:line="400" w:lineRule="exact"/>
        <w:ind w:left="1134" w:hanging="245"/>
        <w:rPr>
          <w:rFonts w:ascii="標楷體" w:eastAsia="標楷體" w:hAnsi="標楷體"/>
          <w:color w:val="000000"/>
        </w:rPr>
      </w:pPr>
      <w:r>
        <w:rPr>
          <w:rFonts w:ascii="標楷體" w:eastAsia="標楷體" w:hAnsi="標楷體"/>
          <w:color w:val="000000"/>
        </w:rPr>
        <w:t>(3)再次申請時需檢附療效評估資料證實無疾病進展，才可繼續使用。</w:t>
      </w:r>
    </w:p>
    <w:p w:rsidR="00B96EA0" w:rsidRDefault="007D66B8" w:rsidP="005142EB">
      <w:pPr>
        <w:spacing w:line="400" w:lineRule="exact"/>
        <w:ind w:left="567" w:hanging="245"/>
        <w:rPr>
          <w:rFonts w:ascii="標楷體" w:eastAsia="標楷體" w:hAnsi="標楷體"/>
          <w:color w:val="000000"/>
        </w:rPr>
      </w:pPr>
      <w:bookmarkStart w:id="37" w:name="_Hlk101789957"/>
      <w:r>
        <w:rPr>
          <w:rFonts w:ascii="標楷體" w:eastAsia="標楷體" w:hAnsi="標楷體"/>
          <w:color w:val="000000"/>
        </w:rPr>
        <w:t>9.96.Decitabine：(111/5/1)</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1.骨髓增生不良症候群高危險性病患：頑固性貧血併有過量芽細胞（RA with excess blasts, RAEB）、轉變中的頑固性貧血併有過量芽細胞（RAEB in transformation, RAEB-T）、及慢性骨髓單核細胞性白血病（chronic myelomonocytic leukemia, CMMoL）。</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2.初次申請時需經事前審查核准後使用。</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3.續用本藥品不需再事前審查，惟病歷應留存確診之病理或影像診斷證明等報告，並記錄治療相關臨床資料。病患倘病情惡化至急性骨髓性白血病即應停藥。</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t>4.急性骨髓性白血病之定義：骨髓芽細胞（myeloblast）大於30%。</w:t>
      </w:r>
    </w:p>
    <w:p w:rsidR="00B96EA0" w:rsidRDefault="007D66B8" w:rsidP="005142EB">
      <w:pPr>
        <w:spacing w:line="400" w:lineRule="exact"/>
        <w:ind w:left="811" w:hanging="245"/>
        <w:rPr>
          <w:rFonts w:ascii="標楷體" w:eastAsia="標楷體" w:hAnsi="標楷體"/>
          <w:color w:val="000000"/>
        </w:rPr>
      </w:pPr>
      <w:r>
        <w:rPr>
          <w:rFonts w:ascii="標楷體" w:eastAsia="標楷體" w:hAnsi="標楷體"/>
          <w:color w:val="000000"/>
        </w:rPr>
        <w:lastRenderedPageBreak/>
        <w:t>5.本藥品與azacitidine僅能擇一使用，除因耐受性不良，不得互換。使用本藥品無效後，不得再申請azacitidine。</w:t>
      </w:r>
      <w:bookmarkEnd w:id="37"/>
    </w:p>
    <w:p w:rsidR="00B96EA0" w:rsidRDefault="007D66B8" w:rsidP="005142EB">
      <w:pPr>
        <w:spacing w:line="400" w:lineRule="exact"/>
        <w:ind w:left="567" w:hanging="245"/>
        <w:rPr>
          <w:rFonts w:ascii="標楷體" w:eastAsia="標楷體" w:hAnsi="標楷體"/>
          <w:color w:val="000000"/>
        </w:rPr>
      </w:pPr>
      <w:r>
        <w:rPr>
          <w:rFonts w:ascii="標楷體" w:eastAsia="標楷體" w:hAnsi="標楷體"/>
          <w:color w:val="000000"/>
        </w:rPr>
        <w:t>9.97.Avapritinib (如Ayvakit)：(111/6/1、113/6/1)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1.治療具有血小板衍生生長因子α受體(PDGFRA)D842V突變之無法切除或轉移性腸胃道間質瘤的成年病人。</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2.需經事前審查核准後使用，初次申請時需檢附血小板衍生生長因子α受體(PDGFRA)D842V突變檢測報告，且需符合全民健康保險藥品給付規定之通則十二。(111/6/1、113/6/1)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3.每次申請事前審查之療程以6個月為限，再次申請必須提出客觀證據(如：影像學)證實無惡化，才可繼續使用。</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4.每日至多處方100mg 2粒或300mg 1粒。</w:t>
      </w:r>
    </w:p>
    <w:p w:rsidR="00B96EA0" w:rsidRDefault="007D66B8" w:rsidP="005142EB">
      <w:pPr>
        <w:spacing w:line="400" w:lineRule="exact"/>
        <w:ind w:left="567" w:hanging="245"/>
        <w:rPr>
          <w:rFonts w:ascii="標楷體" w:eastAsia="標楷體" w:hAnsi="標楷體"/>
          <w:color w:val="000000"/>
        </w:rPr>
      </w:pPr>
      <w:r>
        <w:rPr>
          <w:rFonts w:ascii="標楷體" w:eastAsia="標楷體" w:hAnsi="標楷體"/>
          <w:color w:val="000000"/>
        </w:rPr>
        <w:t>9.98.Pemigatinib (如Pemazyre)：(112/5/1、113/6/1)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1.適用於成人接受過全身性藥物治療、腫瘤具有FGFR2融合或重排、不可手術切除的局部晚期或轉移性肝內膽管癌。</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2.需經事前審查核准後使用，初次申請需檢附腫瘤組織具有FGFR2基因融合或重排之基因變異檢測報告，且需符合全民健康保險藥品給付規定之通則十二。(113/6/1)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3.核准後每12週需再次申請，再次申請時需檢附療效評估資料證實無疾病惡化，才可繼續使用。</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4.每日限處方1粒。</w:t>
      </w:r>
    </w:p>
    <w:p w:rsidR="00B96EA0" w:rsidRDefault="007D66B8" w:rsidP="005142EB">
      <w:pPr>
        <w:spacing w:line="400" w:lineRule="exact"/>
        <w:ind w:left="567" w:hanging="245"/>
        <w:rPr>
          <w:rFonts w:ascii="標楷體" w:eastAsia="標楷體" w:hAnsi="標楷體"/>
          <w:color w:val="000000"/>
        </w:rPr>
      </w:pPr>
      <w:r>
        <w:rPr>
          <w:rFonts w:ascii="標楷體" w:eastAsia="標楷體" w:hAnsi="標楷體"/>
          <w:color w:val="000000"/>
        </w:rPr>
        <w:t>9.99.Gilteritinib(如Xospata)：(112/6/1、113/6/1)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1.限單獨使用於具有FLT3突變的復發性或難治性急性骨髓性白血病(R/R AML)且計畫進行造血幹細胞移植的成年病人，限移植前使用，每位病人限給付6療程。病患須至少接受過一次 含anthracycline藥物的化學治療。</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2.須事前審查核准後使用，初次申請時須檢附：</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(1)相關病歷資料。</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(2)完整之造血幹細胞移植計畫，並詳細記載確認捐贈者名單及移植前調適治療等資料。需由具訓練血液及骨髓移植醫師能力之醫院申請，並由完成血液及骨髓移植訓練之醫師確認移植計畫。</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(3)染色體檢驗報告，若為unfavorable karyotype(包含complex karyotype、-5、-5q、 -7、-7q、除t(9;11)外的11q23 abnormalities、inv(3)、(3;3)、t(6;9)以及t(9;22)等) 則不予給付。</w:t>
      </w:r>
    </w:p>
    <w:p w:rsidR="00B96EA0" w:rsidRDefault="007D66B8" w:rsidP="005142EB">
      <w:pPr>
        <w:spacing w:line="400" w:lineRule="exact"/>
        <w:ind w:left="1051" w:hanging="245"/>
        <w:rPr>
          <w:rFonts w:ascii="標楷體" w:eastAsia="標楷體" w:hAnsi="標楷體"/>
          <w:color w:val="000000"/>
        </w:rPr>
      </w:pPr>
      <w:r>
        <w:rPr>
          <w:rFonts w:ascii="標楷體" w:eastAsia="標楷體" w:hAnsi="標楷體"/>
          <w:color w:val="000000"/>
        </w:rPr>
        <w:t>(4)檢附之FLT3突變檢測結果報告，需符合全民健康保險藥品給付規定之通則十二。(113/6/1)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3.每次申請為二個療程；續申請次二個療程時須檢附達到PR、CRi 或CR的證明方可續用。申請劑量以每日120mg為上限。</w:t>
      </w:r>
    </w:p>
    <w:p w:rsidR="007155BC" w:rsidRDefault="007155BC" w:rsidP="007155BC">
      <w:pPr>
        <w:spacing w:line="400" w:lineRule="exact"/>
        <w:ind w:left="610" w:hanging="245"/>
        <w:rPr>
          <w:rFonts w:ascii="標楷體" w:eastAsia="標楷體" w:hAnsi="標楷體"/>
          <w:color w:val="000000"/>
        </w:rPr>
      </w:pPr>
      <w:bookmarkStart w:id="38" w:name="_Hlk209191918"/>
      <w:r>
        <w:rPr>
          <w:rFonts w:ascii="標楷體" w:eastAsia="標楷體" w:hAnsi="標楷體"/>
          <w:color w:val="000000"/>
        </w:rPr>
        <w:t>9.100.Acalabrutinib(如Calquence)：(112/7/1、112/12/1</w:t>
      </w:r>
      <w:r>
        <w:rPr>
          <w:rFonts w:ascii="標楷體" w:eastAsia="標楷體" w:hAnsi="標楷體" w:hint="eastAsia"/>
          <w:color w:val="000000"/>
        </w:rPr>
        <w:t>、114/10/1</w:t>
      </w:r>
      <w:r>
        <w:rPr>
          <w:rFonts w:ascii="標楷體" w:eastAsia="標楷體" w:hAnsi="標楷體"/>
          <w:color w:val="000000"/>
        </w:rPr>
        <w:t>)</w:t>
      </w:r>
    </w:p>
    <w:p w:rsidR="007155BC" w:rsidRDefault="007155BC" w:rsidP="007155BC">
      <w:pPr>
        <w:spacing w:line="400" w:lineRule="exact"/>
        <w:ind w:left="850" w:hanging="245"/>
        <w:rPr>
          <w:rFonts w:ascii="標楷體" w:eastAsia="標楷體" w:hAnsi="標楷體"/>
          <w:color w:val="000000"/>
        </w:rPr>
      </w:pPr>
      <w:r>
        <w:rPr>
          <w:rFonts w:ascii="標楷體" w:eastAsia="標楷體" w:hAnsi="標楷體"/>
          <w:color w:val="000000"/>
        </w:rPr>
        <w:lastRenderedPageBreak/>
        <w:t>1.單獨使用於先前接受過至少一種化學或標靶治療方式無效或復發的被套細胞淋巴瘤成年病人。</w:t>
      </w:r>
    </w:p>
    <w:p w:rsidR="007155BC" w:rsidRDefault="007155BC" w:rsidP="007155BC">
      <w:pPr>
        <w:pStyle w:val="a9"/>
        <w:numPr>
          <w:ilvl w:val="0"/>
          <w:numId w:val="43"/>
        </w:numPr>
        <w:spacing w:line="400" w:lineRule="exact"/>
        <w:rPr>
          <w:rFonts w:ascii="標楷體" w:eastAsia="標楷體" w:hAnsi="標楷體"/>
          <w:color w:val="000000"/>
        </w:rPr>
      </w:pPr>
      <w:r w:rsidRPr="005C0189">
        <w:rPr>
          <w:rFonts w:ascii="標楷體" w:eastAsia="標楷體" w:hAnsi="標楷體"/>
          <w:color w:val="000000"/>
        </w:rPr>
        <w:t>需經事前審查核准後使用。首次申請事前審查之療程以4個月為限，之後每3個月需再次申請，再次申請時應檢附前次治療結果評估資料，如影像學檢查報告。</w:t>
      </w:r>
    </w:p>
    <w:p w:rsidR="007155BC" w:rsidRDefault="007155BC" w:rsidP="007155BC">
      <w:pPr>
        <w:pStyle w:val="a9"/>
        <w:numPr>
          <w:ilvl w:val="0"/>
          <w:numId w:val="43"/>
        </w:numPr>
        <w:spacing w:line="400" w:lineRule="exact"/>
        <w:rPr>
          <w:rFonts w:ascii="標楷體" w:eastAsia="標楷體" w:hAnsi="標楷體"/>
          <w:color w:val="000000"/>
        </w:rPr>
      </w:pPr>
      <w:r w:rsidRPr="005C0189">
        <w:rPr>
          <w:rFonts w:ascii="標楷體" w:eastAsia="標楷體" w:hAnsi="標楷體"/>
          <w:color w:val="000000"/>
        </w:rPr>
        <w:t>若疾病進展，則必須停止使用。</w:t>
      </w:r>
    </w:p>
    <w:p w:rsidR="007155BC" w:rsidRDefault="007155BC" w:rsidP="007155BC">
      <w:pPr>
        <w:pStyle w:val="a9"/>
        <w:numPr>
          <w:ilvl w:val="0"/>
          <w:numId w:val="43"/>
        </w:numPr>
        <w:spacing w:line="400" w:lineRule="exact"/>
        <w:rPr>
          <w:rFonts w:ascii="標楷體" w:eastAsia="標楷體" w:hAnsi="標楷體"/>
          <w:color w:val="000000"/>
        </w:rPr>
      </w:pPr>
      <w:r w:rsidRPr="005C0189">
        <w:rPr>
          <w:rFonts w:ascii="標楷體" w:eastAsia="標楷體" w:hAnsi="標楷體"/>
          <w:color w:val="000000"/>
        </w:rPr>
        <w:t>每位病人限給付20個月。</w:t>
      </w:r>
    </w:p>
    <w:p w:rsidR="007155BC" w:rsidRDefault="007155BC" w:rsidP="007155BC">
      <w:pPr>
        <w:pStyle w:val="a9"/>
        <w:numPr>
          <w:ilvl w:val="0"/>
          <w:numId w:val="43"/>
        </w:numPr>
        <w:spacing w:line="400" w:lineRule="exact"/>
        <w:rPr>
          <w:rFonts w:ascii="標楷體" w:eastAsia="標楷體" w:hAnsi="標楷體"/>
          <w:color w:val="000000"/>
        </w:rPr>
      </w:pPr>
      <w:r w:rsidRPr="005C0189">
        <w:rPr>
          <w:rFonts w:ascii="標楷體" w:eastAsia="標楷體" w:hAnsi="標楷體"/>
          <w:color w:val="000000"/>
        </w:rPr>
        <w:t>每日至多處方2粒。</w:t>
      </w:r>
    </w:p>
    <w:p w:rsidR="007155BC" w:rsidRPr="005C0189" w:rsidRDefault="007155BC" w:rsidP="007155BC">
      <w:pPr>
        <w:pStyle w:val="a9"/>
        <w:numPr>
          <w:ilvl w:val="0"/>
          <w:numId w:val="43"/>
        </w:numPr>
        <w:spacing w:line="400" w:lineRule="exact"/>
        <w:rPr>
          <w:rFonts w:ascii="標楷體" w:eastAsia="標楷體" w:hAnsi="標楷體"/>
          <w:color w:val="000000"/>
        </w:rPr>
      </w:pPr>
      <w:r w:rsidRPr="005C0189">
        <w:rPr>
          <w:rFonts w:ascii="標楷體" w:eastAsia="標楷體" w:hAnsi="標楷體"/>
        </w:rPr>
        <w:t>zanubrutinib、i</w:t>
      </w:r>
      <w:r w:rsidRPr="005C0189">
        <w:rPr>
          <w:rFonts w:ascii="標楷體" w:eastAsia="標楷體" w:hAnsi="標楷體"/>
          <w:color w:val="000000"/>
        </w:rPr>
        <w:t>brutinib及acalabrutinib僅能擇一使用，唯有在出現無法忍受其副作用時方可互換。三者使用總療程合併計算，以全部20個月為上限。(112/12/1)</w:t>
      </w:r>
    </w:p>
    <w:p w:rsidR="007155BC" w:rsidRDefault="007155BC" w:rsidP="007155BC">
      <w:pPr>
        <w:spacing w:line="400" w:lineRule="exact"/>
        <w:ind w:left="850" w:hanging="245"/>
        <w:rPr>
          <w:rFonts w:ascii="標楷體" w:eastAsia="標楷體" w:hAnsi="標楷體"/>
          <w:color w:val="000000"/>
        </w:rPr>
      </w:pPr>
      <w:r>
        <w:rPr>
          <w:rFonts w:ascii="標楷體" w:eastAsia="標楷體" w:hAnsi="標楷體"/>
          <w:color w:val="000000"/>
        </w:rPr>
        <w:t>2.單獨使用於慢性淋巴球性白血病(CLL)成年</w:t>
      </w:r>
      <w:r>
        <w:rPr>
          <w:rFonts w:ascii="標楷體" w:eastAsia="標楷體" w:hAnsi="標楷體" w:hint="eastAsia"/>
          <w:color w:val="000000"/>
        </w:rPr>
        <w:t>病人</w:t>
      </w:r>
      <w:r>
        <w:rPr>
          <w:rFonts w:ascii="標楷體" w:eastAsia="標楷體" w:hAnsi="標楷體"/>
          <w:color w:val="000000"/>
        </w:rPr>
        <w:t>。</w:t>
      </w:r>
      <w:r w:rsidRPr="005C0189">
        <w:rPr>
          <w:rFonts w:ascii="標楷體" w:eastAsia="標楷體" w:hAnsi="標楷體" w:hint="eastAsia"/>
          <w:color w:val="000000"/>
        </w:rPr>
        <w:t>(112/7/1、112/12/1、114/10/1)</w:t>
      </w:r>
    </w:p>
    <w:p w:rsidR="007155BC" w:rsidRDefault="007155BC" w:rsidP="007155BC">
      <w:pPr>
        <w:pStyle w:val="a9"/>
        <w:numPr>
          <w:ilvl w:val="0"/>
          <w:numId w:val="44"/>
        </w:numPr>
        <w:spacing w:line="400" w:lineRule="exact"/>
        <w:rPr>
          <w:rFonts w:ascii="標楷體" w:eastAsia="標楷體" w:hAnsi="標楷體"/>
          <w:color w:val="000000"/>
        </w:rPr>
      </w:pPr>
      <w:r w:rsidRPr="005C0189">
        <w:rPr>
          <w:rFonts w:ascii="標楷體" w:eastAsia="標楷體" w:hAnsi="標楷體" w:hint="eastAsia"/>
          <w:color w:val="000000"/>
        </w:rPr>
        <w:t>ECOG 分數須≦2。</w:t>
      </w:r>
      <w:r w:rsidR="00086754" w:rsidRPr="005C0189">
        <w:rPr>
          <w:rFonts w:ascii="標楷體" w:eastAsia="標楷體" w:hAnsi="標楷體" w:hint="eastAsia"/>
          <w:color w:val="000000"/>
        </w:rPr>
        <w:t>(114/10/1)</w:t>
      </w:r>
    </w:p>
    <w:p w:rsidR="007155BC" w:rsidRDefault="007155BC" w:rsidP="007155BC">
      <w:pPr>
        <w:pStyle w:val="a9"/>
        <w:numPr>
          <w:ilvl w:val="0"/>
          <w:numId w:val="44"/>
        </w:numPr>
        <w:spacing w:line="400" w:lineRule="exact"/>
        <w:rPr>
          <w:rFonts w:ascii="標楷體" w:eastAsia="標楷體" w:hAnsi="標楷體"/>
          <w:color w:val="000000"/>
        </w:rPr>
      </w:pPr>
      <w:r w:rsidRPr="005C0189">
        <w:rPr>
          <w:rFonts w:ascii="標楷體" w:eastAsia="標楷體" w:hAnsi="標楷體" w:hint="eastAsia"/>
          <w:color w:val="000000"/>
        </w:rPr>
        <w:t>需符合下列任一情況：</w:t>
      </w:r>
    </w:p>
    <w:p w:rsidR="007155BC" w:rsidRPr="005C0189" w:rsidRDefault="007155BC" w:rsidP="007155BC">
      <w:pPr>
        <w:pStyle w:val="a9"/>
        <w:numPr>
          <w:ilvl w:val="0"/>
          <w:numId w:val="45"/>
        </w:numPr>
        <w:spacing w:line="400" w:lineRule="exact"/>
        <w:rPr>
          <w:rFonts w:ascii="標楷體" w:eastAsia="標楷體" w:hAnsi="標楷體"/>
          <w:color w:val="000000"/>
        </w:rPr>
      </w:pPr>
      <w:r w:rsidRPr="006915F1">
        <w:rPr>
          <w:rFonts w:ascii="標楷體" w:eastAsia="標楷體" w:hAnsi="標楷體" w:cs="BiauKai" w:hint="eastAsia"/>
          <w:kern w:val="2"/>
        </w:rPr>
        <w:t>具有17p缺失</w:t>
      </w:r>
      <w:r>
        <w:rPr>
          <w:rFonts w:ascii="標楷體" w:eastAsia="標楷體" w:hAnsi="標楷體" w:cs="BiauKai" w:hint="eastAsia"/>
          <w:kern w:val="2"/>
        </w:rPr>
        <w:t>。</w:t>
      </w:r>
    </w:p>
    <w:p w:rsidR="007155BC" w:rsidRDefault="007155BC" w:rsidP="007155BC">
      <w:pPr>
        <w:pStyle w:val="a9"/>
        <w:numPr>
          <w:ilvl w:val="0"/>
          <w:numId w:val="45"/>
        </w:numPr>
        <w:spacing w:line="400" w:lineRule="exact"/>
        <w:rPr>
          <w:rFonts w:ascii="標楷體" w:eastAsia="標楷體" w:hAnsi="標楷體"/>
          <w:color w:val="000000"/>
        </w:rPr>
      </w:pPr>
      <w:r w:rsidRPr="005C0189">
        <w:rPr>
          <w:rFonts w:ascii="標楷體" w:eastAsia="標楷體" w:hAnsi="標楷體" w:hint="eastAsia"/>
          <w:color w:val="000000"/>
        </w:rPr>
        <w:t>非IGHV突變且曾接受至少1種包括alkylating agent與anti-CD20(如R-CVP、RCHOP、rituximab加bendamustine等)的治療2個療程以上仍惡化或復發者</w:t>
      </w:r>
      <w:r>
        <w:rPr>
          <w:rFonts w:ascii="標楷體" w:eastAsia="標楷體" w:hAnsi="標楷體" w:hint="eastAsia"/>
          <w:color w:val="000000"/>
        </w:rPr>
        <w:t>。</w:t>
      </w:r>
      <w:r w:rsidR="00086754" w:rsidRPr="005C0189">
        <w:rPr>
          <w:rFonts w:ascii="標楷體" w:eastAsia="標楷體" w:hAnsi="標楷體" w:hint="eastAsia"/>
          <w:color w:val="000000"/>
        </w:rPr>
        <w:t>(114/10/1)</w:t>
      </w:r>
    </w:p>
    <w:p w:rsidR="007155BC" w:rsidRDefault="007155BC" w:rsidP="007155BC">
      <w:pPr>
        <w:pStyle w:val="a9"/>
        <w:numPr>
          <w:ilvl w:val="0"/>
          <w:numId w:val="45"/>
        </w:numPr>
        <w:spacing w:line="400" w:lineRule="exact"/>
        <w:rPr>
          <w:rFonts w:ascii="標楷體" w:eastAsia="標楷體" w:hAnsi="標楷體"/>
          <w:color w:val="000000"/>
        </w:rPr>
      </w:pPr>
      <w:r w:rsidRPr="006915F1">
        <w:rPr>
          <w:rFonts w:ascii="標楷體" w:eastAsia="標楷體" w:hAnsi="標楷體" w:cs="BiauKai" w:hint="eastAsia"/>
          <w:kern w:val="2"/>
        </w:rPr>
        <w:t>CLL病人需先前曾接受至少2線治療(排除僅有口服藥物之療程)，治療中須包括alkylating agent與anti-CD20(如R-CVP、RCHOP、rituximab加bendamustine等)的治療，每線治療至少2個療程以上後，仍惡化或復發者</w:t>
      </w:r>
      <w:r>
        <w:rPr>
          <w:rFonts w:ascii="標楷體" w:eastAsia="標楷體" w:hAnsi="標楷體" w:cs="BiauKai" w:hint="eastAsia"/>
          <w:kern w:val="2"/>
        </w:rPr>
        <w:t>。</w:t>
      </w:r>
      <w:r w:rsidR="00086754" w:rsidRPr="005C0189">
        <w:rPr>
          <w:rFonts w:ascii="標楷體" w:eastAsia="標楷體" w:hAnsi="標楷體" w:hint="eastAsia"/>
          <w:color w:val="000000"/>
        </w:rPr>
        <w:t>(114/10/1)</w:t>
      </w:r>
    </w:p>
    <w:p w:rsidR="007155BC" w:rsidRDefault="007155BC" w:rsidP="007155BC">
      <w:pPr>
        <w:pStyle w:val="a9"/>
        <w:numPr>
          <w:ilvl w:val="0"/>
          <w:numId w:val="44"/>
        </w:numPr>
        <w:spacing w:line="400" w:lineRule="exact"/>
        <w:rPr>
          <w:rFonts w:ascii="標楷體" w:eastAsia="標楷體" w:hAnsi="標楷體"/>
          <w:color w:val="000000"/>
        </w:rPr>
      </w:pPr>
      <w:r w:rsidRPr="005C0189">
        <w:rPr>
          <w:rFonts w:ascii="標楷體" w:eastAsia="標楷體" w:hAnsi="標楷體" w:hint="eastAsia"/>
          <w:color w:val="000000"/>
        </w:rPr>
        <w:t>開始使用前之疾病狀態需出現下列任一情形：</w:t>
      </w:r>
    </w:p>
    <w:p w:rsidR="007155BC" w:rsidRPr="005C0189" w:rsidRDefault="007155BC" w:rsidP="007155BC">
      <w:pPr>
        <w:pStyle w:val="a9"/>
        <w:numPr>
          <w:ilvl w:val="0"/>
          <w:numId w:val="46"/>
        </w:numPr>
        <w:spacing w:line="400" w:lineRule="exact"/>
        <w:rPr>
          <w:rFonts w:ascii="標楷體" w:eastAsia="標楷體" w:hAnsi="標楷體"/>
          <w:color w:val="000000"/>
        </w:rPr>
      </w:pPr>
      <w:r w:rsidRPr="006915F1">
        <w:rPr>
          <w:rFonts w:ascii="標楷體" w:eastAsia="標楷體" w:hAnsi="標楷體" w:cs="BiauKai" w:hint="eastAsia"/>
          <w:kern w:val="2"/>
        </w:rPr>
        <w:t>進行性的血液相惡化至Hb &lt; 10.0 gm/dL或PLT &lt; 100 K/uL，且無其他原因可以解釋</w:t>
      </w:r>
      <w:r>
        <w:rPr>
          <w:rFonts w:ascii="標楷體" w:eastAsia="標楷體" w:hAnsi="標楷體" w:cs="BiauKai" w:hint="eastAsia"/>
          <w:kern w:val="2"/>
        </w:rPr>
        <w:t>。</w:t>
      </w:r>
    </w:p>
    <w:p w:rsidR="007155BC" w:rsidRPr="005C0189" w:rsidRDefault="007155BC" w:rsidP="007155BC">
      <w:pPr>
        <w:pStyle w:val="a9"/>
        <w:numPr>
          <w:ilvl w:val="0"/>
          <w:numId w:val="46"/>
        </w:numPr>
        <w:spacing w:line="400" w:lineRule="exact"/>
        <w:rPr>
          <w:rFonts w:ascii="標楷體" w:eastAsia="標楷體" w:hAnsi="標楷體"/>
          <w:color w:val="000000"/>
        </w:rPr>
      </w:pPr>
      <w:r w:rsidRPr="006915F1">
        <w:rPr>
          <w:rFonts w:ascii="標楷體" w:eastAsia="標楷體" w:hAnsi="標楷體" w:cs="BiauKai" w:hint="eastAsia"/>
          <w:kern w:val="2"/>
        </w:rPr>
        <w:t>脾臟腫大超過左肋骨下緣</w:t>
      </w:r>
      <w:r w:rsidRPr="006915F1">
        <w:rPr>
          <w:rFonts w:ascii="標楷體" w:eastAsia="標楷體" w:hAnsi="標楷體" w:cs="BiauKai"/>
          <w:kern w:val="2"/>
        </w:rPr>
        <w:t>6cm</w:t>
      </w:r>
      <w:r>
        <w:rPr>
          <w:rFonts w:ascii="標楷體" w:eastAsia="標楷體" w:hAnsi="標楷體" w:cs="BiauKai" w:hint="eastAsia"/>
          <w:kern w:val="2"/>
        </w:rPr>
        <w:t>。</w:t>
      </w:r>
    </w:p>
    <w:p w:rsidR="007155BC" w:rsidRDefault="007155BC" w:rsidP="007155BC">
      <w:pPr>
        <w:pStyle w:val="a9"/>
        <w:numPr>
          <w:ilvl w:val="0"/>
          <w:numId w:val="46"/>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淋巴結腫大，最長徑超過</w:t>
      </w:r>
      <w:r w:rsidRPr="006915F1">
        <w:rPr>
          <w:rFonts w:ascii="標楷體" w:eastAsia="標楷體" w:hAnsi="標楷體" w:cs="BiauKai"/>
          <w:kern w:val="2"/>
        </w:rPr>
        <w:t>10cm</w:t>
      </w:r>
      <w:r>
        <w:rPr>
          <w:rFonts w:ascii="標楷體" w:eastAsia="標楷體" w:hAnsi="標楷體" w:cs="BiauKai" w:hint="eastAsia"/>
          <w:kern w:val="2"/>
        </w:rPr>
        <w:t>。</w:t>
      </w:r>
    </w:p>
    <w:p w:rsidR="007155BC" w:rsidRDefault="007155BC" w:rsidP="007155BC">
      <w:pPr>
        <w:pStyle w:val="a9"/>
        <w:numPr>
          <w:ilvl w:val="0"/>
          <w:numId w:val="46"/>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周邊血液淋巴球在2個月內增加50%以上，或倍增時間(doubling time)小於6個月</w:t>
      </w:r>
      <w:r>
        <w:rPr>
          <w:rFonts w:ascii="標楷體" w:eastAsia="標楷體" w:hAnsi="標楷體" w:cs="BiauKai" w:hint="eastAsia"/>
          <w:kern w:val="2"/>
        </w:rPr>
        <w:t>。</w:t>
      </w:r>
    </w:p>
    <w:p w:rsidR="007155BC" w:rsidRDefault="007155BC" w:rsidP="007155BC">
      <w:pPr>
        <w:pStyle w:val="a9"/>
        <w:numPr>
          <w:ilvl w:val="0"/>
          <w:numId w:val="46"/>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出現自體免疫併發症，且經類固醇治療無效。</w:t>
      </w:r>
    </w:p>
    <w:p w:rsidR="007155BC" w:rsidRPr="005C0189" w:rsidRDefault="007155BC" w:rsidP="007155BC">
      <w:pPr>
        <w:pStyle w:val="a9"/>
        <w:numPr>
          <w:ilvl w:val="0"/>
          <w:numId w:val="46"/>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出現具症狀的淋巴結外病灶</w:t>
      </w:r>
      <w:r>
        <w:rPr>
          <w:rFonts w:ascii="標楷體" w:eastAsia="標楷體" w:hAnsi="標楷體" w:cs="BiauKai" w:hint="eastAsia"/>
          <w:kern w:val="2"/>
        </w:rPr>
        <w:t>。</w:t>
      </w:r>
    </w:p>
    <w:p w:rsidR="007155BC" w:rsidRDefault="007155BC" w:rsidP="007155BC">
      <w:pPr>
        <w:pStyle w:val="a9"/>
        <w:numPr>
          <w:ilvl w:val="0"/>
          <w:numId w:val="44"/>
        </w:numPr>
        <w:spacing w:line="400" w:lineRule="exact"/>
        <w:rPr>
          <w:rFonts w:ascii="標楷體" w:eastAsia="標楷體" w:hAnsi="標楷體"/>
          <w:color w:val="000000"/>
        </w:rPr>
      </w:pPr>
      <w:r w:rsidRPr="005C0189">
        <w:rPr>
          <w:rFonts w:ascii="標楷體" w:eastAsia="標楷體" w:hAnsi="標楷體" w:hint="eastAsia"/>
          <w:color w:val="000000"/>
        </w:rPr>
        <w:t>需經事前審查核准後使用，每3個月需再次申請。再次申請時需檢附療效評估資料，若未達iwCLL (International Workshop on CLL)最新定義之partial remission或complete remission，則不予給付。</w:t>
      </w:r>
    </w:p>
    <w:p w:rsidR="007155BC" w:rsidRDefault="007155BC" w:rsidP="007155BC">
      <w:pPr>
        <w:pStyle w:val="a9"/>
        <w:numPr>
          <w:ilvl w:val="0"/>
          <w:numId w:val="44"/>
        </w:numPr>
        <w:spacing w:line="400" w:lineRule="exact"/>
        <w:rPr>
          <w:rFonts w:ascii="標楷體" w:eastAsia="標楷體" w:hAnsi="標楷體"/>
          <w:color w:val="000000"/>
        </w:rPr>
      </w:pPr>
      <w:r w:rsidRPr="005C0189">
        <w:rPr>
          <w:rFonts w:ascii="標楷體" w:eastAsia="標楷體" w:hAnsi="標楷體" w:hint="eastAsia"/>
          <w:color w:val="000000"/>
        </w:rPr>
        <w:t>在具有17缺失病人，acalabrutinib、ibrutinib、venetoclax與zanubrutinib四者僅能擇一使用，唯有在出現無法忍受其副作用時方可互換。四者使用總療</w:t>
      </w:r>
      <w:r w:rsidRPr="005C0189">
        <w:rPr>
          <w:rFonts w:ascii="標楷體" w:eastAsia="標楷體" w:hAnsi="標楷體" w:hint="eastAsia"/>
          <w:color w:val="000000"/>
        </w:rPr>
        <w:lastRenderedPageBreak/>
        <w:t>程合併計算，以全部24個月為上限。</w:t>
      </w:r>
      <w:r w:rsidR="00086754" w:rsidRPr="005C0189">
        <w:rPr>
          <w:rFonts w:ascii="標楷體" w:eastAsia="標楷體" w:hAnsi="標楷體" w:hint="eastAsia"/>
          <w:color w:val="000000"/>
        </w:rPr>
        <w:t>(</w:t>
      </w:r>
      <w:r w:rsidR="00086754">
        <w:rPr>
          <w:rFonts w:ascii="標楷體" w:eastAsia="標楷體" w:hAnsi="標楷體" w:hint="eastAsia"/>
          <w:color w:val="000000"/>
        </w:rPr>
        <w:t>112/7/1、</w:t>
      </w:r>
      <w:r w:rsidR="00086754" w:rsidRPr="005C0189">
        <w:rPr>
          <w:rFonts w:ascii="標楷體" w:eastAsia="標楷體" w:hAnsi="標楷體" w:hint="eastAsia"/>
          <w:color w:val="000000"/>
        </w:rPr>
        <w:t>114/10/1)</w:t>
      </w:r>
    </w:p>
    <w:p w:rsidR="007155BC" w:rsidRDefault="007155BC" w:rsidP="007155BC">
      <w:pPr>
        <w:pStyle w:val="a9"/>
        <w:numPr>
          <w:ilvl w:val="0"/>
          <w:numId w:val="44"/>
        </w:numPr>
        <w:spacing w:line="400" w:lineRule="exact"/>
        <w:rPr>
          <w:rFonts w:ascii="標楷體" w:eastAsia="標楷體" w:hAnsi="標楷體"/>
          <w:color w:val="000000"/>
        </w:rPr>
      </w:pPr>
      <w:r w:rsidRPr="005C0189">
        <w:rPr>
          <w:rFonts w:ascii="標楷體" w:eastAsia="標楷體" w:hAnsi="標楷體" w:hint="eastAsia"/>
          <w:color w:val="000000"/>
        </w:rPr>
        <w:t>在非IGHV突變二線以上病人及CLL三線以上病人，acalabrutinib與zanubrutinib二者僅能擇一使用，唯有在出現無法忍受其副作用時方可互換。二者使用總療程合併計算，以全部24個月為上限。</w:t>
      </w:r>
      <w:r w:rsidR="00086754" w:rsidRPr="005C0189">
        <w:rPr>
          <w:rFonts w:ascii="標楷體" w:eastAsia="標楷體" w:hAnsi="標楷體" w:hint="eastAsia"/>
          <w:color w:val="000000"/>
        </w:rPr>
        <w:t>(114/10/1)</w:t>
      </w:r>
    </w:p>
    <w:p w:rsidR="00B96EA0" w:rsidRPr="00471506" w:rsidRDefault="007155BC" w:rsidP="00471506">
      <w:pPr>
        <w:pStyle w:val="a9"/>
        <w:numPr>
          <w:ilvl w:val="0"/>
          <w:numId w:val="44"/>
        </w:numPr>
        <w:spacing w:line="400" w:lineRule="exact"/>
        <w:rPr>
          <w:rFonts w:ascii="標楷體" w:eastAsia="標楷體" w:hAnsi="標楷體"/>
          <w:color w:val="000000"/>
        </w:rPr>
      </w:pPr>
      <w:r w:rsidRPr="005C0189">
        <w:rPr>
          <w:rFonts w:ascii="標楷體" w:eastAsia="標楷體" w:hAnsi="標楷體" w:hint="eastAsia"/>
          <w:color w:val="000000"/>
        </w:rPr>
        <w:t>每日至多處方</w:t>
      </w:r>
      <w:r>
        <w:rPr>
          <w:rFonts w:ascii="標楷體" w:eastAsia="標楷體" w:hAnsi="標楷體" w:hint="eastAsia"/>
          <w:color w:val="000000"/>
        </w:rPr>
        <w:t>2</w:t>
      </w:r>
      <w:r w:rsidRPr="005C0189">
        <w:rPr>
          <w:rFonts w:ascii="標楷體" w:eastAsia="標楷體" w:hAnsi="標楷體" w:hint="eastAsia"/>
          <w:color w:val="000000"/>
        </w:rPr>
        <w:t>粒。</w:t>
      </w:r>
      <w:bookmarkEnd w:id="38"/>
    </w:p>
    <w:p w:rsidR="00B96EA0" w:rsidRDefault="007D66B8" w:rsidP="005142EB">
      <w:pPr>
        <w:spacing w:line="400" w:lineRule="exact"/>
        <w:ind w:left="610" w:hanging="245"/>
        <w:rPr>
          <w:rFonts w:ascii="標楷體" w:eastAsia="標楷體" w:hAnsi="標楷體"/>
          <w:color w:val="000000"/>
        </w:rPr>
      </w:pPr>
      <w:r>
        <w:rPr>
          <w:rFonts w:ascii="標楷體" w:eastAsia="標楷體" w:hAnsi="標楷體"/>
          <w:color w:val="000000"/>
        </w:rPr>
        <w:t>9.101.Tepotinib (如Tepmetko):(112/7/1、113/6/1)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1.適用於治療轉移性非小細胞肺癌的成人病人，其腫瘤帶有導致間質上皮轉化因子外顯子14 跳讀式突變(MET exon 14 skipping mutation)。</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 xml:space="preserve">2.須經事前審查核准後使用: </w:t>
      </w:r>
    </w:p>
    <w:p w:rsidR="00B96EA0" w:rsidRDefault="007D66B8" w:rsidP="005142EB">
      <w:pPr>
        <w:spacing w:line="400" w:lineRule="exact"/>
        <w:ind w:left="1205" w:hanging="360"/>
        <w:rPr>
          <w:rFonts w:ascii="標楷體" w:eastAsia="標楷體" w:hAnsi="標楷體"/>
          <w:color w:val="000000"/>
        </w:rPr>
      </w:pPr>
      <w:r>
        <w:rPr>
          <w:rFonts w:ascii="標楷體" w:eastAsia="標楷體" w:hAnsi="標楷體"/>
          <w:color w:val="000000"/>
        </w:rPr>
        <w:t>(1)初次申請時需檢具確實患有非小細胞肺癌之病理或細胞檢查報告,以及符合診斷之間質上皮轉化因子外顯子14跳讀式突變(MET exon 14 skipping mutation)檢測報告，且需符合全民健康保險藥品給付規定之通則十二。</w:t>
      </w:r>
    </w:p>
    <w:p w:rsidR="00B96EA0" w:rsidRDefault="007D66B8" w:rsidP="005142EB">
      <w:pPr>
        <w:spacing w:line="400" w:lineRule="exact"/>
        <w:ind w:left="1205" w:hanging="360"/>
        <w:rPr>
          <w:rFonts w:ascii="標楷體" w:eastAsia="標楷體" w:hAnsi="標楷體"/>
          <w:color w:val="000000"/>
        </w:rPr>
      </w:pPr>
      <w:r>
        <w:rPr>
          <w:rFonts w:ascii="標楷體" w:eastAsia="標楷體" w:hAnsi="標楷體"/>
          <w:color w:val="000000"/>
        </w:rPr>
        <w:t>(2)每次申請事前審查之療程以3個月為限，每3個月需再次申請，再次申請時並需附上治療後相關臨床資料，若病情惡化即不得再次申請。</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3.使用本品無效後則不再給付該適應症相關之免疫檢查點PD-1、PD-L1抑制劑。</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4.每日最多處方2粒。</w:t>
      </w:r>
    </w:p>
    <w:p w:rsidR="00B96EA0" w:rsidRDefault="007D66B8" w:rsidP="005142EB">
      <w:pPr>
        <w:spacing w:line="400" w:lineRule="exact"/>
        <w:ind w:left="610" w:hanging="245"/>
        <w:rPr>
          <w:rFonts w:ascii="標楷體" w:eastAsia="標楷體" w:hAnsi="標楷體"/>
          <w:color w:val="000000"/>
        </w:rPr>
      </w:pPr>
      <w:r>
        <w:rPr>
          <w:rFonts w:ascii="標楷體" w:eastAsia="標楷體" w:hAnsi="標楷體"/>
          <w:color w:val="000000"/>
        </w:rPr>
        <w:t>9.102.Dinutuximab beta (如Qarziba)：(112/8/1)</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1.限用於年齡12個月以上的初診斷高危險神經母細胞瘤病人之初次使用GD2免疫治療；且在接受自體幹細胞移植前至少達到部分緩解，在自體幹細胞移植後，可申請以1次治療所需的5個療程為限。</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2.限移植後12個月內開始使用。</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3.自初診斷至使用本品前，出現復發、新轉移或疾病惡化者，不得申請給付。</w:t>
      </w:r>
    </w:p>
    <w:p w:rsidR="00B96EA0" w:rsidRDefault="007D66B8" w:rsidP="005142EB">
      <w:pPr>
        <w:spacing w:line="400" w:lineRule="exact"/>
        <w:ind w:left="850" w:hanging="245"/>
        <w:rPr>
          <w:rFonts w:ascii="標楷體" w:eastAsia="標楷體" w:hAnsi="標楷體"/>
          <w:color w:val="000000"/>
        </w:rPr>
      </w:pPr>
      <w:r>
        <w:rPr>
          <w:rFonts w:ascii="標楷體" w:eastAsia="標楷體" w:hAnsi="標楷體"/>
          <w:color w:val="000000"/>
        </w:rPr>
        <w:t>4.經事前審查核准後使用。</w:t>
      </w:r>
    </w:p>
    <w:p w:rsidR="006E56D0" w:rsidRPr="006E56D0" w:rsidRDefault="006E56D0" w:rsidP="006E56D0">
      <w:pPr>
        <w:spacing w:line="400" w:lineRule="exact"/>
        <w:ind w:left="992" w:hanging="706"/>
        <w:rPr>
          <w:rFonts w:ascii="標楷體" w:eastAsia="標楷體" w:hAnsi="標楷體"/>
          <w:color w:val="000000"/>
        </w:rPr>
      </w:pPr>
      <w:bookmarkStart w:id="39" w:name="_Hlk204092642"/>
      <w:r w:rsidRPr="006E56D0">
        <w:rPr>
          <w:rFonts w:ascii="標楷體" w:eastAsia="標楷體" w:hAnsi="標楷體"/>
          <w:color w:val="000000"/>
        </w:rPr>
        <w:t>9.103.Tisagenlecleucel(如Kymriah)：(112/11/1、113/2/1</w:t>
      </w:r>
      <w:r w:rsidRPr="006E56D0">
        <w:rPr>
          <w:rFonts w:ascii="標楷體" w:eastAsia="標楷體" w:hAnsi="標楷體" w:hint="eastAsia"/>
          <w:color w:val="000000"/>
        </w:rPr>
        <w:t>、114/8/1</w:t>
      </w:r>
      <w:r w:rsidRPr="006E56D0">
        <w:rPr>
          <w:rFonts w:ascii="標楷體" w:eastAsia="標楷體" w:hAnsi="標楷體"/>
          <w:color w:val="000000"/>
        </w:rPr>
        <w:t>)</w:t>
      </w:r>
    </w:p>
    <w:p w:rsidR="006E56D0" w:rsidRPr="006E56D0" w:rsidRDefault="006E56D0" w:rsidP="006E56D0">
      <w:pPr>
        <w:spacing w:line="400" w:lineRule="exact"/>
        <w:ind w:left="1276" w:hanging="706"/>
        <w:rPr>
          <w:rFonts w:ascii="標楷體" w:eastAsia="標楷體" w:hAnsi="標楷體"/>
          <w:color w:val="000000"/>
        </w:rPr>
      </w:pPr>
      <w:r w:rsidRPr="006E56D0">
        <w:rPr>
          <w:rFonts w:ascii="標楷體" w:eastAsia="標楷體" w:hAnsi="標楷體"/>
          <w:color w:val="000000"/>
        </w:rPr>
        <w:t xml:space="preserve">  1.治療患有難治型、移植後復發、第二次或二次以上復發之B細胞急性淋巴性白血病（ALL），且需符合以下條件:</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(1)年齡25歲以下。</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(2)</w:t>
      </w:r>
      <w:r w:rsidRPr="006E56D0">
        <w:rPr>
          <w:rFonts w:ascii="標楷體" w:eastAsia="標楷體" w:hAnsi="標楷體" w:hint="eastAsia"/>
          <w:color w:val="000000"/>
        </w:rPr>
        <w:t>為經過二線標準治療(包括TPOG protocol、GRAALL、Hyper-CVAD等或是造血幹細胞移植後)之復發型B細胞急性淋巴性白血病，或是需經過2位具有血液及造血幹細胞移植訓練之專科醫師確認無法進行造血幹細胞移植之難治型B細胞急性淋巴性白血病。(112/11/1、114/8/1)</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hint="eastAsia"/>
          <w:color w:val="000000"/>
        </w:rPr>
        <w:t>(3)若病人已接受過異體造血幹細胞移植後復發，則不論病人疾病狀態處於完全緩解、部分緩解或疾病惡化均可接受本藥品治療。(114/8/1)</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(4)病人預期壽命至少3個月以上，且完全符合以下條件:</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hint="eastAsia"/>
          <w:color w:val="000000"/>
        </w:rPr>
        <w:t>Ⅰ.</w:t>
      </w:r>
      <w:r w:rsidRPr="006E56D0">
        <w:rPr>
          <w:rFonts w:ascii="標楷體" w:eastAsia="標楷體" w:hAnsi="標楷體"/>
          <w:color w:val="000000"/>
        </w:rPr>
        <w:t>ECOG &lt; 2 (需有3次以上之醫療紀錄)。</w:t>
      </w:r>
    </w:p>
    <w:p w:rsidR="006E56D0" w:rsidRPr="006E56D0" w:rsidRDefault="006E56D0" w:rsidP="006E56D0">
      <w:pPr>
        <w:spacing w:line="400" w:lineRule="exact"/>
        <w:ind w:left="1418" w:hanging="341"/>
      </w:pPr>
      <w:r w:rsidRPr="006E56D0">
        <w:rPr>
          <w:rFonts w:ascii="標楷體" w:eastAsia="標楷體" w:hAnsi="標楷體" w:hint="eastAsia"/>
          <w:color w:val="000000"/>
        </w:rPr>
        <w:t>Ⅱ.</w:t>
      </w:r>
      <w:r w:rsidRPr="006E56D0">
        <w:rPr>
          <w:rFonts w:ascii="標楷體" w:eastAsia="標楷體" w:hAnsi="標楷體"/>
          <w:color w:val="000000"/>
        </w:rPr>
        <w:t xml:space="preserve">腎功能:腎絲球過濾速率Estimated Glomerular Filtration Rate (eGFR) </w:t>
      </w:r>
      <w:r w:rsidRPr="006E56D0">
        <w:rPr>
          <w:rFonts w:ascii="Times New Roman" w:eastAsia="標楷體" w:hAnsi="Times New Roman"/>
          <w:color w:val="000000"/>
        </w:rPr>
        <w:t>≥</w:t>
      </w:r>
      <w:r w:rsidRPr="006E56D0">
        <w:rPr>
          <w:rFonts w:ascii="標楷體" w:eastAsia="標楷體" w:hAnsi="標楷體"/>
          <w:color w:val="000000"/>
        </w:rPr>
        <w:t xml:space="preserve"> </w:t>
      </w:r>
      <w:r w:rsidRPr="006E56D0">
        <w:rPr>
          <w:rFonts w:ascii="標楷體" w:eastAsia="標楷體" w:hAnsi="標楷體"/>
          <w:color w:val="000000"/>
        </w:rPr>
        <w:lastRenderedPageBreak/>
        <w:t xml:space="preserve">60 mL/min/1.73 m2或肌酸酐creatinine </w:t>
      </w:r>
      <w:r w:rsidRPr="006E56D0">
        <w:rPr>
          <w:rFonts w:ascii="Times New Roman" w:eastAsia="標楷體" w:hAnsi="Times New Roman"/>
          <w:color w:val="000000"/>
        </w:rPr>
        <w:t>≤</w:t>
      </w:r>
      <w:r w:rsidRPr="006E56D0">
        <w:rPr>
          <w:rFonts w:ascii="標楷體" w:eastAsia="標楷體" w:hAnsi="標楷體"/>
          <w:color w:val="000000"/>
        </w:rPr>
        <w:t>1.5 x ULN。</w:t>
      </w:r>
    </w:p>
    <w:p w:rsidR="006E56D0" w:rsidRPr="006E56D0" w:rsidRDefault="006E56D0" w:rsidP="006E56D0">
      <w:pPr>
        <w:spacing w:line="400" w:lineRule="exact"/>
        <w:ind w:left="1441" w:hanging="420"/>
      </w:pPr>
      <w:r w:rsidRPr="006E56D0">
        <w:rPr>
          <w:rFonts w:ascii="標楷體" w:eastAsia="標楷體" w:hAnsi="標楷體" w:hint="eastAsia"/>
          <w:color w:val="000000"/>
        </w:rPr>
        <w:t>Ⅲ</w:t>
      </w:r>
      <w:r w:rsidRPr="006E56D0">
        <w:rPr>
          <w:rFonts w:ascii="標楷體" w:eastAsia="標楷體" w:hAnsi="標楷體"/>
          <w:color w:val="000000"/>
        </w:rPr>
        <w:t xml:space="preserve">.肝功能: ALT </w:t>
      </w:r>
      <w:r w:rsidRPr="006E56D0">
        <w:rPr>
          <w:rFonts w:ascii="Times New Roman" w:eastAsia="標楷體" w:hAnsi="Times New Roman"/>
          <w:color w:val="000000"/>
        </w:rPr>
        <w:t>≤</w:t>
      </w:r>
      <w:r w:rsidRPr="006E56D0">
        <w:rPr>
          <w:rFonts w:ascii="標楷體" w:eastAsia="標楷體" w:hAnsi="標楷體"/>
          <w:color w:val="000000"/>
        </w:rPr>
        <w:t xml:space="preserve"> 5 x ULN且bilirubin &lt;2.5mg；Gilbert-Meulengracht syndrome患者須符合total bilirubin is </w:t>
      </w:r>
      <w:r w:rsidRPr="006E56D0">
        <w:rPr>
          <w:rFonts w:ascii="Times New Roman" w:eastAsia="標楷體" w:hAnsi="Times New Roman"/>
          <w:color w:val="000000"/>
        </w:rPr>
        <w:t>≤</w:t>
      </w:r>
      <w:r w:rsidRPr="006E56D0">
        <w:rPr>
          <w:rFonts w:ascii="標楷體" w:eastAsia="標楷體" w:hAnsi="標楷體"/>
          <w:color w:val="000000"/>
        </w:rPr>
        <w:t xml:space="preserve"> 3.0 x ULN 且 direct bilirubin </w:t>
      </w:r>
      <w:r w:rsidRPr="006E56D0">
        <w:rPr>
          <w:rFonts w:ascii="Times New Roman" w:eastAsia="標楷體" w:hAnsi="Times New Roman"/>
          <w:color w:val="000000"/>
        </w:rPr>
        <w:t>≤</w:t>
      </w:r>
      <w:r w:rsidRPr="006E56D0">
        <w:rPr>
          <w:rFonts w:ascii="標楷體" w:eastAsia="標楷體" w:hAnsi="標楷體"/>
          <w:color w:val="000000"/>
        </w:rPr>
        <w:t xml:space="preserve"> 1.5 x ULN。</w:t>
      </w:r>
    </w:p>
    <w:p w:rsidR="006E56D0" w:rsidRPr="006E56D0" w:rsidRDefault="006E56D0" w:rsidP="006E56D0">
      <w:pPr>
        <w:spacing w:line="400" w:lineRule="exact"/>
        <w:ind w:left="1441" w:hanging="420"/>
        <w:rPr>
          <w:rFonts w:ascii="標楷體" w:eastAsia="標楷體" w:hAnsi="標楷體"/>
          <w:color w:val="000000"/>
        </w:rPr>
      </w:pPr>
      <w:r w:rsidRPr="006E56D0">
        <w:rPr>
          <w:rFonts w:ascii="標楷體" w:eastAsia="標楷體" w:hAnsi="標楷體" w:hint="eastAsia"/>
          <w:color w:val="000000"/>
        </w:rPr>
        <w:t>Ⅳ.</w:t>
      </w:r>
      <w:r w:rsidRPr="006E56D0">
        <w:rPr>
          <w:rFonts w:ascii="標楷體" w:eastAsia="標楷體" w:hAnsi="標楷體"/>
          <w:color w:val="000000"/>
        </w:rPr>
        <w:t>心臟功能: 左心室射出率 &gt; 50%，沒有心包膜積液，且過去一年無任何重大心臟疾病。</w:t>
      </w:r>
    </w:p>
    <w:p w:rsidR="006E56D0" w:rsidRPr="006E56D0" w:rsidRDefault="006E56D0" w:rsidP="006E56D0">
      <w:pPr>
        <w:spacing w:line="400" w:lineRule="exact"/>
        <w:ind w:left="1441" w:hanging="420"/>
        <w:rPr>
          <w:rFonts w:ascii="標楷體" w:eastAsia="標楷體" w:hAnsi="標楷體"/>
          <w:color w:val="000000"/>
        </w:rPr>
      </w:pPr>
      <w:r w:rsidRPr="006E56D0">
        <w:rPr>
          <w:rFonts w:ascii="標楷體" w:eastAsia="標楷體" w:hAnsi="標楷體" w:hint="eastAsia"/>
          <w:color w:val="000000"/>
        </w:rPr>
        <w:t>Ⅴ.</w:t>
      </w:r>
      <w:r w:rsidRPr="006E56D0">
        <w:rPr>
          <w:rFonts w:ascii="標楷體" w:eastAsia="標楷體" w:hAnsi="標楷體"/>
          <w:color w:val="000000"/>
        </w:rPr>
        <w:t>肺功能:血氧 &gt; 92% on room air (需有兩次以上的醫療紀錄)。</w:t>
      </w:r>
    </w:p>
    <w:p w:rsidR="006E56D0" w:rsidRPr="006E56D0" w:rsidRDefault="006E56D0" w:rsidP="006E56D0">
      <w:pPr>
        <w:spacing w:line="400" w:lineRule="exact"/>
        <w:ind w:left="1276" w:hanging="706"/>
        <w:rPr>
          <w:rFonts w:ascii="標楷體" w:eastAsia="標楷體" w:hAnsi="標楷體"/>
          <w:color w:val="000000"/>
        </w:rPr>
      </w:pPr>
      <w:r w:rsidRPr="006E56D0">
        <w:rPr>
          <w:rFonts w:ascii="標楷體" w:eastAsia="標楷體" w:hAnsi="標楷體"/>
          <w:color w:val="000000"/>
        </w:rPr>
        <w:t xml:space="preserve">  2.</w:t>
      </w:r>
      <w:r w:rsidRPr="006E56D0">
        <w:rPr>
          <w:rFonts w:ascii="標楷體" w:eastAsia="標楷體" w:hAnsi="標楷體" w:hint="eastAsia"/>
          <w:color w:val="000000"/>
        </w:rPr>
        <w:t>治療經二線或二線以上全身治療後之復發性或難治性瀰漫性大B細胞淋巴瘤（DLBCL）的成人病人。且需符合以下條件:(112/11/1、114/8/1)</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(1)</w:t>
      </w:r>
      <w:r w:rsidRPr="006E56D0">
        <w:rPr>
          <w:rFonts w:ascii="標楷體" w:eastAsia="標楷體" w:hAnsi="標楷體" w:hint="eastAsia"/>
          <w:color w:val="000000"/>
        </w:rPr>
        <w:t>經自體造血幹細胞移植後疾病復發或惡化（不論其後續治療處於完全緩解、部分緩解或疾病惡化）。</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hint="eastAsia"/>
          <w:color w:val="000000"/>
        </w:rPr>
        <w:t>(2)或需經過具有骨髓移植訓練的骨髓移植專科醫師確認無法進行造血幹細胞移植者，無法進行造血幹細胞移植之定義，符合以下五個條件之一：(112/11/1、114/8/1)</w:t>
      </w:r>
    </w:p>
    <w:p w:rsidR="006E56D0" w:rsidRPr="006E56D0" w:rsidRDefault="006E56D0" w:rsidP="00997F73">
      <w:pPr>
        <w:spacing w:line="400" w:lineRule="exact"/>
        <w:ind w:left="1441" w:hanging="23"/>
        <w:rPr>
          <w:rFonts w:ascii="標楷體" w:eastAsia="標楷體" w:hAnsi="標楷體"/>
          <w:color w:val="000000"/>
        </w:rPr>
      </w:pPr>
      <w:r w:rsidRPr="006E56D0">
        <w:rPr>
          <w:rFonts w:ascii="標楷體" w:eastAsia="標楷體" w:hAnsi="標楷體" w:hint="eastAsia"/>
          <w:color w:val="000000"/>
        </w:rPr>
        <w:t>Ⅰ.年齡75歲以上。</w:t>
      </w:r>
    </w:p>
    <w:p w:rsidR="006E56D0" w:rsidRPr="006E56D0" w:rsidRDefault="006E56D0" w:rsidP="00997F73">
      <w:pPr>
        <w:spacing w:line="400" w:lineRule="exact"/>
        <w:ind w:left="1441" w:hanging="23"/>
        <w:rPr>
          <w:rFonts w:ascii="標楷體" w:eastAsia="標楷體" w:hAnsi="標楷體"/>
          <w:color w:val="000000"/>
        </w:rPr>
      </w:pPr>
      <w:r w:rsidRPr="006E56D0">
        <w:rPr>
          <w:rFonts w:ascii="標楷體" w:eastAsia="標楷體" w:hAnsi="標楷體" w:hint="eastAsia"/>
          <w:color w:val="000000"/>
        </w:rPr>
        <w:t>Ⅱ.年齡70歲以上且HCT-CI分數在1分或以上。</w:t>
      </w:r>
    </w:p>
    <w:p w:rsidR="006E56D0" w:rsidRPr="006E56D0" w:rsidRDefault="006E56D0" w:rsidP="00997F73">
      <w:pPr>
        <w:spacing w:line="400" w:lineRule="exact"/>
        <w:ind w:left="1441" w:hanging="23"/>
        <w:rPr>
          <w:rFonts w:ascii="標楷體" w:eastAsia="標楷體" w:hAnsi="標楷體"/>
          <w:color w:val="000000"/>
        </w:rPr>
      </w:pPr>
      <w:r w:rsidRPr="006E56D0">
        <w:rPr>
          <w:rFonts w:ascii="標楷體" w:eastAsia="標楷體" w:hAnsi="標楷體" w:hint="eastAsia"/>
          <w:color w:val="000000"/>
        </w:rPr>
        <w:t>Ⅲ.年齡65歲以上且HCT-CI分數在2分或以上。</w:t>
      </w:r>
    </w:p>
    <w:p w:rsidR="006E56D0" w:rsidRPr="006E56D0" w:rsidRDefault="006E56D0" w:rsidP="00997F73">
      <w:pPr>
        <w:spacing w:line="400" w:lineRule="exact"/>
        <w:ind w:left="1441" w:hanging="23"/>
        <w:rPr>
          <w:rFonts w:ascii="標楷體" w:eastAsia="標楷體" w:hAnsi="標楷體"/>
          <w:color w:val="000000"/>
        </w:rPr>
      </w:pPr>
      <w:r w:rsidRPr="006E56D0">
        <w:rPr>
          <w:rFonts w:ascii="標楷體" w:eastAsia="標楷體" w:hAnsi="標楷體" w:hint="eastAsia"/>
          <w:color w:val="000000"/>
        </w:rPr>
        <w:t>Ⅳ.HCT-CI分數在4分或以上。</w:t>
      </w:r>
    </w:p>
    <w:p w:rsidR="006E56D0" w:rsidRPr="006E56D0" w:rsidRDefault="006E56D0" w:rsidP="00997F73">
      <w:pPr>
        <w:spacing w:line="400" w:lineRule="exact"/>
        <w:ind w:left="1441" w:hanging="23"/>
        <w:rPr>
          <w:rFonts w:ascii="標楷體" w:eastAsia="標楷體" w:hAnsi="標楷體"/>
          <w:color w:val="000000"/>
        </w:rPr>
      </w:pPr>
      <w:r w:rsidRPr="006E56D0">
        <w:rPr>
          <w:rFonts w:ascii="標楷體" w:eastAsia="標楷體" w:hAnsi="標楷體" w:hint="eastAsia"/>
          <w:color w:val="000000"/>
        </w:rPr>
        <w:t>Ⅴ.經收集自體造血幹細胞2次後仍無法收集超過2*106 CD34+細胞/公斤。</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(3)病人預期壽命至少3個月以上，且符合以下條件:</w:t>
      </w:r>
    </w:p>
    <w:p w:rsidR="006E56D0" w:rsidRPr="006E56D0" w:rsidRDefault="006E56D0" w:rsidP="006E56D0">
      <w:pPr>
        <w:spacing w:line="400" w:lineRule="exact"/>
        <w:ind w:left="1843" w:hanging="422"/>
        <w:rPr>
          <w:rFonts w:ascii="標楷體" w:eastAsia="標楷體" w:hAnsi="標楷體"/>
          <w:color w:val="000000"/>
        </w:rPr>
      </w:pPr>
      <w:r w:rsidRPr="006E56D0">
        <w:rPr>
          <w:rFonts w:ascii="標楷體" w:eastAsia="標楷體" w:hAnsi="標楷體" w:hint="eastAsia"/>
          <w:color w:val="000000"/>
        </w:rPr>
        <w:t>Ⅰ.</w:t>
      </w:r>
      <w:r w:rsidRPr="006E56D0">
        <w:rPr>
          <w:rFonts w:ascii="標楷體" w:eastAsia="標楷體" w:hAnsi="標楷體"/>
          <w:color w:val="000000"/>
        </w:rPr>
        <w:tab/>
        <w:t>ECOG&lt;2 (需有3次以上之醫療紀錄)。</w:t>
      </w:r>
    </w:p>
    <w:p w:rsidR="006E56D0" w:rsidRPr="006E56D0" w:rsidRDefault="006E56D0" w:rsidP="006E56D0">
      <w:pPr>
        <w:spacing w:line="400" w:lineRule="exact"/>
        <w:ind w:left="1843" w:hanging="422"/>
      </w:pPr>
      <w:r w:rsidRPr="006E56D0">
        <w:rPr>
          <w:rFonts w:ascii="標楷體" w:eastAsia="標楷體" w:hAnsi="標楷體" w:hint="eastAsia"/>
          <w:color w:val="000000"/>
        </w:rPr>
        <w:t>Ⅱ</w:t>
      </w:r>
      <w:r w:rsidRPr="006E56D0">
        <w:rPr>
          <w:rFonts w:ascii="標楷體" w:eastAsia="標楷體" w:hAnsi="標楷體"/>
          <w:color w:val="000000"/>
        </w:rPr>
        <w:tab/>
        <w:t xml:space="preserve">Extranodal site </w:t>
      </w:r>
      <w:r w:rsidRPr="006E56D0">
        <w:rPr>
          <w:rFonts w:ascii="Times New Roman" w:eastAsia="標楷體" w:hAnsi="Times New Roman"/>
          <w:color w:val="000000"/>
        </w:rPr>
        <w:t>≤</w:t>
      </w:r>
      <w:r w:rsidRPr="006E56D0">
        <w:rPr>
          <w:rFonts w:ascii="標楷體" w:eastAsia="標楷體" w:hAnsi="標楷體"/>
          <w:color w:val="000000"/>
        </w:rPr>
        <w:t xml:space="preserve"> 3 (需有 PET或 CT 的影像報告)。</w:t>
      </w:r>
    </w:p>
    <w:p w:rsidR="006E56D0" w:rsidRPr="006E56D0" w:rsidRDefault="006E56D0" w:rsidP="006E56D0">
      <w:pPr>
        <w:spacing w:line="400" w:lineRule="exact"/>
        <w:ind w:left="1843" w:hanging="422"/>
        <w:rPr>
          <w:rFonts w:ascii="標楷體" w:eastAsia="標楷體" w:hAnsi="標楷體"/>
          <w:color w:val="000000"/>
        </w:rPr>
      </w:pPr>
      <w:r w:rsidRPr="006E56D0">
        <w:rPr>
          <w:rFonts w:ascii="標楷體" w:eastAsia="標楷體" w:hAnsi="標楷體" w:hint="eastAsia"/>
          <w:color w:val="000000"/>
        </w:rPr>
        <w:t>Ⅲ.</w:t>
      </w:r>
      <w:r w:rsidRPr="006E56D0">
        <w:rPr>
          <w:rFonts w:ascii="標楷體" w:eastAsia="標楷體" w:hAnsi="標楷體"/>
          <w:color w:val="000000"/>
        </w:rPr>
        <w:tab/>
        <w:t xml:space="preserve">腎功能:腎絲球過濾速率Estimated Glomerular Filtration Rate (eGFR) </w:t>
      </w:r>
      <w:r w:rsidRPr="006E56D0">
        <w:rPr>
          <w:rFonts w:ascii="Times New Roman" w:eastAsia="標楷體" w:hAnsi="Times New Roman"/>
          <w:color w:val="000000"/>
        </w:rPr>
        <w:t>≥</w:t>
      </w:r>
      <w:r w:rsidRPr="006E56D0">
        <w:rPr>
          <w:rFonts w:ascii="標楷體" w:eastAsia="標楷體" w:hAnsi="標楷體"/>
          <w:color w:val="000000"/>
        </w:rPr>
        <w:t xml:space="preserve"> 60 mL/min/1.73 m2或肌酸酐creatinine </w:t>
      </w:r>
      <w:r w:rsidRPr="006E56D0">
        <w:rPr>
          <w:rFonts w:ascii="Times New Roman" w:eastAsia="標楷體" w:hAnsi="Times New Roman"/>
          <w:color w:val="000000"/>
        </w:rPr>
        <w:t>≤</w:t>
      </w:r>
      <w:r w:rsidRPr="006E56D0">
        <w:rPr>
          <w:rFonts w:ascii="標楷體" w:eastAsia="標楷體" w:hAnsi="標楷體"/>
          <w:color w:val="000000"/>
        </w:rPr>
        <w:t>1.5 x ULN。</w:t>
      </w:r>
    </w:p>
    <w:p w:rsidR="006E56D0" w:rsidRPr="006E56D0" w:rsidRDefault="006E56D0" w:rsidP="006E56D0">
      <w:pPr>
        <w:spacing w:line="400" w:lineRule="exact"/>
        <w:ind w:left="1843" w:hanging="422"/>
        <w:rPr>
          <w:rFonts w:ascii="標楷體" w:eastAsia="標楷體" w:hAnsi="標楷體"/>
          <w:color w:val="000000"/>
        </w:rPr>
      </w:pPr>
      <w:r w:rsidRPr="006E56D0">
        <w:rPr>
          <w:rFonts w:ascii="標楷體" w:eastAsia="標楷體" w:hAnsi="標楷體" w:hint="eastAsia"/>
          <w:color w:val="000000"/>
        </w:rPr>
        <w:t>Ⅳ</w:t>
      </w:r>
      <w:r w:rsidRPr="006E56D0">
        <w:rPr>
          <w:rFonts w:ascii="標楷體" w:eastAsia="標楷體" w:hAnsi="標楷體"/>
          <w:color w:val="000000"/>
        </w:rPr>
        <w:t>.</w:t>
      </w:r>
      <w:r w:rsidRPr="006E56D0">
        <w:rPr>
          <w:rFonts w:ascii="標楷體" w:eastAsia="標楷體" w:hAnsi="標楷體"/>
          <w:color w:val="000000"/>
        </w:rPr>
        <w:tab/>
        <w:t xml:space="preserve">肝功能: ALT </w:t>
      </w:r>
      <w:r w:rsidRPr="006E56D0">
        <w:rPr>
          <w:rFonts w:ascii="Times New Roman" w:eastAsia="標楷體" w:hAnsi="Times New Roman"/>
          <w:color w:val="000000"/>
        </w:rPr>
        <w:t>≤</w:t>
      </w:r>
      <w:r w:rsidRPr="006E56D0">
        <w:rPr>
          <w:rFonts w:ascii="標楷體" w:eastAsia="標楷體" w:hAnsi="標楷體"/>
          <w:color w:val="000000"/>
        </w:rPr>
        <w:t xml:space="preserve"> 5 x ULN且bilirubin &lt;2.5mg；Gilbert-Meulengracht syndrome患者須符合total bilirubin is </w:t>
      </w:r>
      <w:r w:rsidRPr="006E56D0">
        <w:rPr>
          <w:rFonts w:ascii="Times New Roman" w:eastAsia="標楷體" w:hAnsi="Times New Roman"/>
          <w:color w:val="000000"/>
        </w:rPr>
        <w:t>≤</w:t>
      </w:r>
      <w:r w:rsidRPr="006E56D0">
        <w:rPr>
          <w:rFonts w:ascii="標楷體" w:eastAsia="標楷體" w:hAnsi="標楷體"/>
          <w:color w:val="000000"/>
        </w:rPr>
        <w:t xml:space="preserve"> 3.0 x ULN 且 direct bilirubin </w:t>
      </w:r>
      <w:r w:rsidRPr="006E56D0">
        <w:rPr>
          <w:rFonts w:ascii="Times New Roman" w:eastAsia="標楷體" w:hAnsi="Times New Roman"/>
          <w:color w:val="000000"/>
        </w:rPr>
        <w:t>≤</w:t>
      </w:r>
      <w:r w:rsidRPr="006E56D0">
        <w:rPr>
          <w:rFonts w:ascii="標楷體" w:eastAsia="標楷體" w:hAnsi="標楷體"/>
          <w:color w:val="000000"/>
        </w:rPr>
        <w:t xml:space="preserve"> 1.5 x ULN。</w:t>
      </w:r>
    </w:p>
    <w:p w:rsidR="006E56D0" w:rsidRPr="006E56D0" w:rsidRDefault="006E56D0" w:rsidP="006E56D0">
      <w:pPr>
        <w:spacing w:line="400" w:lineRule="exact"/>
        <w:ind w:left="1843" w:hanging="422"/>
        <w:rPr>
          <w:rFonts w:ascii="標楷體" w:eastAsia="標楷體" w:hAnsi="標楷體"/>
          <w:color w:val="000000"/>
        </w:rPr>
      </w:pPr>
      <w:r w:rsidRPr="006E56D0">
        <w:rPr>
          <w:rFonts w:ascii="標楷體" w:eastAsia="標楷體" w:hAnsi="標楷體" w:hint="eastAsia"/>
          <w:color w:val="000000"/>
        </w:rPr>
        <w:t>Ⅴ.</w:t>
      </w:r>
      <w:r w:rsidRPr="006E56D0">
        <w:rPr>
          <w:rFonts w:ascii="標楷體" w:eastAsia="標楷體" w:hAnsi="標楷體"/>
          <w:color w:val="000000"/>
        </w:rPr>
        <w:tab/>
        <w:t>心臟功能: 左心室射出率 &gt; 50%且過去一年無任何重大心臟疾病(包含但不限於不穩定心絞痛、心肌梗塞、冠狀動脈繞道手術、中風) 。</w:t>
      </w:r>
    </w:p>
    <w:p w:rsidR="006E56D0" w:rsidRPr="006E56D0" w:rsidRDefault="006E56D0" w:rsidP="006E56D0">
      <w:pPr>
        <w:spacing w:line="400" w:lineRule="exact"/>
        <w:ind w:left="1843" w:hanging="422"/>
        <w:rPr>
          <w:rFonts w:ascii="標楷體" w:eastAsia="標楷體" w:hAnsi="標楷體"/>
          <w:color w:val="000000"/>
        </w:rPr>
      </w:pPr>
      <w:r w:rsidRPr="006E56D0">
        <w:rPr>
          <w:rFonts w:ascii="標楷體" w:eastAsia="標楷體" w:hAnsi="標楷體" w:hint="eastAsia"/>
          <w:color w:val="000000"/>
        </w:rPr>
        <w:t>Ⅵ</w:t>
      </w:r>
      <w:r w:rsidRPr="006E56D0">
        <w:rPr>
          <w:rFonts w:ascii="標楷體" w:eastAsia="標楷體" w:hAnsi="標楷體"/>
          <w:color w:val="000000"/>
        </w:rPr>
        <w:t>.</w:t>
      </w:r>
      <w:r w:rsidRPr="006E56D0">
        <w:rPr>
          <w:rFonts w:ascii="標楷體" w:eastAsia="標楷體" w:hAnsi="標楷體"/>
          <w:color w:val="000000"/>
        </w:rPr>
        <w:tab/>
        <w:t>肺功能:血氧 &gt; 92% on room air (需有兩次以上的醫療紀錄)。</w:t>
      </w:r>
    </w:p>
    <w:p w:rsidR="006E56D0" w:rsidRPr="006E56D0" w:rsidRDefault="006E56D0" w:rsidP="006E56D0">
      <w:pPr>
        <w:spacing w:line="400" w:lineRule="exact"/>
        <w:ind w:left="1843" w:hanging="422"/>
        <w:rPr>
          <w:rFonts w:ascii="標楷體" w:eastAsia="標楷體" w:hAnsi="標楷體"/>
          <w:color w:val="000000"/>
        </w:rPr>
      </w:pPr>
      <w:r w:rsidRPr="006E56D0">
        <w:rPr>
          <w:rFonts w:ascii="標楷體" w:eastAsia="標楷體" w:hAnsi="標楷體" w:hint="eastAsia"/>
          <w:color w:val="000000"/>
        </w:rPr>
        <w:t>Ⅶ</w:t>
      </w:r>
      <w:r w:rsidRPr="006E56D0">
        <w:rPr>
          <w:rFonts w:ascii="標楷體" w:eastAsia="標楷體" w:hAnsi="標楷體"/>
          <w:color w:val="000000"/>
        </w:rPr>
        <w:t>.</w:t>
      </w:r>
      <w:r w:rsidRPr="006E56D0">
        <w:rPr>
          <w:rFonts w:ascii="標楷體" w:eastAsia="標楷體" w:hAnsi="標楷體"/>
          <w:color w:val="000000"/>
        </w:rPr>
        <w:tab/>
        <w:t>淋巴球收集時，患者須符合全血細胞計數標準: ANC≧1000/uL、ALC≧100/uL、Hb≧8.0 g/dL; Plt≧50000/uL。</w:t>
      </w:r>
    </w:p>
    <w:p w:rsidR="006E56D0" w:rsidRPr="006E56D0" w:rsidRDefault="006E56D0" w:rsidP="006E56D0">
      <w:pPr>
        <w:spacing w:line="400" w:lineRule="exact"/>
        <w:ind w:left="1843" w:hanging="422"/>
        <w:rPr>
          <w:rFonts w:ascii="標楷體" w:eastAsia="標楷體" w:hAnsi="標楷體"/>
          <w:color w:val="000000"/>
        </w:rPr>
      </w:pPr>
      <w:r w:rsidRPr="006E56D0">
        <w:rPr>
          <w:rFonts w:ascii="標楷體" w:eastAsia="標楷體" w:hAnsi="標楷體" w:hint="eastAsia"/>
          <w:color w:val="000000"/>
        </w:rPr>
        <w:t>Ⅷ</w:t>
      </w:r>
      <w:r w:rsidRPr="006E56D0">
        <w:rPr>
          <w:rFonts w:ascii="標楷體" w:eastAsia="標楷體" w:hAnsi="標楷體"/>
          <w:color w:val="000000"/>
        </w:rPr>
        <w:t>.於治療前兩年任何無自體免疫疾病。</w:t>
      </w:r>
    </w:p>
    <w:p w:rsidR="006E56D0" w:rsidRPr="006E56D0" w:rsidRDefault="006E56D0" w:rsidP="006E56D0">
      <w:pPr>
        <w:spacing w:line="400" w:lineRule="exact"/>
        <w:ind w:left="1843" w:hanging="422"/>
        <w:rPr>
          <w:rFonts w:ascii="標楷體" w:eastAsia="標楷體" w:hAnsi="標楷體"/>
          <w:color w:val="000000"/>
        </w:rPr>
      </w:pPr>
      <w:r w:rsidRPr="006E56D0">
        <w:rPr>
          <w:rFonts w:ascii="標楷體" w:eastAsia="標楷體" w:hAnsi="標楷體" w:hint="eastAsia"/>
          <w:color w:val="000000"/>
        </w:rPr>
        <w:t>Ⅸ</w:t>
      </w:r>
      <w:r w:rsidRPr="006E56D0">
        <w:rPr>
          <w:rFonts w:ascii="標楷體" w:eastAsia="標楷體" w:hAnsi="標楷體"/>
          <w:color w:val="000000"/>
        </w:rPr>
        <w:t>.</w:t>
      </w:r>
      <w:r w:rsidRPr="006E56D0">
        <w:rPr>
          <w:rFonts w:ascii="標楷體" w:eastAsia="標楷體" w:hAnsi="標楷體"/>
          <w:color w:val="000000"/>
        </w:rPr>
        <w:tab/>
        <w:t>無DLBCL之外的併發惡性腫瘤，但充分治療的基底細胞癌或鱗狀細胞癌不在此限（申請時需要充分的傷口癒合）；若為子宮頸或乳腺癌原位癌，在申請前至少 3 年經過治愈性治療且無復發證據；原發惡性腫瘤已完全切</w:t>
      </w:r>
      <w:r w:rsidRPr="006E56D0">
        <w:rPr>
          <w:rFonts w:ascii="標楷體" w:eastAsia="標楷體" w:hAnsi="標楷體"/>
          <w:color w:val="000000"/>
        </w:rPr>
        <w:lastRenderedPageBreak/>
        <w:t>除且申請時須處於完全緩解5年以上。</w:t>
      </w:r>
    </w:p>
    <w:p w:rsidR="006E56D0" w:rsidRPr="006E56D0" w:rsidRDefault="006E56D0" w:rsidP="006E56D0">
      <w:pPr>
        <w:spacing w:line="400" w:lineRule="exact"/>
        <w:ind w:left="1276" w:hanging="706"/>
        <w:rPr>
          <w:rFonts w:ascii="標楷體" w:eastAsia="標楷體" w:hAnsi="標楷體"/>
          <w:color w:val="000000"/>
        </w:rPr>
      </w:pPr>
      <w:r w:rsidRPr="006E56D0">
        <w:rPr>
          <w:rFonts w:ascii="標楷體" w:eastAsia="標楷體" w:hAnsi="標楷體"/>
          <w:color w:val="000000"/>
        </w:rPr>
        <w:t xml:space="preserve">  3.前述1、2項均須符合下列條件：</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(1)需證實癌細胞仍帶有CD19。</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(2)終身限給付1次療程，須於特殊專案審查通過後6個月內完成輸注。</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(3)病人不得有HIV感染，曾經感染但已控制之病人亦不得接受。</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(4)病人不得有active hepatitis B virus or hepatitis C virus 感染(評估和輸注 CAR-T時需為viral load undetectable)。</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(5)病人不得有原發性中樞神經系統淋巴瘤(Primary CNS 1ymphoma)。</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(6)病人不得有活躍的次發性中樞神經系統淋巴癌侵犯。</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(7)追蹤方式：依保險人公布要求之檢驗項目與頻率執行。</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hint="eastAsia"/>
          <w:color w:val="000000"/>
        </w:rPr>
        <w:t>(8)應提供本藥品治療申請日2個月內腦部MRI報告，無法進行腦部MRI檢查者，應提供1個月內腦脊髓液檢查報告與CT檢查報告並需照會神經科醫師，證明無淋巴瘤中樞神經侵犯。(114/8/1)</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hint="eastAsia"/>
          <w:color w:val="000000"/>
        </w:rPr>
        <w:t>(9)併用藥品規範：不得併用化療藥(淋巴清除化療除外)、免疫抑制劑或標靶藥物。(112/11/1、114/8/1)</w:t>
      </w:r>
    </w:p>
    <w:p w:rsidR="006E56D0" w:rsidRPr="006E56D0" w:rsidRDefault="006E56D0" w:rsidP="006E56D0">
      <w:pPr>
        <w:spacing w:line="400" w:lineRule="exact"/>
        <w:ind w:left="1276" w:hanging="706"/>
        <w:rPr>
          <w:rFonts w:ascii="標楷體" w:eastAsia="標楷體" w:hAnsi="標楷體"/>
          <w:color w:val="000000"/>
        </w:rPr>
      </w:pPr>
      <w:r w:rsidRPr="006E56D0">
        <w:rPr>
          <w:rFonts w:ascii="標楷體" w:eastAsia="標楷體" w:hAnsi="標楷體"/>
          <w:color w:val="000000"/>
        </w:rPr>
        <w:t xml:space="preserve">  4.執行醫師須完全符合下列資格：</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(1)醫師必須為血液病和造血幹細胞移植專科醫師且須完成血液病和造血幹細胞移植的相關照護訓練。</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(2)</w:t>
      </w:r>
      <w:r w:rsidRPr="006E56D0">
        <w:rPr>
          <w:rFonts w:ascii="標楷體" w:eastAsia="標楷體" w:hAnsi="標楷體" w:hint="eastAsia"/>
          <w:color w:val="000000"/>
        </w:rPr>
        <w:t>每兩年接受至少6小時中華民國血液及骨髓移植學會或中華民國血液病學會舉辦之CAR-T教育訓練。(112/11/1、114/8/1)</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(3)由保險人每年委託相關學會定期稽核醫師資格。</w:t>
      </w:r>
    </w:p>
    <w:p w:rsidR="006E56D0" w:rsidRPr="006E56D0" w:rsidRDefault="006E56D0" w:rsidP="006E56D0">
      <w:pPr>
        <w:spacing w:line="400" w:lineRule="exact"/>
        <w:ind w:left="1276" w:hanging="706"/>
        <w:rPr>
          <w:rFonts w:ascii="標楷體" w:eastAsia="標楷體" w:hAnsi="標楷體"/>
          <w:color w:val="000000"/>
        </w:rPr>
      </w:pPr>
      <w:r w:rsidRPr="006E56D0">
        <w:rPr>
          <w:rFonts w:ascii="標楷體" w:eastAsia="標楷體" w:hAnsi="標楷體"/>
          <w:color w:val="000000"/>
        </w:rPr>
        <w:t xml:space="preserve">  5.執行醫院須完全符合下列條件：</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(1)須為血液病和造血幹細胞移植專科醫師的訓練醫院。</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(2)每年平均須進行20例以上造血幹細胞移植，以過去3年平均為準，並每年進行確認。</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(3)須建立 CAR-T多專科團隊，包含醫師、護理師、藥師、醫檢師、細胞蒐集專門技術人員，經團隊討論後同意治療，並須於事前審查時，檢附會議紀錄。</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(4)</w:t>
      </w:r>
      <w:r w:rsidRPr="006E56D0">
        <w:rPr>
          <w:rFonts w:ascii="標楷體" w:eastAsia="標楷體" w:hAnsi="標楷體" w:hint="eastAsia"/>
          <w:color w:val="000000"/>
        </w:rPr>
        <w:t>CAR-T多專科團隊成員，包括醫師、護理師、藥師、醫檢師、細胞蒐集專門技術人員各至少一人，須每兩年接受至少6小時中華民國血液及骨髓移植學會或中華民國血液病學會舉辦之CAR-T教育訓練。(112/11/1、114/8/1)</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(5)</w:t>
      </w:r>
      <w:r w:rsidRPr="006E56D0">
        <w:rPr>
          <w:rFonts w:ascii="標楷體" w:eastAsia="標楷體" w:hAnsi="標楷體" w:hint="eastAsia"/>
          <w:color w:val="000000"/>
        </w:rPr>
        <w:t>醫院藥局至少需庫存10支靜脈注射tocilizumab。(112/11/1、114/8/1)</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(6)細胞蒐集和處理實驗室須於2029年1月1日前取得相關國際認證(AABB或FACT-JACIE)。</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(7)由保險人每年委託相關學會定期稽核醫院符合前述條件。</w:t>
      </w:r>
    </w:p>
    <w:p w:rsidR="006E56D0" w:rsidRPr="006E56D0" w:rsidRDefault="006E56D0" w:rsidP="006E56D0">
      <w:pPr>
        <w:spacing w:line="400" w:lineRule="exact"/>
        <w:ind w:left="1276" w:hanging="706"/>
        <w:rPr>
          <w:rFonts w:ascii="標楷體" w:eastAsia="標楷體" w:hAnsi="標楷體"/>
          <w:color w:val="000000"/>
        </w:rPr>
      </w:pPr>
      <w:r w:rsidRPr="006E56D0">
        <w:rPr>
          <w:rFonts w:ascii="標楷體" w:eastAsia="標楷體" w:hAnsi="標楷體"/>
          <w:color w:val="000000"/>
        </w:rPr>
        <w:t xml:space="preserve">  6.須經專家小組特殊專案審查核准後使用，並須檢附下列文件：</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(1)CAR-T多科團隊會議紀錄。</w:t>
      </w:r>
    </w:p>
    <w:p w:rsidR="006E56D0" w:rsidRP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lastRenderedPageBreak/>
        <w:t>(2)符合前述第4、5項之醫院條件及醫師資格之相關文件。</w:t>
      </w:r>
    </w:p>
    <w:p w:rsidR="006E56D0" w:rsidRDefault="006E56D0" w:rsidP="006E56D0">
      <w:pPr>
        <w:spacing w:line="400" w:lineRule="exact"/>
        <w:ind w:left="1418" w:hanging="341"/>
        <w:rPr>
          <w:rFonts w:ascii="標楷體" w:eastAsia="標楷體" w:hAnsi="標楷體"/>
          <w:color w:val="000000"/>
        </w:rPr>
      </w:pPr>
      <w:r w:rsidRPr="006E56D0">
        <w:rPr>
          <w:rFonts w:ascii="標楷體" w:eastAsia="標楷體" w:hAnsi="標楷體"/>
          <w:color w:val="000000"/>
        </w:rPr>
        <w:t>(3)經臨床醫師確認無法接受造血幹細胞移植者，須檢附相關文件。</w:t>
      </w:r>
      <w:bookmarkEnd w:id="39"/>
    </w:p>
    <w:p w:rsidR="000838F4" w:rsidRPr="005363DB" w:rsidRDefault="000838F4" w:rsidP="000838F4">
      <w:pPr>
        <w:suppressAutoHyphens w:val="0"/>
        <w:autoSpaceDN/>
        <w:spacing w:line="400" w:lineRule="exact"/>
        <w:ind w:left="566" w:hangingChars="236" w:hanging="566"/>
        <w:textAlignment w:val="auto"/>
        <w:rPr>
          <w:rFonts w:ascii="標楷體" w:eastAsia="標楷體" w:hAnsi="標楷體" w:cstheme="minorBidi"/>
          <w:kern w:val="2"/>
          <w:szCs w:val="24"/>
          <w:u w:val="single"/>
        </w:rPr>
      </w:pPr>
      <w:bookmarkStart w:id="40" w:name="_Hlk204090064"/>
      <w:bookmarkStart w:id="41" w:name="_Hlk209191978"/>
      <w:r w:rsidRPr="005363DB">
        <w:rPr>
          <w:rFonts w:ascii="標楷體" w:eastAsia="標楷體" w:hAnsi="標楷體" w:cstheme="minorBidi" w:hint="eastAsia"/>
          <w:kern w:val="2"/>
          <w:szCs w:val="24"/>
        </w:rPr>
        <w:t>9.104.</w:t>
      </w:r>
      <w:bookmarkEnd w:id="40"/>
      <w:r w:rsidRPr="00DF1029">
        <w:rPr>
          <w:rFonts w:ascii="標楷體" w:eastAsia="標楷體" w:hAnsi="標楷體" w:cstheme="minorBidi" w:hint="eastAsia"/>
          <w:kern w:val="2"/>
          <w:szCs w:val="24"/>
        </w:rPr>
        <w:t xml:space="preserve"> </w:t>
      </w:r>
      <w:r w:rsidRPr="005363DB">
        <w:rPr>
          <w:rFonts w:ascii="標楷體" w:eastAsia="標楷體" w:hAnsi="標楷體" w:cstheme="minorBidi" w:hint="eastAsia"/>
          <w:kern w:val="2"/>
          <w:szCs w:val="24"/>
        </w:rPr>
        <w:t>Zanubrutinib(如Brukinsa)：(112/12/1、</w:t>
      </w:r>
      <w:r w:rsidRPr="005363DB">
        <w:rPr>
          <w:rFonts w:ascii="標楷體" w:eastAsia="標楷體" w:hAnsi="標楷體" w:hint="eastAsia"/>
          <w:kern w:val="2"/>
          <w:szCs w:val="24"/>
        </w:rPr>
        <w:t>114/8/1</w:t>
      </w:r>
      <w:r>
        <w:rPr>
          <w:rFonts w:ascii="標楷體" w:eastAsia="標楷體" w:hAnsi="標楷體" w:hint="eastAsia"/>
          <w:kern w:val="2"/>
          <w:szCs w:val="24"/>
        </w:rPr>
        <w:t>、114/10/1</w:t>
      </w:r>
      <w:r w:rsidRPr="005363DB">
        <w:rPr>
          <w:rFonts w:ascii="標楷體" w:eastAsia="標楷體" w:hAnsi="標楷體" w:cstheme="minorBidi" w:hint="eastAsia"/>
          <w:kern w:val="2"/>
          <w:szCs w:val="24"/>
        </w:rPr>
        <w:t>)</w:t>
      </w:r>
    </w:p>
    <w:p w:rsidR="000838F4" w:rsidRPr="005363DB" w:rsidRDefault="000838F4" w:rsidP="000838F4">
      <w:pPr>
        <w:numPr>
          <w:ilvl w:val="0"/>
          <w:numId w:val="47"/>
        </w:numPr>
        <w:suppressAutoHyphens w:val="0"/>
        <w:autoSpaceDN/>
        <w:spacing w:line="400" w:lineRule="exact"/>
        <w:ind w:left="567" w:hanging="283"/>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單獨使用於先前接受過至少一種化學或標靶治療方式無效或復發的被套細胞淋巴瘤成年病人。(112/12/1、</w:t>
      </w:r>
      <w:r w:rsidRPr="005363DB">
        <w:rPr>
          <w:rFonts w:ascii="標楷體" w:eastAsia="標楷體" w:hAnsi="標楷體" w:hint="eastAsia"/>
          <w:kern w:val="2"/>
          <w:szCs w:val="24"/>
        </w:rPr>
        <w:t>114/8/1</w:t>
      </w:r>
      <w:r>
        <w:rPr>
          <w:rFonts w:ascii="標楷體" w:eastAsia="標楷體" w:hAnsi="標楷體" w:hint="eastAsia"/>
          <w:kern w:val="2"/>
          <w:szCs w:val="24"/>
        </w:rPr>
        <w:t>、114/10/1</w:t>
      </w:r>
      <w:r w:rsidRPr="005363DB">
        <w:rPr>
          <w:rFonts w:ascii="標楷體" w:eastAsia="標楷體" w:hAnsi="標楷體" w:cstheme="minorBidi" w:hint="eastAsia"/>
          <w:kern w:val="2"/>
          <w:szCs w:val="24"/>
        </w:rPr>
        <w:t>)</w:t>
      </w:r>
    </w:p>
    <w:p w:rsidR="000838F4" w:rsidRPr="005363DB" w:rsidRDefault="000838F4" w:rsidP="000838F4">
      <w:pPr>
        <w:numPr>
          <w:ilvl w:val="0"/>
          <w:numId w:val="21"/>
        </w:numPr>
        <w:suppressAutoHyphens w:val="0"/>
        <w:autoSpaceDN/>
        <w:spacing w:line="400" w:lineRule="exact"/>
        <w:ind w:left="993" w:hanging="469"/>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需經事前審查核准後使用(事審代碼：C83N2)。首次申請事前審查之療程以4個月為限，之後每3個月需再次申請，再次申請時應檢附前次治療結果評估資料，如影像學檢查報告。</w:t>
      </w:r>
      <w:r w:rsidRPr="005363DB">
        <w:rPr>
          <w:rFonts w:ascii="標楷體" w:eastAsia="標楷體" w:hAnsi="標楷體" w:cs="BiauKai" w:hint="eastAsia"/>
          <w:kern w:val="2"/>
          <w:szCs w:val="24"/>
        </w:rPr>
        <w:t>(</w:t>
      </w:r>
      <w:r w:rsidRPr="005363DB">
        <w:rPr>
          <w:rFonts w:ascii="標楷體" w:eastAsia="標楷體" w:hAnsi="標楷體" w:cstheme="minorBidi" w:hint="eastAsia"/>
          <w:kern w:val="2"/>
          <w:szCs w:val="24"/>
        </w:rPr>
        <w:t>114/8/1</w:t>
      </w:r>
      <w:r w:rsidRPr="005363DB">
        <w:rPr>
          <w:rFonts w:ascii="標楷體" w:eastAsia="標楷體" w:hAnsi="標楷體" w:cs="BiauKai" w:hint="eastAsia"/>
          <w:kern w:val="2"/>
          <w:szCs w:val="24"/>
        </w:rPr>
        <w:t>)</w:t>
      </w:r>
    </w:p>
    <w:p w:rsidR="000838F4" w:rsidRPr="00170338" w:rsidRDefault="000838F4" w:rsidP="000838F4">
      <w:pPr>
        <w:numPr>
          <w:ilvl w:val="0"/>
          <w:numId w:val="21"/>
        </w:numPr>
        <w:suppressAutoHyphens w:val="0"/>
        <w:autoSpaceDN/>
        <w:spacing w:line="400" w:lineRule="exact"/>
        <w:ind w:left="993" w:hanging="469"/>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若疾病進展，則必須停止使用。</w:t>
      </w:r>
    </w:p>
    <w:p w:rsidR="000838F4" w:rsidRPr="005363DB" w:rsidRDefault="000838F4" w:rsidP="000838F4">
      <w:pPr>
        <w:numPr>
          <w:ilvl w:val="0"/>
          <w:numId w:val="21"/>
        </w:numPr>
        <w:suppressAutoHyphens w:val="0"/>
        <w:autoSpaceDN/>
        <w:spacing w:line="400" w:lineRule="exact"/>
        <w:ind w:left="993" w:hanging="469"/>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每日至多處方4粒。</w:t>
      </w:r>
    </w:p>
    <w:p w:rsidR="000838F4" w:rsidRPr="005363DB" w:rsidRDefault="000838F4" w:rsidP="000838F4">
      <w:pPr>
        <w:numPr>
          <w:ilvl w:val="0"/>
          <w:numId w:val="21"/>
        </w:numPr>
        <w:suppressAutoHyphens w:val="0"/>
        <w:autoSpaceDN/>
        <w:spacing w:line="400" w:lineRule="exact"/>
        <w:ind w:left="993" w:hanging="469"/>
        <w:textAlignment w:val="auto"/>
        <w:rPr>
          <w:rFonts w:ascii="標楷體" w:eastAsia="標楷體" w:hAnsi="標楷體" w:cstheme="minorBidi"/>
          <w:kern w:val="2"/>
          <w:szCs w:val="24"/>
        </w:rPr>
      </w:pPr>
      <w:r>
        <w:rPr>
          <w:rFonts w:ascii="標楷體" w:eastAsia="標楷體" w:hAnsi="標楷體" w:cstheme="minorBidi" w:hint="eastAsia"/>
          <w:kern w:val="2"/>
          <w:szCs w:val="24"/>
        </w:rPr>
        <w:t>Z</w:t>
      </w:r>
      <w:r w:rsidRPr="005363DB">
        <w:rPr>
          <w:rFonts w:ascii="標楷體" w:eastAsia="標楷體" w:hAnsi="標楷體" w:cstheme="minorBidi" w:hint="eastAsia"/>
          <w:kern w:val="2"/>
          <w:szCs w:val="24"/>
        </w:rPr>
        <w:t>anubrutinib、ibrutinib及acalabrutinib僅能擇一使用，</w:t>
      </w:r>
      <w:r>
        <w:rPr>
          <w:rFonts w:ascii="標楷體" w:eastAsia="標楷體" w:hAnsi="標楷體" w:cstheme="minorBidi" w:hint="eastAsia"/>
          <w:kern w:val="2"/>
          <w:szCs w:val="24"/>
        </w:rPr>
        <w:t>使用z</w:t>
      </w:r>
      <w:r>
        <w:rPr>
          <w:rFonts w:ascii="標楷體" w:eastAsia="標楷體" w:hAnsi="標楷體" w:cstheme="minorBidi"/>
          <w:kern w:val="2"/>
          <w:szCs w:val="24"/>
        </w:rPr>
        <w:t>anubrutinib</w:t>
      </w:r>
      <w:r>
        <w:rPr>
          <w:rFonts w:ascii="標楷體" w:eastAsia="標楷體" w:hAnsi="標楷體" w:cstheme="minorBidi" w:hint="eastAsia"/>
          <w:kern w:val="2"/>
          <w:szCs w:val="24"/>
        </w:rPr>
        <w:t>者無疾病惡化，可繼續使用，唯出現無法忍受其副作用時，與i</w:t>
      </w:r>
      <w:r>
        <w:rPr>
          <w:rFonts w:ascii="標楷體" w:eastAsia="標楷體" w:hAnsi="標楷體" w:cstheme="minorBidi"/>
          <w:kern w:val="2"/>
          <w:szCs w:val="24"/>
        </w:rPr>
        <w:t>brutinib</w:t>
      </w:r>
      <w:r>
        <w:rPr>
          <w:rFonts w:ascii="標楷體" w:eastAsia="標楷體" w:hAnsi="標楷體" w:cstheme="minorBidi" w:hint="eastAsia"/>
          <w:kern w:val="2"/>
          <w:szCs w:val="24"/>
        </w:rPr>
        <w:t>及a</w:t>
      </w:r>
      <w:r>
        <w:rPr>
          <w:rFonts w:ascii="標楷體" w:eastAsia="標楷體" w:hAnsi="標楷體" w:cstheme="minorBidi"/>
          <w:kern w:val="2"/>
          <w:szCs w:val="24"/>
        </w:rPr>
        <w:t>calabrutinib</w:t>
      </w:r>
      <w:r>
        <w:rPr>
          <w:rFonts w:ascii="標楷體" w:eastAsia="標楷體" w:hAnsi="標楷體" w:cstheme="minorBidi" w:hint="eastAsia"/>
          <w:kern w:val="2"/>
          <w:szCs w:val="24"/>
        </w:rPr>
        <w:t>互換時限使用20個月，</w:t>
      </w:r>
      <w:r w:rsidRPr="005363DB">
        <w:rPr>
          <w:rFonts w:ascii="標楷體" w:eastAsia="標楷體" w:hAnsi="標楷體" w:cstheme="minorBidi" w:hint="eastAsia"/>
          <w:kern w:val="2"/>
          <w:szCs w:val="24"/>
        </w:rPr>
        <w:t>三者使用總療程合併計算</w:t>
      </w:r>
      <w:r>
        <w:rPr>
          <w:rFonts w:ascii="標楷體" w:eastAsia="標楷體" w:hAnsi="標楷體" w:cstheme="minorBidi" w:hint="eastAsia"/>
          <w:kern w:val="2"/>
          <w:szCs w:val="24"/>
        </w:rPr>
        <w:t>。</w:t>
      </w:r>
      <w:r w:rsidRPr="005363DB">
        <w:rPr>
          <w:rFonts w:ascii="標楷體" w:eastAsia="標楷體" w:hAnsi="標楷體" w:cstheme="minorBidi" w:hint="eastAsia"/>
          <w:kern w:val="2"/>
          <w:szCs w:val="24"/>
        </w:rPr>
        <w:t>(112/12/1、</w:t>
      </w:r>
      <w:r w:rsidRPr="005363DB">
        <w:rPr>
          <w:rFonts w:ascii="標楷體" w:eastAsia="標楷體" w:hAnsi="標楷體" w:hint="eastAsia"/>
          <w:kern w:val="2"/>
          <w:szCs w:val="24"/>
        </w:rPr>
        <w:t>114/</w:t>
      </w:r>
      <w:r>
        <w:rPr>
          <w:rFonts w:ascii="標楷體" w:eastAsia="標楷體" w:hAnsi="標楷體"/>
          <w:kern w:val="2"/>
          <w:szCs w:val="24"/>
        </w:rPr>
        <w:t>10</w:t>
      </w:r>
      <w:r w:rsidRPr="005363DB">
        <w:rPr>
          <w:rFonts w:ascii="標楷體" w:eastAsia="標楷體" w:hAnsi="標楷體" w:hint="eastAsia"/>
          <w:kern w:val="2"/>
          <w:szCs w:val="24"/>
        </w:rPr>
        <w:t>/1</w:t>
      </w:r>
      <w:r w:rsidRPr="005363DB">
        <w:rPr>
          <w:rFonts w:ascii="標楷體" w:eastAsia="標楷體" w:hAnsi="標楷體" w:cstheme="minorBidi" w:hint="eastAsia"/>
          <w:kern w:val="2"/>
          <w:szCs w:val="24"/>
        </w:rPr>
        <w:t>)</w:t>
      </w:r>
    </w:p>
    <w:p w:rsidR="000838F4" w:rsidRPr="005363DB" w:rsidRDefault="000838F4" w:rsidP="000838F4">
      <w:pPr>
        <w:numPr>
          <w:ilvl w:val="0"/>
          <w:numId w:val="47"/>
        </w:numPr>
        <w:suppressAutoHyphens w:val="0"/>
        <w:autoSpaceDN/>
        <w:spacing w:line="400" w:lineRule="exact"/>
        <w:ind w:left="567" w:hanging="283"/>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單獨使用於曾接受含一種單株抗體及一種靜脈注射之alkylating agent之chemoimmunotherapy至少4個療程以上後復發者的華氏巨球蛋白血症成年病人。(112/12/1、114/8/1)。</w:t>
      </w:r>
    </w:p>
    <w:p w:rsidR="000838F4" w:rsidRPr="005363DB" w:rsidRDefault="000838F4" w:rsidP="000838F4">
      <w:pPr>
        <w:numPr>
          <w:ilvl w:val="0"/>
          <w:numId w:val="22"/>
        </w:numPr>
        <w:suppressAutoHyphens w:val="0"/>
        <w:autoSpaceDN/>
        <w:spacing w:line="400" w:lineRule="exact"/>
        <w:ind w:left="993" w:hanging="469"/>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病患須具下列至少3種條件：</w:t>
      </w:r>
    </w:p>
    <w:p w:rsidR="000838F4" w:rsidRPr="005363DB" w:rsidRDefault="000838F4" w:rsidP="000838F4">
      <w:pPr>
        <w:numPr>
          <w:ilvl w:val="0"/>
          <w:numId w:val="23"/>
        </w:numPr>
        <w:suppressAutoHyphens w:val="0"/>
        <w:autoSpaceDN/>
        <w:spacing w:line="400" w:lineRule="exact"/>
        <w:ind w:left="1418" w:hanging="219"/>
        <w:textAlignment w:val="auto"/>
        <w:rPr>
          <w:rFonts w:ascii="標楷體" w:eastAsia="標楷體" w:hAnsi="標楷體" w:cs="BiauKai"/>
          <w:kern w:val="2"/>
          <w:szCs w:val="24"/>
        </w:rPr>
      </w:pPr>
      <w:r w:rsidRPr="005363DB">
        <w:rPr>
          <w:rFonts w:ascii="標楷體" w:eastAsia="標楷體" w:hAnsi="標楷體" w:cs="BiauKai" w:hint="eastAsia"/>
          <w:kern w:val="2"/>
          <w:szCs w:val="24"/>
        </w:rPr>
        <w:t>年齡＞65歲。</w:t>
      </w:r>
    </w:p>
    <w:p w:rsidR="000838F4" w:rsidRPr="005363DB" w:rsidRDefault="000838F4" w:rsidP="000838F4">
      <w:pPr>
        <w:numPr>
          <w:ilvl w:val="0"/>
          <w:numId w:val="23"/>
        </w:numPr>
        <w:suppressAutoHyphens w:val="0"/>
        <w:autoSpaceDN/>
        <w:spacing w:line="400" w:lineRule="exact"/>
        <w:ind w:leftChars="474" w:left="1560" w:hangingChars="176" w:hanging="422"/>
        <w:textAlignment w:val="auto"/>
        <w:rPr>
          <w:rFonts w:ascii="標楷體" w:eastAsia="標楷體" w:hAnsi="標楷體" w:cs="BiauKai"/>
          <w:kern w:val="2"/>
          <w:szCs w:val="24"/>
        </w:rPr>
      </w:pPr>
      <w:r w:rsidRPr="005363DB">
        <w:rPr>
          <w:rFonts w:ascii="標楷體" w:eastAsia="標楷體" w:hAnsi="標楷體" w:cs="BiauKai" w:hint="eastAsia"/>
          <w:kern w:val="2"/>
          <w:szCs w:val="24"/>
        </w:rPr>
        <w:t>血紅素計數≦11g/dL。</w:t>
      </w:r>
    </w:p>
    <w:p w:rsidR="000838F4" w:rsidRPr="005363DB" w:rsidRDefault="000838F4" w:rsidP="000838F4">
      <w:pPr>
        <w:numPr>
          <w:ilvl w:val="0"/>
          <w:numId w:val="23"/>
        </w:numPr>
        <w:suppressAutoHyphens w:val="0"/>
        <w:autoSpaceDN/>
        <w:spacing w:line="400" w:lineRule="exact"/>
        <w:ind w:leftChars="415" w:left="1560" w:hangingChars="235" w:hanging="564"/>
        <w:textAlignment w:val="auto"/>
        <w:rPr>
          <w:rFonts w:ascii="標楷體" w:eastAsia="標楷體" w:hAnsi="標楷體" w:cs="BiauKai"/>
          <w:kern w:val="2"/>
          <w:szCs w:val="24"/>
        </w:rPr>
      </w:pPr>
      <w:r w:rsidRPr="005363DB">
        <w:rPr>
          <w:rFonts w:ascii="標楷體" w:eastAsia="標楷體" w:hAnsi="標楷體" w:cs="BiauKai" w:hint="eastAsia"/>
          <w:kern w:val="2"/>
          <w:szCs w:val="24"/>
        </w:rPr>
        <w:t>血小板計數≦100×109/L。</w:t>
      </w:r>
    </w:p>
    <w:p w:rsidR="000838F4" w:rsidRPr="005363DB" w:rsidRDefault="000838F4" w:rsidP="000838F4">
      <w:pPr>
        <w:numPr>
          <w:ilvl w:val="0"/>
          <w:numId w:val="23"/>
        </w:numPr>
        <w:suppressAutoHyphens w:val="0"/>
        <w:autoSpaceDN/>
        <w:spacing w:line="400" w:lineRule="exact"/>
        <w:ind w:leftChars="472" w:left="1558" w:hangingChars="177" w:hanging="425"/>
        <w:textAlignment w:val="auto"/>
        <w:rPr>
          <w:rFonts w:ascii="標楷體" w:eastAsia="標楷體" w:hAnsi="標楷體" w:cs="BiauKai"/>
          <w:kern w:val="2"/>
          <w:szCs w:val="24"/>
        </w:rPr>
      </w:pPr>
      <w:r w:rsidRPr="005363DB">
        <w:rPr>
          <w:rFonts w:ascii="標楷體" w:eastAsia="標楷體" w:hAnsi="標楷體" w:cs="BiauKai" w:hint="eastAsia"/>
          <w:kern w:val="2"/>
          <w:szCs w:val="24"/>
        </w:rPr>
        <w:t>β2-microglobulin&gt;3mg/L。</w:t>
      </w:r>
    </w:p>
    <w:p w:rsidR="000838F4" w:rsidRPr="005363DB" w:rsidRDefault="000838F4" w:rsidP="000838F4">
      <w:pPr>
        <w:numPr>
          <w:ilvl w:val="0"/>
          <w:numId w:val="23"/>
        </w:numPr>
        <w:suppressAutoHyphens w:val="0"/>
        <w:autoSpaceDN/>
        <w:spacing w:line="400" w:lineRule="exact"/>
        <w:ind w:leftChars="531" w:left="1557" w:hangingChars="118" w:hanging="283"/>
        <w:textAlignment w:val="auto"/>
        <w:rPr>
          <w:rFonts w:ascii="標楷體" w:eastAsia="標楷體" w:hAnsi="標楷體" w:cs="BiauKai"/>
          <w:kern w:val="2"/>
          <w:szCs w:val="24"/>
        </w:rPr>
      </w:pPr>
      <w:r w:rsidRPr="005363DB">
        <w:rPr>
          <w:rFonts w:ascii="標楷體" w:eastAsia="標楷體" w:hAnsi="標楷體" w:cs="BiauKai" w:hint="eastAsia"/>
          <w:kern w:val="2"/>
          <w:szCs w:val="24"/>
        </w:rPr>
        <w:t>免疫球蛋白IgM&gt;7g/dL。</w:t>
      </w:r>
    </w:p>
    <w:p w:rsidR="000838F4" w:rsidRPr="00347CE0" w:rsidRDefault="000838F4" w:rsidP="000838F4">
      <w:pPr>
        <w:numPr>
          <w:ilvl w:val="0"/>
          <w:numId w:val="22"/>
        </w:numPr>
        <w:suppressAutoHyphens w:val="0"/>
        <w:autoSpaceDN/>
        <w:spacing w:line="400" w:lineRule="exact"/>
        <w:ind w:left="993" w:hanging="469"/>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需經事前審查核准後使用(事審代碼：C88N3)。首次申請事前審查之療程以4個月為限，之後每3個月需再次申請，再次申請時應檢附前次治療結果評估資料，如影像學檢查報告。</w:t>
      </w:r>
      <w:r w:rsidRPr="00347CE0">
        <w:rPr>
          <w:rFonts w:ascii="標楷體" w:eastAsia="標楷體" w:hAnsi="標楷體" w:cstheme="minorBidi" w:hint="eastAsia"/>
          <w:kern w:val="2"/>
          <w:szCs w:val="24"/>
        </w:rPr>
        <w:t>(</w:t>
      </w:r>
      <w:r w:rsidRPr="005363DB">
        <w:rPr>
          <w:rFonts w:ascii="標楷體" w:eastAsia="標楷體" w:hAnsi="標楷體" w:cstheme="minorBidi" w:hint="eastAsia"/>
          <w:kern w:val="2"/>
          <w:szCs w:val="24"/>
        </w:rPr>
        <w:t>114/8/1)</w:t>
      </w:r>
    </w:p>
    <w:p w:rsidR="000838F4" w:rsidRPr="005363DB" w:rsidRDefault="000838F4" w:rsidP="000838F4">
      <w:pPr>
        <w:numPr>
          <w:ilvl w:val="0"/>
          <w:numId w:val="22"/>
        </w:numPr>
        <w:suppressAutoHyphens w:val="0"/>
        <w:autoSpaceDN/>
        <w:spacing w:line="400" w:lineRule="exact"/>
        <w:ind w:left="993" w:hanging="469"/>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若疾病進展，則必須停止使用。</w:t>
      </w:r>
    </w:p>
    <w:p w:rsidR="000838F4" w:rsidRPr="005363DB" w:rsidRDefault="000838F4" w:rsidP="000838F4">
      <w:pPr>
        <w:numPr>
          <w:ilvl w:val="0"/>
          <w:numId w:val="22"/>
        </w:numPr>
        <w:suppressAutoHyphens w:val="0"/>
        <w:autoSpaceDN/>
        <w:spacing w:line="400" w:lineRule="exact"/>
        <w:ind w:left="993" w:hanging="469"/>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每位病人限給付20個月。</w:t>
      </w:r>
    </w:p>
    <w:p w:rsidR="000838F4" w:rsidRPr="005363DB" w:rsidRDefault="000838F4" w:rsidP="000838F4">
      <w:pPr>
        <w:numPr>
          <w:ilvl w:val="0"/>
          <w:numId w:val="22"/>
        </w:numPr>
        <w:suppressAutoHyphens w:val="0"/>
        <w:autoSpaceDN/>
        <w:spacing w:line="400" w:lineRule="exact"/>
        <w:ind w:left="993" w:hanging="469"/>
        <w:textAlignment w:val="auto"/>
        <w:rPr>
          <w:rFonts w:ascii="標楷體" w:eastAsia="標楷體" w:hAnsi="標楷體" w:cstheme="minorBidi"/>
          <w:kern w:val="2"/>
          <w:szCs w:val="24"/>
        </w:rPr>
      </w:pPr>
      <w:r w:rsidRPr="005363DB">
        <w:rPr>
          <w:rFonts w:ascii="標楷體" w:eastAsia="標楷體" w:hAnsi="標楷體" w:cstheme="minorBidi" w:hint="eastAsia"/>
          <w:kern w:val="2"/>
          <w:szCs w:val="24"/>
        </w:rPr>
        <w:t>每日至多處方4粒。</w:t>
      </w:r>
    </w:p>
    <w:p w:rsidR="000838F4" w:rsidRPr="005363DB" w:rsidRDefault="000838F4" w:rsidP="000838F4">
      <w:pPr>
        <w:numPr>
          <w:ilvl w:val="0"/>
          <w:numId w:val="47"/>
        </w:numPr>
        <w:suppressAutoHyphens w:val="0"/>
        <w:autoSpaceDN/>
        <w:spacing w:line="400" w:lineRule="exact"/>
        <w:ind w:left="567" w:hanging="283"/>
        <w:textAlignment w:val="auto"/>
        <w:rPr>
          <w:rFonts w:ascii="標楷體" w:eastAsia="標楷體" w:hAnsi="標楷體" w:cs="BiauKai"/>
          <w:kern w:val="2"/>
          <w:szCs w:val="24"/>
        </w:rPr>
      </w:pPr>
      <w:r w:rsidRPr="005363DB">
        <w:rPr>
          <w:rFonts w:ascii="標楷體" w:eastAsia="標楷體" w:hAnsi="標楷體" w:cs="BiauKai" w:hint="eastAsia"/>
          <w:kern w:val="2"/>
          <w:szCs w:val="24"/>
        </w:rPr>
        <w:t>與</w:t>
      </w:r>
      <w:r w:rsidRPr="00347CE0">
        <w:rPr>
          <w:rFonts w:ascii="標楷體" w:eastAsia="標楷體" w:hAnsi="標楷體" w:cstheme="minorBidi" w:hint="eastAsia"/>
          <w:kern w:val="2"/>
          <w:szCs w:val="24"/>
        </w:rPr>
        <w:t>obinutuzumab</w:t>
      </w:r>
      <w:r w:rsidRPr="005363DB">
        <w:rPr>
          <w:rFonts w:ascii="標楷體" w:eastAsia="標楷體" w:hAnsi="標楷體" w:cs="BiauKai" w:hint="eastAsia"/>
          <w:kern w:val="2"/>
          <w:szCs w:val="24"/>
        </w:rPr>
        <w:t>併用，治療先前曾接受至少兩線(每線至少4個療程)全身性治療無效或復發的濾泡性淋巴瘤成人病人。(</w:t>
      </w:r>
      <w:r w:rsidRPr="005363DB">
        <w:rPr>
          <w:rFonts w:ascii="標楷體" w:eastAsia="標楷體" w:hAnsi="標楷體" w:cstheme="minorBidi" w:hint="eastAsia"/>
          <w:kern w:val="2"/>
          <w:szCs w:val="24"/>
        </w:rPr>
        <w:t>114/8/1</w:t>
      </w:r>
      <w:r w:rsidRPr="005363DB">
        <w:rPr>
          <w:rFonts w:ascii="標楷體" w:eastAsia="標楷體" w:hAnsi="標楷體" w:cs="BiauKai" w:hint="eastAsia"/>
          <w:kern w:val="2"/>
          <w:szCs w:val="24"/>
        </w:rPr>
        <w:t>)</w:t>
      </w:r>
    </w:p>
    <w:p w:rsidR="000838F4" w:rsidRPr="005363DB" w:rsidRDefault="000838F4" w:rsidP="000838F4">
      <w:pPr>
        <w:numPr>
          <w:ilvl w:val="1"/>
          <w:numId w:val="25"/>
        </w:numPr>
        <w:suppressAutoHyphens w:val="0"/>
        <w:autoSpaceDN/>
        <w:spacing w:line="400" w:lineRule="exact"/>
        <w:ind w:left="1276"/>
        <w:textAlignment w:val="auto"/>
        <w:rPr>
          <w:rFonts w:ascii="標楷體" w:eastAsia="標楷體" w:hAnsi="標楷體" w:cs="BiauKai"/>
          <w:kern w:val="2"/>
          <w:szCs w:val="24"/>
        </w:rPr>
      </w:pPr>
      <w:r w:rsidRPr="005363DB">
        <w:rPr>
          <w:rFonts w:ascii="標楷體" w:eastAsia="標楷體" w:hAnsi="標楷體" w:cs="BiauKai" w:hint="eastAsia"/>
          <w:kern w:val="2"/>
          <w:szCs w:val="24"/>
        </w:rPr>
        <w:t>需曾接受過至少一種anti-CD20 monoclonal antibody及一種靜脈注射型之alkylating agent治療。</w:t>
      </w:r>
    </w:p>
    <w:p w:rsidR="000838F4" w:rsidRPr="005363DB" w:rsidRDefault="000838F4" w:rsidP="000838F4">
      <w:pPr>
        <w:numPr>
          <w:ilvl w:val="1"/>
          <w:numId w:val="25"/>
        </w:numPr>
        <w:suppressAutoHyphens w:val="0"/>
        <w:autoSpaceDN/>
        <w:spacing w:line="400" w:lineRule="exact"/>
        <w:ind w:left="1276"/>
        <w:textAlignment w:val="auto"/>
        <w:rPr>
          <w:rFonts w:ascii="標楷體" w:eastAsia="標楷體" w:hAnsi="標楷體" w:cs="BiauKai"/>
          <w:kern w:val="2"/>
          <w:szCs w:val="24"/>
        </w:rPr>
      </w:pPr>
      <w:r w:rsidRPr="005363DB">
        <w:rPr>
          <w:rFonts w:ascii="標楷體" w:eastAsia="標楷體" w:hAnsi="標楷體" w:cs="BiauKai" w:hint="eastAsia"/>
          <w:kern w:val="2"/>
          <w:szCs w:val="24"/>
        </w:rPr>
        <w:t>需符合WHO 淋巴瘤分類為I、II或IIIa期的診斷。</w:t>
      </w:r>
    </w:p>
    <w:p w:rsidR="000838F4" w:rsidRPr="005363DB" w:rsidRDefault="000838F4" w:rsidP="000838F4">
      <w:pPr>
        <w:numPr>
          <w:ilvl w:val="1"/>
          <w:numId w:val="25"/>
        </w:numPr>
        <w:suppressAutoHyphens w:val="0"/>
        <w:autoSpaceDN/>
        <w:spacing w:line="400" w:lineRule="exact"/>
        <w:ind w:left="1276"/>
        <w:textAlignment w:val="auto"/>
        <w:rPr>
          <w:rFonts w:ascii="標楷體" w:eastAsia="標楷體" w:hAnsi="標楷體" w:cs="BiauKai"/>
          <w:kern w:val="2"/>
          <w:szCs w:val="24"/>
        </w:rPr>
      </w:pPr>
      <w:r w:rsidRPr="005363DB">
        <w:rPr>
          <w:rFonts w:ascii="標楷體" w:eastAsia="標楷體" w:hAnsi="標楷體" w:cs="BiauKai" w:hint="eastAsia"/>
          <w:kern w:val="2"/>
          <w:szCs w:val="24"/>
        </w:rPr>
        <w:t>開始使用前之疾病狀態需出現下列任一情形：</w:t>
      </w:r>
    </w:p>
    <w:p w:rsidR="000838F4" w:rsidRPr="005363DB" w:rsidRDefault="000838F4" w:rsidP="000838F4">
      <w:pPr>
        <w:numPr>
          <w:ilvl w:val="0"/>
          <w:numId w:val="24"/>
        </w:numPr>
        <w:suppressAutoHyphens w:val="0"/>
        <w:autoSpaceDN/>
        <w:spacing w:line="400" w:lineRule="exact"/>
        <w:ind w:left="1560" w:hanging="360"/>
        <w:textAlignment w:val="auto"/>
        <w:rPr>
          <w:rFonts w:ascii="標楷體" w:eastAsia="標楷體" w:hAnsi="標楷體" w:cs="BiauKai"/>
          <w:kern w:val="2"/>
          <w:szCs w:val="24"/>
        </w:rPr>
      </w:pPr>
      <w:r w:rsidRPr="005363DB">
        <w:rPr>
          <w:rFonts w:ascii="標楷體" w:eastAsia="標楷體" w:hAnsi="標楷體" w:cs="BiauKai" w:hint="eastAsia"/>
          <w:kern w:val="2"/>
          <w:szCs w:val="24"/>
        </w:rPr>
        <w:t>有單一腫瘤直徑7公分以上者；</w:t>
      </w:r>
    </w:p>
    <w:p w:rsidR="000838F4" w:rsidRPr="005363DB" w:rsidRDefault="000838F4" w:rsidP="000838F4">
      <w:pPr>
        <w:numPr>
          <w:ilvl w:val="0"/>
          <w:numId w:val="24"/>
        </w:numPr>
        <w:suppressAutoHyphens w:val="0"/>
        <w:autoSpaceDN/>
        <w:spacing w:line="400" w:lineRule="exact"/>
        <w:ind w:left="1560" w:hanging="502"/>
        <w:textAlignment w:val="auto"/>
        <w:rPr>
          <w:rFonts w:ascii="標楷體" w:eastAsia="標楷體" w:hAnsi="標楷體" w:cs="BiauKai"/>
          <w:kern w:val="2"/>
          <w:szCs w:val="24"/>
        </w:rPr>
      </w:pPr>
      <w:r w:rsidRPr="005363DB">
        <w:rPr>
          <w:rFonts w:ascii="標楷體" w:eastAsia="標楷體" w:hAnsi="標楷體" w:cs="BiauKai" w:hint="eastAsia"/>
          <w:kern w:val="2"/>
          <w:szCs w:val="24"/>
        </w:rPr>
        <w:lastRenderedPageBreak/>
        <w:t>有</w:t>
      </w:r>
      <w:r w:rsidRPr="005363DB">
        <w:rPr>
          <w:rFonts w:ascii="標楷體" w:eastAsia="標楷體" w:hAnsi="標楷體" w:cs="BiauKai" w:hint="eastAsia"/>
          <w:kern w:val="2"/>
        </w:rPr>
        <w:t>三顆以上之腫瘤其直徑大於3公分以上者</w:t>
      </w:r>
      <w:r w:rsidRPr="005363DB">
        <w:rPr>
          <w:rFonts w:ascii="標楷體" w:eastAsia="標楷體" w:hAnsi="標楷體" w:cs="BiauKai" w:hint="eastAsia"/>
          <w:kern w:val="2"/>
          <w:szCs w:val="24"/>
        </w:rPr>
        <w:t>；</w:t>
      </w:r>
    </w:p>
    <w:p w:rsidR="000838F4" w:rsidRPr="005363DB" w:rsidRDefault="000838F4" w:rsidP="000838F4">
      <w:pPr>
        <w:numPr>
          <w:ilvl w:val="0"/>
          <w:numId w:val="24"/>
        </w:numPr>
        <w:suppressAutoHyphens w:val="0"/>
        <w:autoSpaceDN/>
        <w:spacing w:line="400" w:lineRule="exact"/>
        <w:ind w:leftChars="413" w:left="1555" w:hangingChars="235" w:hanging="564"/>
        <w:textAlignment w:val="auto"/>
        <w:rPr>
          <w:rFonts w:ascii="標楷體" w:eastAsia="標楷體" w:hAnsi="標楷體" w:cs="BiauKai"/>
          <w:kern w:val="2"/>
          <w:szCs w:val="24"/>
        </w:rPr>
      </w:pPr>
      <w:r w:rsidRPr="005363DB">
        <w:rPr>
          <w:rFonts w:ascii="標楷體" w:eastAsia="標楷體" w:hAnsi="標楷體" w:cs="BiauKai" w:hint="eastAsia"/>
          <w:kern w:val="2"/>
          <w:szCs w:val="24"/>
        </w:rPr>
        <w:t>脾臟腫大，其長度16公分以上者；</w:t>
      </w:r>
    </w:p>
    <w:p w:rsidR="000838F4" w:rsidRPr="005363DB" w:rsidRDefault="000838F4" w:rsidP="000838F4">
      <w:pPr>
        <w:numPr>
          <w:ilvl w:val="0"/>
          <w:numId w:val="24"/>
        </w:numPr>
        <w:suppressAutoHyphens w:val="0"/>
        <w:autoSpaceDN/>
        <w:spacing w:line="400" w:lineRule="exact"/>
        <w:ind w:left="1560" w:hanging="426"/>
        <w:textAlignment w:val="auto"/>
        <w:rPr>
          <w:rFonts w:ascii="標楷體" w:eastAsia="標楷體" w:hAnsi="標楷體" w:cs="BiauKai"/>
          <w:kern w:val="2"/>
          <w:szCs w:val="24"/>
        </w:rPr>
      </w:pPr>
      <w:r w:rsidRPr="005363DB">
        <w:rPr>
          <w:rFonts w:ascii="標楷體" w:eastAsia="標楷體" w:hAnsi="標楷體" w:cs="BiauKai" w:hint="eastAsia"/>
          <w:kern w:val="2"/>
          <w:szCs w:val="24"/>
        </w:rPr>
        <w:t>對vitalorgans造成擠壓者；</w:t>
      </w:r>
    </w:p>
    <w:p w:rsidR="000838F4" w:rsidRPr="005363DB" w:rsidRDefault="000838F4" w:rsidP="000838F4">
      <w:pPr>
        <w:numPr>
          <w:ilvl w:val="0"/>
          <w:numId w:val="24"/>
        </w:numPr>
        <w:suppressAutoHyphens w:val="0"/>
        <w:autoSpaceDN/>
        <w:spacing w:line="400" w:lineRule="exact"/>
        <w:ind w:left="1560" w:hanging="360"/>
        <w:textAlignment w:val="auto"/>
        <w:rPr>
          <w:rFonts w:ascii="標楷體" w:eastAsia="標楷體" w:hAnsi="標楷體" w:cs="BiauKai"/>
          <w:kern w:val="2"/>
          <w:szCs w:val="24"/>
        </w:rPr>
      </w:pPr>
      <w:r w:rsidRPr="005363DB">
        <w:rPr>
          <w:rFonts w:ascii="標楷體" w:eastAsia="標楷體" w:hAnsi="標楷體" w:cs="BiauKai" w:hint="eastAsia"/>
          <w:kern w:val="2"/>
          <w:szCs w:val="24"/>
        </w:rPr>
        <w:t>周邊血中出現淋巴球增生超過5000/ mm</w:t>
      </w:r>
      <w:r w:rsidRPr="005363DB">
        <w:rPr>
          <w:rFonts w:ascii="標楷體" w:eastAsia="標楷體" w:hAnsi="標楷體" w:cs="BiauKai" w:hint="eastAsia"/>
          <w:kern w:val="2"/>
          <w:szCs w:val="24"/>
          <w:vertAlign w:val="superscript"/>
        </w:rPr>
        <w:t>3</w:t>
      </w:r>
      <w:r w:rsidRPr="005363DB">
        <w:rPr>
          <w:rFonts w:ascii="標楷體" w:eastAsia="標楷體" w:hAnsi="標楷體" w:cs="BiauKai" w:hint="eastAsia"/>
          <w:kern w:val="2"/>
          <w:szCs w:val="24"/>
        </w:rPr>
        <w:t>者；</w:t>
      </w:r>
    </w:p>
    <w:p w:rsidR="000838F4" w:rsidRPr="005363DB" w:rsidRDefault="000838F4" w:rsidP="000838F4">
      <w:pPr>
        <w:numPr>
          <w:ilvl w:val="0"/>
          <w:numId w:val="24"/>
        </w:numPr>
        <w:suppressAutoHyphens w:val="0"/>
        <w:autoSpaceDN/>
        <w:spacing w:line="400" w:lineRule="exact"/>
        <w:ind w:left="1560" w:hanging="426"/>
        <w:textAlignment w:val="auto"/>
        <w:rPr>
          <w:rFonts w:ascii="標楷體" w:eastAsia="標楷體" w:hAnsi="標楷體" w:cs="BiauKai"/>
          <w:kern w:val="2"/>
          <w:szCs w:val="24"/>
        </w:rPr>
      </w:pPr>
      <w:r w:rsidRPr="005363DB">
        <w:rPr>
          <w:rFonts w:ascii="標楷體" w:eastAsia="標楷體" w:hAnsi="標楷體" w:cs="BiauKai" w:hint="eastAsia"/>
          <w:kern w:val="2"/>
          <w:szCs w:val="24"/>
        </w:rPr>
        <w:t>出現任一系列血球低下者（platelet&lt;100,000/ mm</w:t>
      </w:r>
      <w:r w:rsidRPr="005363DB">
        <w:rPr>
          <w:rFonts w:ascii="標楷體" w:eastAsia="標楷體" w:hAnsi="標楷體" w:cs="BiauKai" w:hint="eastAsia"/>
          <w:kern w:val="2"/>
          <w:szCs w:val="24"/>
          <w:vertAlign w:val="superscript"/>
        </w:rPr>
        <w:t>3</w:t>
      </w:r>
      <w:r w:rsidRPr="005363DB">
        <w:rPr>
          <w:rFonts w:ascii="標楷體" w:eastAsia="標楷體" w:hAnsi="標楷體" w:cs="BiauKai" w:hint="eastAsia"/>
          <w:kern w:val="2"/>
          <w:szCs w:val="24"/>
        </w:rPr>
        <w:t>，或 Hb&lt;10gm/dL，或absolute neutrophil count&lt;1500/mm</w:t>
      </w:r>
      <w:r w:rsidRPr="005363DB">
        <w:rPr>
          <w:rFonts w:ascii="標楷體" w:eastAsia="標楷體" w:hAnsi="標楷體" w:cs="BiauKai" w:hint="eastAsia"/>
          <w:kern w:val="2"/>
          <w:szCs w:val="24"/>
          <w:vertAlign w:val="superscript"/>
        </w:rPr>
        <w:t>3</w:t>
      </w:r>
      <w:r w:rsidRPr="005363DB">
        <w:rPr>
          <w:rFonts w:ascii="標楷體" w:eastAsia="標楷體" w:hAnsi="標楷體" w:cs="BiauKai" w:hint="eastAsia"/>
          <w:kern w:val="2"/>
          <w:szCs w:val="24"/>
        </w:rPr>
        <w:t>)。</w:t>
      </w:r>
    </w:p>
    <w:p w:rsidR="000838F4" w:rsidRPr="005363DB" w:rsidRDefault="000838F4" w:rsidP="000838F4">
      <w:pPr>
        <w:numPr>
          <w:ilvl w:val="0"/>
          <w:numId w:val="24"/>
        </w:numPr>
        <w:suppressAutoHyphens w:val="0"/>
        <w:autoSpaceDN/>
        <w:spacing w:line="400" w:lineRule="exact"/>
        <w:ind w:left="1560" w:hanging="567"/>
        <w:textAlignment w:val="auto"/>
        <w:rPr>
          <w:rFonts w:ascii="標楷體" w:eastAsia="標楷體" w:hAnsi="標楷體" w:cs="BiauKai"/>
          <w:kern w:val="2"/>
          <w:szCs w:val="24"/>
        </w:rPr>
      </w:pPr>
      <w:r w:rsidRPr="005363DB">
        <w:rPr>
          <w:rFonts w:ascii="標楷體" w:eastAsia="標楷體" w:hAnsi="標楷體" w:cs="BiauKai" w:hint="eastAsia"/>
          <w:kern w:val="2"/>
          <w:szCs w:val="24"/>
        </w:rPr>
        <w:t>B symptoms。</w:t>
      </w:r>
    </w:p>
    <w:p w:rsidR="000838F4" w:rsidRDefault="000838F4" w:rsidP="000838F4">
      <w:pPr>
        <w:numPr>
          <w:ilvl w:val="1"/>
          <w:numId w:val="25"/>
        </w:numPr>
        <w:suppressAutoHyphens w:val="0"/>
        <w:autoSpaceDN/>
        <w:spacing w:line="400" w:lineRule="exact"/>
        <w:ind w:left="1276" w:hanging="425"/>
        <w:textAlignment w:val="auto"/>
        <w:rPr>
          <w:rFonts w:ascii="標楷體" w:eastAsia="標楷體" w:hAnsi="標楷體" w:cs="BiauKai"/>
          <w:kern w:val="2"/>
          <w:szCs w:val="24"/>
        </w:rPr>
      </w:pPr>
      <w:r w:rsidRPr="005363DB">
        <w:rPr>
          <w:rFonts w:ascii="標楷體" w:eastAsia="標楷體" w:hAnsi="標楷體" w:cs="BiauKai" w:hint="eastAsia"/>
          <w:kern w:val="2"/>
          <w:szCs w:val="24"/>
        </w:rPr>
        <w:t>需經事前審查核准後使用</w:t>
      </w:r>
      <w:r w:rsidRPr="005363DB">
        <w:rPr>
          <w:rFonts w:ascii="標楷體" w:eastAsia="標楷體" w:hAnsi="標楷體" w:cstheme="minorBidi" w:hint="eastAsia"/>
          <w:kern w:val="2"/>
          <w:szCs w:val="24"/>
        </w:rPr>
        <w:t>(事審代碼：C82N</w:t>
      </w:r>
      <w:r>
        <w:rPr>
          <w:rFonts w:ascii="標楷體" w:eastAsia="標楷體" w:hAnsi="標楷體" w:cstheme="minorBidi" w:hint="eastAsia"/>
          <w:kern w:val="2"/>
          <w:szCs w:val="24"/>
        </w:rPr>
        <w:t>3</w:t>
      </w:r>
      <w:r w:rsidRPr="005363DB">
        <w:rPr>
          <w:rFonts w:ascii="標楷體" w:eastAsia="標楷體" w:hAnsi="標楷體" w:cstheme="minorBidi" w:hint="eastAsia"/>
          <w:kern w:val="2"/>
          <w:szCs w:val="24"/>
        </w:rPr>
        <w:t>)</w:t>
      </w:r>
      <w:r w:rsidRPr="005363DB">
        <w:rPr>
          <w:rFonts w:ascii="標楷體" w:eastAsia="標楷體" w:hAnsi="標楷體" w:cs="BiauKai" w:hint="eastAsia"/>
          <w:kern w:val="2"/>
          <w:szCs w:val="24"/>
        </w:rPr>
        <w:t>，每3個月需再次申請，再次申請時需檢附療效評估資料，若未達partial remission或 complete remission，則不予給付。</w:t>
      </w:r>
    </w:p>
    <w:p w:rsidR="000838F4" w:rsidRDefault="000838F4" w:rsidP="000838F4">
      <w:pPr>
        <w:numPr>
          <w:ilvl w:val="1"/>
          <w:numId w:val="25"/>
        </w:numPr>
        <w:suppressAutoHyphens w:val="0"/>
        <w:autoSpaceDN/>
        <w:spacing w:line="400" w:lineRule="exact"/>
        <w:ind w:left="1276" w:hanging="425"/>
        <w:textAlignment w:val="auto"/>
        <w:rPr>
          <w:rFonts w:ascii="標楷體" w:eastAsia="標楷體" w:hAnsi="標楷體" w:cs="BiauKai"/>
          <w:kern w:val="2"/>
          <w:szCs w:val="24"/>
        </w:rPr>
      </w:pPr>
      <w:r w:rsidRPr="0074474A">
        <w:rPr>
          <w:rFonts w:ascii="標楷體" w:eastAsia="標楷體" w:hAnsi="標楷體" w:cs="BiauKai" w:hint="eastAsia"/>
          <w:kern w:val="2"/>
          <w:szCs w:val="24"/>
        </w:rPr>
        <w:t>總療程以全部24個月為上限。Zanubrutinib每日至多處方4粒。</w:t>
      </w:r>
    </w:p>
    <w:p w:rsidR="000838F4" w:rsidRDefault="000838F4" w:rsidP="000838F4">
      <w:pPr>
        <w:numPr>
          <w:ilvl w:val="0"/>
          <w:numId w:val="47"/>
        </w:numPr>
        <w:suppressAutoHyphens w:val="0"/>
        <w:autoSpaceDN/>
        <w:spacing w:line="400" w:lineRule="exact"/>
        <w:ind w:left="567" w:hanging="283"/>
        <w:textAlignment w:val="auto"/>
        <w:rPr>
          <w:rFonts w:ascii="標楷體" w:eastAsia="標楷體" w:hAnsi="標楷體" w:cs="BiauKai"/>
          <w:kern w:val="2"/>
          <w:szCs w:val="24"/>
        </w:rPr>
      </w:pPr>
      <w:r w:rsidRPr="00170338">
        <w:rPr>
          <w:rFonts w:ascii="標楷體" w:eastAsia="標楷體" w:hAnsi="標楷體" w:cs="BiauKai" w:hint="eastAsia"/>
          <w:kern w:val="2"/>
          <w:szCs w:val="24"/>
        </w:rPr>
        <w:t>單獨使用於慢性淋巴球性白血病(CLL)成人病人。(114/10/1)</w:t>
      </w:r>
    </w:p>
    <w:p w:rsidR="000838F4" w:rsidRDefault="000838F4" w:rsidP="000838F4">
      <w:pPr>
        <w:numPr>
          <w:ilvl w:val="0"/>
          <w:numId w:val="48"/>
        </w:numPr>
        <w:suppressAutoHyphens w:val="0"/>
        <w:autoSpaceDN/>
        <w:spacing w:line="400" w:lineRule="exact"/>
        <w:ind w:left="1276" w:hanging="425"/>
        <w:textAlignment w:val="auto"/>
        <w:rPr>
          <w:rFonts w:ascii="標楷體" w:eastAsia="標楷體" w:hAnsi="標楷體" w:cs="BiauKai"/>
          <w:kern w:val="2"/>
          <w:szCs w:val="24"/>
        </w:rPr>
      </w:pPr>
      <w:r w:rsidRPr="00170338">
        <w:rPr>
          <w:rFonts w:ascii="標楷體" w:eastAsia="標楷體" w:hAnsi="標楷體" w:cs="BiauKai" w:hint="eastAsia"/>
          <w:kern w:val="2"/>
          <w:szCs w:val="24"/>
        </w:rPr>
        <w:t>ECOG 分數須≦2。</w:t>
      </w:r>
    </w:p>
    <w:p w:rsidR="000838F4" w:rsidRDefault="000838F4" w:rsidP="000838F4">
      <w:pPr>
        <w:numPr>
          <w:ilvl w:val="0"/>
          <w:numId w:val="48"/>
        </w:numPr>
        <w:suppressAutoHyphens w:val="0"/>
        <w:autoSpaceDN/>
        <w:spacing w:line="400" w:lineRule="exact"/>
        <w:ind w:left="1276" w:hanging="425"/>
        <w:textAlignment w:val="auto"/>
        <w:rPr>
          <w:rFonts w:ascii="標楷體" w:eastAsia="標楷體" w:hAnsi="標楷體" w:cs="BiauKai"/>
          <w:kern w:val="2"/>
          <w:szCs w:val="24"/>
        </w:rPr>
      </w:pPr>
      <w:r w:rsidRPr="006915F1">
        <w:rPr>
          <w:rFonts w:ascii="標楷體" w:eastAsia="標楷體" w:hAnsi="標楷體" w:cs="BiauKai" w:hint="eastAsia"/>
          <w:kern w:val="2"/>
          <w:szCs w:val="24"/>
        </w:rPr>
        <w:t>需符合下列任一情況：</w:t>
      </w:r>
    </w:p>
    <w:p w:rsidR="000838F4" w:rsidRDefault="000838F4" w:rsidP="000838F4">
      <w:pPr>
        <w:pStyle w:val="a9"/>
        <w:numPr>
          <w:ilvl w:val="0"/>
          <w:numId w:val="50"/>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具有17p缺失</w:t>
      </w:r>
      <w:r>
        <w:rPr>
          <w:rFonts w:ascii="標楷體" w:eastAsia="標楷體" w:hAnsi="標楷體" w:cs="BiauKai" w:hint="eastAsia"/>
          <w:kern w:val="2"/>
        </w:rPr>
        <w:t>。</w:t>
      </w:r>
    </w:p>
    <w:p w:rsidR="000838F4" w:rsidRDefault="000838F4" w:rsidP="000838F4">
      <w:pPr>
        <w:pStyle w:val="a9"/>
        <w:numPr>
          <w:ilvl w:val="0"/>
          <w:numId w:val="50"/>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非IGHV突變且曾接受至少1種包括alkylating agent與anti-CD20(如R-CVP、RCHOP、rituximab加bendamustine等)的治療2個療程以上仍惡化或復發者</w:t>
      </w:r>
      <w:r>
        <w:rPr>
          <w:rFonts w:ascii="標楷體" w:eastAsia="標楷體" w:hAnsi="標楷體" w:cs="BiauKai" w:hint="eastAsia"/>
          <w:kern w:val="2"/>
        </w:rPr>
        <w:t>。</w:t>
      </w:r>
    </w:p>
    <w:p w:rsidR="000838F4" w:rsidRPr="006915F1" w:rsidRDefault="000838F4" w:rsidP="000838F4">
      <w:pPr>
        <w:pStyle w:val="a9"/>
        <w:numPr>
          <w:ilvl w:val="0"/>
          <w:numId w:val="50"/>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CLL病人需先前曾接受至少2線治療(排除僅有口服藥物之療程)，治療中須包括alkylating agent與anti-CD20(如R-CVP、RCHOP、rituximab加bendamustine等)的治療，每線治療至少2個療程以上後，仍惡化或復發者</w:t>
      </w:r>
      <w:r>
        <w:rPr>
          <w:rFonts w:ascii="標楷體" w:eastAsia="標楷體" w:hAnsi="標楷體" w:cs="BiauKai" w:hint="eastAsia"/>
          <w:kern w:val="2"/>
        </w:rPr>
        <w:t>。</w:t>
      </w:r>
    </w:p>
    <w:p w:rsidR="000838F4" w:rsidRDefault="000838F4" w:rsidP="000838F4">
      <w:pPr>
        <w:numPr>
          <w:ilvl w:val="0"/>
          <w:numId w:val="48"/>
        </w:numPr>
        <w:suppressAutoHyphens w:val="0"/>
        <w:autoSpaceDN/>
        <w:spacing w:line="400" w:lineRule="exact"/>
        <w:ind w:left="1276" w:hanging="425"/>
        <w:textAlignment w:val="auto"/>
        <w:rPr>
          <w:rFonts w:ascii="標楷體" w:eastAsia="標楷體" w:hAnsi="標楷體" w:cs="BiauKai"/>
          <w:kern w:val="2"/>
          <w:szCs w:val="24"/>
        </w:rPr>
      </w:pPr>
      <w:r w:rsidRPr="006915F1">
        <w:rPr>
          <w:rFonts w:ascii="標楷體" w:eastAsia="標楷體" w:hAnsi="標楷體" w:cs="BiauKai" w:hint="eastAsia"/>
          <w:kern w:val="2"/>
          <w:szCs w:val="24"/>
        </w:rPr>
        <w:t>開始使用前之疾病狀態需出現下列任一情形：</w:t>
      </w:r>
    </w:p>
    <w:p w:rsidR="000838F4" w:rsidRDefault="000838F4" w:rsidP="000838F4">
      <w:pPr>
        <w:pStyle w:val="a9"/>
        <w:numPr>
          <w:ilvl w:val="0"/>
          <w:numId w:val="49"/>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進行性的血液相惡化至Hb &lt; 10.0 gm/dL或PLT &lt; 100 K/uL，且無其他原因可以解釋</w:t>
      </w:r>
      <w:r>
        <w:rPr>
          <w:rFonts w:ascii="標楷體" w:eastAsia="標楷體" w:hAnsi="標楷體" w:cs="BiauKai" w:hint="eastAsia"/>
          <w:kern w:val="2"/>
        </w:rPr>
        <w:t>。</w:t>
      </w:r>
    </w:p>
    <w:p w:rsidR="000838F4" w:rsidRDefault="000838F4" w:rsidP="000838F4">
      <w:pPr>
        <w:pStyle w:val="a9"/>
        <w:numPr>
          <w:ilvl w:val="0"/>
          <w:numId w:val="49"/>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脾臟腫大超過左肋骨下緣</w:t>
      </w:r>
      <w:r w:rsidRPr="006915F1">
        <w:rPr>
          <w:rFonts w:ascii="標楷體" w:eastAsia="標楷體" w:hAnsi="標楷體" w:cs="BiauKai"/>
          <w:kern w:val="2"/>
        </w:rPr>
        <w:t>6cm</w:t>
      </w:r>
      <w:r>
        <w:rPr>
          <w:rFonts w:ascii="標楷體" w:eastAsia="標楷體" w:hAnsi="標楷體" w:cs="BiauKai" w:hint="eastAsia"/>
          <w:kern w:val="2"/>
        </w:rPr>
        <w:t>。</w:t>
      </w:r>
    </w:p>
    <w:p w:rsidR="000838F4" w:rsidRDefault="000838F4" w:rsidP="000838F4">
      <w:pPr>
        <w:pStyle w:val="a9"/>
        <w:numPr>
          <w:ilvl w:val="0"/>
          <w:numId w:val="49"/>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淋巴結腫大，最長徑超過</w:t>
      </w:r>
      <w:r w:rsidRPr="006915F1">
        <w:rPr>
          <w:rFonts w:ascii="標楷體" w:eastAsia="標楷體" w:hAnsi="標楷體" w:cs="BiauKai"/>
          <w:kern w:val="2"/>
        </w:rPr>
        <w:t>10cm</w:t>
      </w:r>
      <w:r>
        <w:rPr>
          <w:rFonts w:ascii="標楷體" w:eastAsia="標楷體" w:hAnsi="標楷體" w:cs="BiauKai" w:hint="eastAsia"/>
          <w:kern w:val="2"/>
        </w:rPr>
        <w:t>。</w:t>
      </w:r>
    </w:p>
    <w:p w:rsidR="000838F4" w:rsidRDefault="000838F4" w:rsidP="000838F4">
      <w:pPr>
        <w:pStyle w:val="a9"/>
        <w:numPr>
          <w:ilvl w:val="0"/>
          <w:numId w:val="49"/>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周邊血液淋巴球在2個月內增加50%以上，或倍增時間(doubling time)小於6個月</w:t>
      </w:r>
      <w:r>
        <w:rPr>
          <w:rFonts w:ascii="標楷體" w:eastAsia="標楷體" w:hAnsi="標楷體" w:cs="BiauKai" w:hint="eastAsia"/>
          <w:kern w:val="2"/>
        </w:rPr>
        <w:t>。</w:t>
      </w:r>
    </w:p>
    <w:p w:rsidR="000838F4" w:rsidRDefault="000838F4" w:rsidP="000838F4">
      <w:pPr>
        <w:pStyle w:val="a9"/>
        <w:numPr>
          <w:ilvl w:val="0"/>
          <w:numId w:val="49"/>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出現自體免疫併發症，且經類固醇治療無效。</w:t>
      </w:r>
    </w:p>
    <w:p w:rsidR="000838F4" w:rsidRPr="006915F1" w:rsidRDefault="000838F4" w:rsidP="000838F4">
      <w:pPr>
        <w:pStyle w:val="a9"/>
        <w:numPr>
          <w:ilvl w:val="0"/>
          <w:numId w:val="49"/>
        </w:numPr>
        <w:suppressAutoHyphens w:val="0"/>
        <w:autoSpaceDN/>
        <w:spacing w:line="400" w:lineRule="exact"/>
        <w:textAlignment w:val="auto"/>
        <w:rPr>
          <w:rFonts w:ascii="標楷體" w:eastAsia="標楷體" w:hAnsi="標楷體" w:cs="BiauKai"/>
          <w:kern w:val="2"/>
        </w:rPr>
      </w:pPr>
      <w:r w:rsidRPr="006915F1">
        <w:rPr>
          <w:rFonts w:ascii="標楷體" w:eastAsia="標楷體" w:hAnsi="標楷體" w:cs="BiauKai" w:hint="eastAsia"/>
          <w:kern w:val="2"/>
        </w:rPr>
        <w:t>出現具症狀的淋巴結外病灶</w:t>
      </w:r>
      <w:r>
        <w:rPr>
          <w:rFonts w:ascii="標楷體" w:eastAsia="標楷體" w:hAnsi="標楷體" w:cs="BiauKai" w:hint="eastAsia"/>
          <w:kern w:val="2"/>
        </w:rPr>
        <w:t>。</w:t>
      </w:r>
    </w:p>
    <w:p w:rsidR="000838F4" w:rsidRDefault="000838F4" w:rsidP="000838F4">
      <w:pPr>
        <w:numPr>
          <w:ilvl w:val="0"/>
          <w:numId w:val="48"/>
        </w:numPr>
        <w:suppressAutoHyphens w:val="0"/>
        <w:autoSpaceDN/>
        <w:spacing w:line="400" w:lineRule="exact"/>
        <w:ind w:left="1276" w:hanging="425"/>
        <w:textAlignment w:val="auto"/>
        <w:rPr>
          <w:rFonts w:ascii="標楷體" w:eastAsia="標楷體" w:hAnsi="標楷體" w:cs="BiauKai"/>
          <w:kern w:val="2"/>
          <w:szCs w:val="24"/>
        </w:rPr>
      </w:pPr>
      <w:r w:rsidRPr="006915F1">
        <w:rPr>
          <w:rFonts w:ascii="標楷體" w:eastAsia="標楷體" w:hAnsi="標楷體" w:cs="BiauKai" w:hint="eastAsia"/>
          <w:kern w:val="2"/>
          <w:szCs w:val="24"/>
        </w:rPr>
        <w:t>需經事前審查核准後使用(事審代碼：C91N1)，每3個月需再次申請。再次申請時需檢附療效評估資料，若未達iwCLL (International Workshop on CLL)最新定義之partial remission或complete remission，則不予給付</w:t>
      </w:r>
      <w:r>
        <w:rPr>
          <w:rFonts w:ascii="標楷體" w:eastAsia="標楷體" w:hAnsi="標楷體" w:cs="BiauKai" w:hint="eastAsia"/>
          <w:kern w:val="2"/>
          <w:szCs w:val="24"/>
        </w:rPr>
        <w:t>。</w:t>
      </w:r>
    </w:p>
    <w:p w:rsidR="000838F4" w:rsidRDefault="000838F4" w:rsidP="000838F4">
      <w:pPr>
        <w:numPr>
          <w:ilvl w:val="0"/>
          <w:numId w:val="48"/>
        </w:numPr>
        <w:suppressAutoHyphens w:val="0"/>
        <w:autoSpaceDN/>
        <w:spacing w:line="400" w:lineRule="exact"/>
        <w:ind w:left="1276" w:hanging="425"/>
        <w:textAlignment w:val="auto"/>
        <w:rPr>
          <w:rFonts w:ascii="標楷體" w:eastAsia="標楷體" w:hAnsi="標楷體" w:cs="BiauKai"/>
          <w:kern w:val="2"/>
          <w:szCs w:val="24"/>
        </w:rPr>
      </w:pPr>
      <w:r w:rsidRPr="006915F1">
        <w:rPr>
          <w:rFonts w:ascii="標楷體" w:eastAsia="標楷體" w:hAnsi="標楷體" w:cs="BiauKai" w:hint="eastAsia"/>
          <w:kern w:val="2"/>
          <w:szCs w:val="24"/>
        </w:rPr>
        <w:t>在具有17缺失病人，acalabrutinib、ibrutinib、venetoclax與zanubrutinib四者僅能擇一使用，唯有在出現無法忍受其副作用時方可互換。</w:t>
      </w:r>
      <w:r w:rsidRPr="006915F1">
        <w:rPr>
          <w:rFonts w:ascii="標楷體" w:eastAsia="標楷體" w:hAnsi="標楷體" w:cs="BiauKai" w:hint="eastAsia"/>
          <w:kern w:val="2"/>
          <w:szCs w:val="24"/>
        </w:rPr>
        <w:lastRenderedPageBreak/>
        <w:t>四者使用總療程合併計算，以全部24個月為上限。</w:t>
      </w:r>
    </w:p>
    <w:p w:rsidR="000838F4" w:rsidRDefault="000838F4" w:rsidP="000838F4">
      <w:pPr>
        <w:numPr>
          <w:ilvl w:val="0"/>
          <w:numId w:val="48"/>
        </w:numPr>
        <w:suppressAutoHyphens w:val="0"/>
        <w:autoSpaceDN/>
        <w:spacing w:line="400" w:lineRule="exact"/>
        <w:ind w:left="1276" w:hanging="425"/>
        <w:textAlignment w:val="auto"/>
        <w:rPr>
          <w:rFonts w:ascii="標楷體" w:eastAsia="標楷體" w:hAnsi="標楷體" w:cs="BiauKai"/>
          <w:kern w:val="2"/>
          <w:szCs w:val="24"/>
        </w:rPr>
      </w:pPr>
      <w:r w:rsidRPr="006915F1">
        <w:rPr>
          <w:rFonts w:ascii="標楷體" w:eastAsia="標楷體" w:hAnsi="標楷體" w:cs="BiauKai" w:hint="eastAsia"/>
          <w:kern w:val="2"/>
          <w:szCs w:val="24"/>
        </w:rPr>
        <w:t>在非IGHV突變二線以上病人及CLL三線以上病人，acalabrutinib與zanubrutinib二者僅能擇一使用，唯有在出現無法忍受其副作用時方可互換。二者使用總療程合併計算，以全部24個月為上限。</w:t>
      </w:r>
    </w:p>
    <w:p w:rsidR="005363DB" w:rsidRPr="0074474A" w:rsidRDefault="000838F4" w:rsidP="000838F4">
      <w:pPr>
        <w:numPr>
          <w:ilvl w:val="0"/>
          <w:numId w:val="48"/>
        </w:numPr>
        <w:suppressAutoHyphens w:val="0"/>
        <w:autoSpaceDN/>
        <w:spacing w:line="400" w:lineRule="exact"/>
        <w:ind w:left="1276" w:hanging="425"/>
        <w:textAlignment w:val="auto"/>
        <w:rPr>
          <w:rFonts w:ascii="標楷體" w:eastAsia="標楷體" w:hAnsi="標楷體" w:cs="BiauKai"/>
          <w:kern w:val="2"/>
          <w:szCs w:val="24"/>
        </w:rPr>
      </w:pPr>
      <w:r w:rsidRPr="006915F1">
        <w:rPr>
          <w:rFonts w:ascii="標楷體" w:eastAsia="標楷體" w:hAnsi="標楷體" w:cs="BiauKai" w:hint="eastAsia"/>
          <w:kern w:val="2"/>
          <w:szCs w:val="24"/>
        </w:rPr>
        <w:t>每日至多處方4粒</w:t>
      </w:r>
      <w:r>
        <w:rPr>
          <w:rFonts w:ascii="標楷體" w:eastAsia="標楷體" w:hAnsi="標楷體" w:cs="BiauKai" w:hint="eastAsia"/>
          <w:kern w:val="2"/>
          <w:szCs w:val="24"/>
        </w:rPr>
        <w:t>。</w:t>
      </w:r>
      <w:bookmarkEnd w:id="41"/>
    </w:p>
    <w:p w:rsidR="00517C45" w:rsidRPr="00803B45" w:rsidRDefault="00517C45" w:rsidP="00517C45">
      <w:pPr>
        <w:spacing w:line="400" w:lineRule="exact"/>
        <w:ind w:left="142"/>
        <w:rPr>
          <w:rFonts w:ascii="標楷體" w:eastAsia="標楷體" w:hAnsi="標楷體"/>
          <w:szCs w:val="24"/>
        </w:rPr>
      </w:pPr>
      <w:bookmarkStart w:id="42" w:name="_Hlk204085052"/>
      <w:r w:rsidRPr="00803B45">
        <w:rPr>
          <w:rFonts w:ascii="標楷體" w:eastAsia="標楷體" w:hAnsi="標楷體"/>
          <w:szCs w:val="24"/>
        </w:rPr>
        <w:t>9.105.Polatuzumab vedotin (如Polivy)：(113/2/1</w:t>
      </w:r>
      <w:r w:rsidRPr="00803B45">
        <w:rPr>
          <w:rFonts w:ascii="標楷體" w:eastAsia="標楷體" w:hAnsi="標楷體" w:hint="eastAsia"/>
        </w:rPr>
        <w:t>、114/8/1</w:t>
      </w:r>
      <w:r w:rsidRPr="00803B45">
        <w:rPr>
          <w:rFonts w:ascii="標楷體" w:eastAsia="標楷體" w:hAnsi="標楷體"/>
          <w:szCs w:val="24"/>
        </w:rPr>
        <w:t>)</w:t>
      </w:r>
    </w:p>
    <w:p w:rsidR="00517C45" w:rsidRPr="00803B45" w:rsidRDefault="00517C45" w:rsidP="00517C45">
      <w:pPr>
        <w:pStyle w:val="a9"/>
        <w:spacing w:line="400" w:lineRule="exact"/>
        <w:ind w:left="993" w:hanging="284"/>
        <w:rPr>
          <w:rFonts w:ascii="標楷體" w:eastAsia="標楷體" w:hAnsi="標楷體"/>
        </w:rPr>
      </w:pPr>
      <w:r w:rsidRPr="00803B45">
        <w:rPr>
          <w:rFonts w:ascii="標楷體" w:eastAsia="標楷體" w:hAnsi="標楷體"/>
        </w:rPr>
        <w:t>1.限與bendamustine和rituximab併用，適用於第三線治療復發型（relapsed）或難治型（refractory）且未曾接受及不適合接受造血幹細胞移植的瀰漫性大型B細胞淋巴瘤（DLBCL）成年病人，並須完全符合下列條件：</w:t>
      </w:r>
    </w:p>
    <w:p w:rsidR="00517C45" w:rsidRPr="00803B45" w:rsidRDefault="00517C45" w:rsidP="00517C45">
      <w:pPr>
        <w:pStyle w:val="a9"/>
        <w:spacing w:line="400" w:lineRule="exact"/>
        <w:ind w:left="1276" w:hanging="284"/>
        <w:rPr>
          <w:rFonts w:ascii="標楷體" w:eastAsia="標楷體" w:hAnsi="標楷體"/>
        </w:rPr>
      </w:pPr>
      <w:r w:rsidRPr="00803B45">
        <w:rPr>
          <w:rFonts w:ascii="標楷體" w:eastAsia="標楷體" w:hAnsi="標楷體"/>
        </w:rPr>
        <w:t>(1)ECOG分數≦2。</w:t>
      </w:r>
    </w:p>
    <w:p w:rsidR="00517C45" w:rsidRPr="00803B45" w:rsidRDefault="00517C45" w:rsidP="00517C45">
      <w:pPr>
        <w:pStyle w:val="a9"/>
        <w:spacing w:line="400" w:lineRule="exact"/>
        <w:ind w:left="1276" w:hanging="284"/>
        <w:rPr>
          <w:rFonts w:ascii="標楷體" w:eastAsia="標楷體" w:hAnsi="標楷體"/>
        </w:rPr>
      </w:pPr>
      <w:r w:rsidRPr="00803B45">
        <w:rPr>
          <w:rFonts w:ascii="標楷體" w:eastAsia="標楷體" w:hAnsi="標楷體"/>
        </w:rPr>
        <w:t>(2)未曾接受幹細胞移植且需先經兩位曾接受血液及骨髓移植訓練並合格之醫師評估為不適合接受移植之病人並滿足下列條件之一：</w:t>
      </w:r>
    </w:p>
    <w:p w:rsidR="00517C45" w:rsidRPr="00803B45" w:rsidRDefault="00517C45" w:rsidP="00517C45">
      <w:pPr>
        <w:pStyle w:val="a9"/>
        <w:spacing w:line="400" w:lineRule="exact"/>
        <w:ind w:left="1701" w:hanging="397"/>
        <w:rPr>
          <w:rFonts w:ascii="標楷體" w:eastAsia="標楷體" w:hAnsi="標楷體"/>
        </w:rPr>
      </w:pPr>
      <w:r w:rsidRPr="00803B45">
        <w:rPr>
          <w:rFonts w:ascii="標楷體" w:eastAsia="標楷體" w:hAnsi="標楷體"/>
        </w:rPr>
        <w:t>Ⅰ.年齡在65歲（含）以上，且使用過的第二線治療含鉑類藥物（cisplatin、oxaliplatin、carboplatin）後，以影像學檢查證實疾病惡化中。</w:t>
      </w:r>
    </w:p>
    <w:p w:rsidR="00517C45" w:rsidRPr="00803B45" w:rsidRDefault="00517C45" w:rsidP="00517C45">
      <w:pPr>
        <w:pStyle w:val="a9"/>
        <w:spacing w:line="400" w:lineRule="exact"/>
        <w:ind w:left="1701" w:hanging="397"/>
        <w:rPr>
          <w:rFonts w:ascii="標楷體" w:eastAsia="標楷體" w:hAnsi="標楷體"/>
        </w:rPr>
      </w:pPr>
      <w:r w:rsidRPr="00803B45">
        <w:rPr>
          <w:rFonts w:ascii="標楷體" w:eastAsia="標楷體" w:hAnsi="標楷體"/>
        </w:rPr>
        <w:t>Ⅱ.年齡在65歲以下，符合HCT-CI≧3分，且使用過的第二線治療含鉑類藥物（cisplatin、oxaliplatin、carboplatin）後，以影像學檢查證實疾病惡化中。</w:t>
      </w:r>
    </w:p>
    <w:p w:rsidR="00517C45" w:rsidRPr="00803B45" w:rsidRDefault="00517C45" w:rsidP="00517C45">
      <w:pPr>
        <w:pStyle w:val="a9"/>
        <w:spacing w:line="400" w:lineRule="exact"/>
        <w:ind w:left="1701" w:hanging="397"/>
        <w:rPr>
          <w:rFonts w:ascii="標楷體" w:eastAsia="標楷體" w:hAnsi="標楷體"/>
        </w:rPr>
      </w:pPr>
      <w:r w:rsidRPr="00803B45">
        <w:rPr>
          <w:rFonts w:ascii="標楷體" w:eastAsia="標楷體" w:hAnsi="標楷體"/>
        </w:rPr>
        <w:t>Ⅲ.使用過第二線治療含鉑類藥物（cisplatin、oxaliplatin、carboplatin）後，在收集造血幹細胞時，即使使用plerixafor後收集的CD34陽性原始細胞仍未達每公斤體重200萬顆細胞，且以影像學檢查證實疾病惡化中。</w:t>
      </w:r>
    </w:p>
    <w:p w:rsidR="00517C45" w:rsidRPr="00803B45" w:rsidRDefault="00517C45" w:rsidP="00517C45">
      <w:pPr>
        <w:pStyle w:val="a9"/>
        <w:spacing w:line="400" w:lineRule="exact"/>
        <w:ind w:left="1276" w:hanging="284"/>
        <w:rPr>
          <w:rFonts w:ascii="標楷體" w:eastAsia="標楷體" w:hAnsi="標楷體"/>
        </w:rPr>
      </w:pPr>
      <w:r w:rsidRPr="00803B45">
        <w:rPr>
          <w:rFonts w:ascii="標楷體" w:eastAsia="標楷體" w:hAnsi="標楷體"/>
        </w:rPr>
        <w:t>(3)</w:t>
      </w:r>
      <w:r w:rsidRPr="00803B45">
        <w:rPr>
          <w:rFonts w:ascii="標楷體" w:eastAsia="標楷體" w:hAnsi="標楷體" w:hint="eastAsia"/>
        </w:rPr>
        <w:t>一線曾接受經兩次（含）以上rituximab合併化學治療，治療4個療程以上復發或是於治療中發生疾病惡化者。(113/2/1、114/8/1)</w:t>
      </w:r>
      <w:r w:rsidRPr="00803B45">
        <w:rPr>
          <w:rFonts w:ascii="標楷體" w:eastAsia="標楷體" w:hAnsi="標楷體"/>
        </w:rPr>
        <w:t xml:space="preserve"> </w:t>
      </w:r>
    </w:p>
    <w:p w:rsidR="00517C45" w:rsidRPr="00803B45" w:rsidRDefault="00517C45" w:rsidP="00517C45">
      <w:pPr>
        <w:pStyle w:val="a9"/>
        <w:spacing w:line="400" w:lineRule="exact"/>
        <w:ind w:left="1276" w:hanging="284"/>
        <w:rPr>
          <w:rFonts w:ascii="標楷體" w:eastAsia="標楷體" w:hAnsi="標楷體"/>
        </w:rPr>
      </w:pPr>
      <w:r w:rsidRPr="00803B45">
        <w:rPr>
          <w:rFonts w:ascii="標楷體" w:eastAsia="標楷體" w:hAnsi="標楷體" w:hint="eastAsia"/>
        </w:rPr>
        <w:t>(4)</w:t>
      </w:r>
      <w:r w:rsidRPr="00803B45">
        <w:rPr>
          <w:rFonts w:ascii="標楷體" w:eastAsia="標楷體" w:hAnsi="標楷體" w:hint="eastAsia"/>
        </w:rPr>
        <w:tab/>
        <w:t>救援治療需符合以下任一條件：(114/8/1)</w:t>
      </w:r>
    </w:p>
    <w:p w:rsidR="00517C45" w:rsidRPr="00803B45" w:rsidRDefault="00517C45" w:rsidP="00517C45">
      <w:pPr>
        <w:pStyle w:val="a9"/>
        <w:spacing w:line="400" w:lineRule="exact"/>
        <w:ind w:left="1701" w:hanging="397"/>
        <w:rPr>
          <w:rFonts w:ascii="標楷體" w:eastAsia="標楷體" w:hAnsi="標楷體"/>
        </w:rPr>
      </w:pPr>
      <w:r w:rsidRPr="00803B45">
        <w:rPr>
          <w:rFonts w:ascii="標楷體" w:eastAsia="標楷體" w:hAnsi="標楷體" w:hint="eastAsia"/>
        </w:rPr>
        <w:t>I.</w:t>
      </w:r>
      <w:r w:rsidRPr="00803B45">
        <w:rPr>
          <w:rFonts w:ascii="標楷體" w:eastAsia="標楷體" w:hAnsi="標楷體" w:hint="eastAsia"/>
        </w:rPr>
        <w:tab/>
        <w:t>治療2個療程以上復發或是於治療中發生疾病惡化者。</w:t>
      </w:r>
    </w:p>
    <w:p w:rsidR="00517C45" w:rsidRPr="00803B45" w:rsidRDefault="00517C45" w:rsidP="00517C45">
      <w:pPr>
        <w:pStyle w:val="a9"/>
        <w:spacing w:line="400" w:lineRule="exact"/>
        <w:ind w:left="1701" w:hanging="397"/>
        <w:rPr>
          <w:rFonts w:ascii="標楷體" w:eastAsia="標楷體" w:hAnsi="標楷體"/>
        </w:rPr>
      </w:pPr>
      <w:r w:rsidRPr="00803B45">
        <w:rPr>
          <w:rFonts w:ascii="標楷體" w:eastAsia="標楷體" w:hAnsi="標楷體" w:hint="eastAsia"/>
        </w:rPr>
        <w:t>II.</w:t>
      </w:r>
      <w:r w:rsidRPr="00803B45">
        <w:rPr>
          <w:rFonts w:ascii="標楷體" w:eastAsia="標楷體" w:hAnsi="標楷體" w:hint="eastAsia"/>
        </w:rPr>
        <w:tab/>
        <w:t>經造血幹細胞移植治療失敗者。</w:t>
      </w:r>
    </w:p>
    <w:p w:rsidR="00517C45" w:rsidRPr="00803B45" w:rsidRDefault="00517C45" w:rsidP="00517C45">
      <w:pPr>
        <w:pStyle w:val="a9"/>
        <w:spacing w:line="400" w:lineRule="exact"/>
        <w:ind w:left="993" w:hanging="284"/>
        <w:rPr>
          <w:rFonts w:ascii="標楷體" w:eastAsia="標楷體" w:hAnsi="標楷體"/>
        </w:rPr>
      </w:pPr>
      <w:r w:rsidRPr="00803B45">
        <w:rPr>
          <w:rFonts w:ascii="標楷體" w:eastAsia="標楷體" w:hAnsi="標楷體"/>
        </w:rPr>
        <w:t>2.需經事前審查核准後使用：</w:t>
      </w:r>
    </w:p>
    <w:p w:rsidR="00517C45" w:rsidRPr="00803B45" w:rsidRDefault="00517C45" w:rsidP="00517C45">
      <w:pPr>
        <w:pStyle w:val="a9"/>
        <w:spacing w:line="400" w:lineRule="exact"/>
        <w:ind w:left="1276" w:hanging="284"/>
        <w:rPr>
          <w:rFonts w:ascii="標楷體" w:eastAsia="標楷體" w:hAnsi="標楷體"/>
        </w:rPr>
      </w:pPr>
      <w:r w:rsidRPr="00803B45">
        <w:rPr>
          <w:rFonts w:ascii="標楷體" w:eastAsia="標楷體" w:hAnsi="標楷體"/>
        </w:rPr>
        <w:t>(1)每次申請事前審查以3個療程為限，再次申請必須提出客觀證據（如：影像學）證實無惡化，若病情惡化即不得再次申請。</w:t>
      </w:r>
    </w:p>
    <w:p w:rsidR="00517C45" w:rsidRPr="00803B45" w:rsidRDefault="00517C45" w:rsidP="00517C45">
      <w:pPr>
        <w:pStyle w:val="a9"/>
        <w:spacing w:line="400" w:lineRule="exact"/>
        <w:ind w:left="1276" w:hanging="284"/>
        <w:rPr>
          <w:rFonts w:ascii="標楷體" w:eastAsia="標楷體" w:hAnsi="標楷體"/>
        </w:rPr>
      </w:pPr>
      <w:r w:rsidRPr="00803B45">
        <w:rPr>
          <w:rFonts w:ascii="標楷體" w:eastAsia="標楷體" w:hAnsi="標楷體"/>
        </w:rPr>
        <w:t>(2)每位病人終生限給付6個療程。</w:t>
      </w:r>
    </w:p>
    <w:p w:rsidR="00517C45" w:rsidRPr="00803B45" w:rsidRDefault="00517C45" w:rsidP="00517C45">
      <w:pPr>
        <w:pStyle w:val="a9"/>
        <w:spacing w:line="400" w:lineRule="exact"/>
        <w:ind w:left="993" w:hanging="284"/>
        <w:rPr>
          <w:rFonts w:ascii="標楷體" w:eastAsia="標楷體" w:hAnsi="標楷體"/>
        </w:rPr>
      </w:pPr>
      <w:r w:rsidRPr="00803B45">
        <w:rPr>
          <w:rFonts w:ascii="標楷體" w:eastAsia="標楷體" w:hAnsi="標楷體"/>
        </w:rPr>
        <w:t>3.</w:t>
      </w:r>
      <w:r w:rsidRPr="00803B45">
        <w:rPr>
          <w:rFonts w:ascii="標楷體" w:eastAsia="標楷體" w:hAnsi="標楷體" w:hint="eastAsia"/>
        </w:rPr>
        <w:t>病人接受本藥物治療後，不給付造血幹細胞移植。(113/2/1、114/8/1)</w:t>
      </w:r>
    </w:p>
    <w:p w:rsidR="00517C45" w:rsidRPr="00517C45" w:rsidRDefault="00517C45" w:rsidP="00517C45">
      <w:pPr>
        <w:pStyle w:val="a9"/>
        <w:spacing w:line="400" w:lineRule="exact"/>
        <w:ind w:left="993" w:hanging="284"/>
        <w:rPr>
          <w:rFonts w:ascii="標楷體" w:eastAsia="標楷體" w:hAnsi="標楷體"/>
        </w:rPr>
      </w:pPr>
      <w:r w:rsidRPr="00803B45">
        <w:rPr>
          <w:rFonts w:ascii="標楷體" w:eastAsia="標楷體" w:hAnsi="標楷體" w:hint="eastAsia"/>
        </w:rPr>
        <w:t>4</w:t>
      </w:r>
      <w:r w:rsidRPr="00803B45">
        <w:rPr>
          <w:rFonts w:ascii="標楷體" w:eastAsia="標楷體" w:hAnsi="標楷體"/>
        </w:rPr>
        <w:t>.</w:t>
      </w:r>
      <w:r w:rsidRPr="00803B45">
        <w:rPr>
          <w:rFonts w:ascii="標楷體" w:eastAsia="標楷體" w:hAnsi="標楷體" w:hint="eastAsia"/>
        </w:rPr>
        <w:t>本藥品、glofitamab及epcoritamab僅得擇一給付，治療失敗後不得互換。(114/8/1)</w:t>
      </w:r>
      <w:bookmarkEnd w:id="42"/>
    </w:p>
    <w:p w:rsidR="008B4C4B" w:rsidRPr="00204759" w:rsidRDefault="008B4C4B" w:rsidP="008B4C4B">
      <w:pPr>
        <w:spacing w:line="400" w:lineRule="exact"/>
        <w:ind w:left="30" w:hanging="30"/>
        <w:rPr>
          <w:rFonts w:ascii="標楷體" w:eastAsia="標楷體" w:hAnsi="標楷體"/>
          <w:color w:val="000000"/>
          <w:szCs w:val="24"/>
        </w:rPr>
      </w:pPr>
      <w:r w:rsidRPr="00204759">
        <w:rPr>
          <w:rFonts w:ascii="標楷體" w:eastAsia="標楷體" w:hAnsi="標楷體"/>
          <w:color w:val="000000"/>
          <w:szCs w:val="24"/>
        </w:rPr>
        <w:t>9.106.Sacituzumab govitecan (如Trodelvy）：(113/2/1、114/2/1</w:t>
      </w:r>
      <w:r w:rsidRPr="00204759">
        <w:rPr>
          <w:rFonts w:ascii="標楷體" w:eastAsia="標楷體" w:hAnsi="標楷體" w:hint="eastAsia"/>
          <w:color w:val="000000"/>
          <w:szCs w:val="24"/>
        </w:rPr>
        <w:t>、1</w:t>
      </w:r>
      <w:r w:rsidRPr="00204759">
        <w:rPr>
          <w:rFonts w:ascii="標楷體" w:eastAsia="標楷體" w:hAnsi="標楷體"/>
          <w:color w:val="000000"/>
          <w:szCs w:val="24"/>
        </w:rPr>
        <w:t>14</w:t>
      </w:r>
      <w:r w:rsidRPr="00204759">
        <w:rPr>
          <w:rFonts w:ascii="標楷體" w:eastAsia="標楷體" w:hAnsi="標楷體" w:hint="eastAsia"/>
          <w:color w:val="000000"/>
          <w:szCs w:val="24"/>
        </w:rPr>
        <w:t>/1</w:t>
      </w:r>
      <w:r w:rsidRPr="00204759">
        <w:rPr>
          <w:rFonts w:ascii="標楷體" w:eastAsia="標楷體" w:hAnsi="標楷體"/>
          <w:color w:val="000000"/>
          <w:szCs w:val="24"/>
        </w:rPr>
        <w:t>0</w:t>
      </w:r>
      <w:r w:rsidRPr="00204759">
        <w:rPr>
          <w:rFonts w:ascii="標楷體" w:eastAsia="標楷體" w:hAnsi="標楷體" w:hint="eastAsia"/>
          <w:color w:val="000000"/>
          <w:szCs w:val="24"/>
        </w:rPr>
        <w:t>/1</w:t>
      </w:r>
      <w:r w:rsidRPr="00204759">
        <w:rPr>
          <w:rFonts w:ascii="標楷體" w:eastAsia="標楷體" w:hAnsi="標楷體"/>
          <w:color w:val="000000"/>
          <w:szCs w:val="24"/>
        </w:rPr>
        <w:t>)</w:t>
      </w:r>
    </w:p>
    <w:p w:rsidR="008B4C4B" w:rsidRPr="00204759" w:rsidRDefault="008B4C4B" w:rsidP="008B4C4B">
      <w:pPr>
        <w:spacing w:line="400" w:lineRule="exact"/>
        <w:ind w:left="567" w:hanging="284"/>
        <w:rPr>
          <w:rFonts w:ascii="標楷體" w:eastAsia="標楷體" w:hAnsi="標楷體"/>
          <w:color w:val="000000"/>
          <w:szCs w:val="24"/>
        </w:rPr>
      </w:pPr>
      <w:r w:rsidRPr="00204759">
        <w:rPr>
          <w:rFonts w:ascii="標楷體" w:eastAsia="標楷體" w:hAnsi="標楷體"/>
          <w:color w:val="000000"/>
          <w:szCs w:val="24"/>
        </w:rPr>
        <w:t>1.用於治療先前已接受兩次以上全身性治療無效(其中一次需為治療晚期疾病)之無法切除的局部晚期或轉移性的三陰性乳癌成</w:t>
      </w:r>
      <w:r w:rsidRPr="00204759">
        <w:rPr>
          <w:rFonts w:ascii="標楷體" w:eastAsia="標楷體" w:hAnsi="標楷體" w:hint="eastAsia"/>
          <w:color w:val="000000"/>
          <w:szCs w:val="24"/>
        </w:rPr>
        <w:t>人</w:t>
      </w:r>
      <w:r w:rsidRPr="00204759">
        <w:rPr>
          <w:rFonts w:ascii="標楷體" w:eastAsia="標楷體" w:hAnsi="標楷體"/>
          <w:color w:val="000000"/>
          <w:szCs w:val="24"/>
        </w:rPr>
        <w:t>病人</w:t>
      </w:r>
      <w:r w:rsidRPr="00204759">
        <w:rPr>
          <w:rFonts w:ascii="標楷體" w:eastAsia="標楷體" w:hAnsi="標楷體" w:hint="eastAsia"/>
          <w:color w:val="000000"/>
          <w:szCs w:val="24"/>
        </w:rPr>
        <w:t>。</w:t>
      </w:r>
      <w:r w:rsidRPr="00204759">
        <w:rPr>
          <w:rFonts w:ascii="標楷體" w:eastAsia="標楷體" w:hAnsi="標楷體"/>
          <w:szCs w:val="24"/>
        </w:rPr>
        <w:t>(</w:t>
      </w:r>
      <w:r w:rsidRPr="00204759">
        <w:rPr>
          <w:rFonts w:ascii="標楷體" w:eastAsia="標楷體" w:hAnsi="標楷體" w:hint="eastAsia"/>
          <w:szCs w:val="24"/>
        </w:rPr>
        <w:t>113/2/1、1</w:t>
      </w:r>
      <w:r w:rsidRPr="00204759">
        <w:rPr>
          <w:rFonts w:ascii="標楷體" w:eastAsia="標楷體" w:hAnsi="標楷體"/>
          <w:szCs w:val="24"/>
        </w:rPr>
        <w:t>14/2/1)</w:t>
      </w:r>
    </w:p>
    <w:p w:rsidR="008B4C4B" w:rsidRPr="00204759" w:rsidRDefault="008B4C4B" w:rsidP="008B4C4B">
      <w:pPr>
        <w:tabs>
          <w:tab w:val="left" w:pos="739"/>
        </w:tabs>
        <w:spacing w:line="400" w:lineRule="exact"/>
        <w:ind w:leftChars="136" w:left="566" w:hangingChars="100" w:hanging="240"/>
        <w:rPr>
          <w:rFonts w:ascii="標楷體" w:eastAsia="標楷體" w:hAnsi="標楷體"/>
          <w:szCs w:val="24"/>
        </w:rPr>
      </w:pPr>
      <w:r w:rsidRPr="00204759">
        <w:rPr>
          <w:rFonts w:ascii="標楷體" w:eastAsia="標楷體" w:hAnsi="標楷體" w:hint="eastAsia"/>
          <w:szCs w:val="24"/>
        </w:rPr>
        <w:t>(1)須</w:t>
      </w:r>
      <w:r w:rsidRPr="00204759">
        <w:rPr>
          <w:rFonts w:ascii="標楷體" w:eastAsia="標楷體" w:hAnsi="標楷體"/>
          <w:szCs w:val="24"/>
        </w:rPr>
        <w:t>符合下列各項條件：</w:t>
      </w:r>
    </w:p>
    <w:p w:rsidR="008B4C4B" w:rsidRPr="00204759" w:rsidRDefault="008B4C4B" w:rsidP="008B4C4B">
      <w:pPr>
        <w:tabs>
          <w:tab w:val="left" w:pos="739"/>
        </w:tabs>
        <w:spacing w:line="400" w:lineRule="exact"/>
        <w:ind w:leftChars="250" w:left="960" w:hangingChars="150" w:hanging="360"/>
        <w:rPr>
          <w:rFonts w:ascii="標楷體" w:eastAsia="標楷體" w:hAnsi="標楷體"/>
          <w:szCs w:val="24"/>
        </w:rPr>
      </w:pPr>
      <w:r w:rsidRPr="00204759">
        <w:rPr>
          <w:rFonts w:ascii="標楷體" w:eastAsia="標楷體" w:hAnsi="標楷體" w:hint="eastAsia"/>
          <w:szCs w:val="24"/>
        </w:rPr>
        <w:lastRenderedPageBreak/>
        <w:t>Ⅰ.病人身體狀況良好（</w:t>
      </w:r>
      <w:r w:rsidRPr="00204759">
        <w:rPr>
          <w:rFonts w:ascii="標楷體" w:eastAsia="標楷體" w:hAnsi="標楷體"/>
          <w:szCs w:val="24"/>
        </w:rPr>
        <w:t>ECOG</w:t>
      </w:r>
      <w:r w:rsidRPr="00204759">
        <w:rPr>
          <w:rFonts w:ascii="標楷體" w:eastAsia="標楷體" w:hAnsi="標楷體" w:hint="eastAsia"/>
          <w:szCs w:val="24"/>
        </w:rPr>
        <w:t>≦</w:t>
      </w:r>
      <w:r w:rsidRPr="00204759">
        <w:rPr>
          <w:rFonts w:ascii="標楷體" w:eastAsia="標楷體" w:hAnsi="標楷體"/>
          <w:szCs w:val="24"/>
        </w:rPr>
        <w:t>1</w:t>
      </w:r>
      <w:r w:rsidRPr="00204759">
        <w:rPr>
          <w:rFonts w:ascii="標楷體" w:eastAsia="標楷體" w:hAnsi="標楷體" w:hint="eastAsia"/>
          <w:szCs w:val="24"/>
        </w:rPr>
        <w:t>）。</w:t>
      </w:r>
    </w:p>
    <w:p w:rsidR="008B4C4B" w:rsidRPr="00204759" w:rsidRDefault="008B4C4B" w:rsidP="008B4C4B">
      <w:pPr>
        <w:tabs>
          <w:tab w:val="left" w:pos="739"/>
        </w:tabs>
        <w:spacing w:line="400" w:lineRule="exact"/>
        <w:ind w:leftChars="250" w:left="960" w:hangingChars="150" w:hanging="360"/>
        <w:rPr>
          <w:rFonts w:ascii="標楷體" w:eastAsia="標楷體" w:hAnsi="標楷體"/>
          <w:szCs w:val="24"/>
        </w:rPr>
      </w:pPr>
      <w:r w:rsidRPr="00204759">
        <w:rPr>
          <w:rFonts w:ascii="標楷體" w:eastAsia="標楷體" w:hAnsi="標楷體" w:hint="eastAsia"/>
          <w:szCs w:val="24"/>
        </w:rPr>
        <w:t>Ⅱ.須使用過</w:t>
      </w:r>
      <w:r w:rsidRPr="00204759">
        <w:rPr>
          <w:rFonts w:ascii="標楷體" w:eastAsia="標楷體" w:hAnsi="標楷體"/>
          <w:szCs w:val="24"/>
        </w:rPr>
        <w:t>taxane</w:t>
      </w:r>
      <w:r w:rsidRPr="00204759">
        <w:rPr>
          <w:rFonts w:ascii="標楷體" w:eastAsia="標楷體" w:hAnsi="標楷體" w:hint="eastAsia"/>
          <w:szCs w:val="24"/>
        </w:rPr>
        <w:t>類藥物至少1個療程。</w:t>
      </w:r>
    </w:p>
    <w:p w:rsidR="008B4C4B" w:rsidRPr="00204759" w:rsidRDefault="008B4C4B" w:rsidP="008B4C4B">
      <w:pPr>
        <w:tabs>
          <w:tab w:val="left" w:pos="739"/>
        </w:tabs>
        <w:spacing w:line="400" w:lineRule="exact"/>
        <w:ind w:leftChars="250" w:left="960" w:hangingChars="150" w:hanging="360"/>
        <w:rPr>
          <w:rFonts w:ascii="標楷體" w:eastAsia="標楷體" w:hAnsi="標楷體"/>
          <w:szCs w:val="24"/>
        </w:rPr>
      </w:pPr>
      <w:r w:rsidRPr="00204759">
        <w:rPr>
          <w:rFonts w:ascii="標楷體" w:eastAsia="標楷體" w:hAnsi="標楷體" w:hint="eastAsia"/>
          <w:szCs w:val="24"/>
        </w:rPr>
        <w:t>Ⅲ.先前未接受過trastuzumab deruxtecan治療。(114/2/1)</w:t>
      </w:r>
    </w:p>
    <w:p w:rsidR="008B4C4B" w:rsidRPr="00204759" w:rsidRDefault="008B4C4B" w:rsidP="008B4C4B">
      <w:pPr>
        <w:tabs>
          <w:tab w:val="left" w:pos="739"/>
        </w:tabs>
        <w:spacing w:line="400" w:lineRule="exact"/>
        <w:ind w:leftChars="131" w:left="676" w:hangingChars="151" w:hanging="362"/>
        <w:rPr>
          <w:rFonts w:ascii="標楷體" w:eastAsia="標楷體" w:hAnsi="標楷體"/>
          <w:szCs w:val="24"/>
        </w:rPr>
      </w:pPr>
      <w:r w:rsidRPr="00204759">
        <w:rPr>
          <w:rFonts w:ascii="標楷體" w:eastAsia="標楷體" w:hAnsi="標楷體" w:hint="eastAsia"/>
          <w:szCs w:val="24"/>
        </w:rPr>
        <w:t>(2)</w:t>
      </w:r>
      <w:r w:rsidRPr="00204759">
        <w:rPr>
          <w:rFonts w:ascii="標楷體" w:eastAsia="標楷體" w:hAnsi="標楷體"/>
          <w:color w:val="000000"/>
          <w:szCs w:val="24"/>
        </w:rPr>
        <w:t>須經事前審查核准後使用</w:t>
      </w:r>
      <w:r w:rsidRPr="00204759">
        <w:rPr>
          <w:rFonts w:ascii="標楷體" w:eastAsia="標楷體" w:hAnsi="標楷體" w:hint="eastAsia"/>
          <w:color w:val="000000"/>
          <w:szCs w:val="24"/>
        </w:rPr>
        <w:t>，</w:t>
      </w:r>
      <w:r w:rsidRPr="00204759">
        <w:rPr>
          <w:rFonts w:ascii="標楷體" w:eastAsia="標楷體" w:hAnsi="標楷體"/>
          <w:color w:val="000000"/>
          <w:szCs w:val="24"/>
        </w:rPr>
        <w:t>每次申請之療程以3個月為限</w:t>
      </w:r>
      <w:r w:rsidRPr="00204759">
        <w:rPr>
          <w:rFonts w:ascii="標楷體" w:eastAsia="標楷體" w:hAnsi="標楷體" w:hint="eastAsia"/>
          <w:color w:val="000000"/>
          <w:szCs w:val="24"/>
        </w:rPr>
        <w:t>，</w:t>
      </w:r>
      <w:r w:rsidRPr="00204759">
        <w:rPr>
          <w:rFonts w:ascii="標楷體" w:eastAsia="標楷體" w:hAnsi="標楷體"/>
          <w:szCs w:val="24"/>
        </w:rPr>
        <w:t>初次申請時需檢附ER、PR、HER2皆為陰性之檢測報告</w:t>
      </w:r>
      <w:r w:rsidRPr="00204759">
        <w:rPr>
          <w:rFonts w:ascii="標楷體" w:eastAsia="標楷體" w:hAnsi="標楷體" w:hint="eastAsia"/>
          <w:szCs w:val="24"/>
        </w:rPr>
        <w:t>。</w:t>
      </w:r>
    </w:p>
    <w:p w:rsidR="008B4C4B" w:rsidRPr="00204759" w:rsidRDefault="008B4C4B" w:rsidP="008B4C4B">
      <w:pPr>
        <w:tabs>
          <w:tab w:val="left" w:pos="739"/>
        </w:tabs>
        <w:spacing w:line="400" w:lineRule="exact"/>
        <w:ind w:leftChars="131" w:left="676" w:hangingChars="151" w:hanging="362"/>
        <w:rPr>
          <w:rFonts w:ascii="標楷體" w:eastAsia="標楷體" w:hAnsi="標楷體"/>
          <w:color w:val="000000"/>
          <w:szCs w:val="24"/>
        </w:rPr>
      </w:pPr>
      <w:r w:rsidRPr="00204759">
        <w:rPr>
          <w:rFonts w:ascii="標楷體" w:eastAsia="標楷體" w:hAnsi="標楷體" w:hint="eastAsia"/>
          <w:color w:val="000000"/>
          <w:szCs w:val="24"/>
        </w:rPr>
        <w:t>(3)</w:t>
      </w:r>
      <w:r w:rsidRPr="00204759">
        <w:rPr>
          <w:rFonts w:ascii="標楷體" w:eastAsia="標楷體" w:hAnsi="標楷體"/>
          <w:color w:val="000000"/>
          <w:szCs w:val="24"/>
        </w:rPr>
        <w:t>再次申請必須提出客觀證據（如：影像學）證實無惡化，才可繼續使用。</w:t>
      </w:r>
    </w:p>
    <w:p w:rsidR="008B4C4B" w:rsidRPr="00204759" w:rsidRDefault="008B4C4B" w:rsidP="008B4C4B">
      <w:pPr>
        <w:tabs>
          <w:tab w:val="left" w:pos="739"/>
        </w:tabs>
        <w:spacing w:line="400" w:lineRule="exact"/>
        <w:ind w:leftChars="131" w:left="676" w:hangingChars="151" w:hanging="362"/>
        <w:rPr>
          <w:rFonts w:ascii="標楷體" w:eastAsia="標楷體" w:hAnsi="標楷體"/>
          <w:szCs w:val="24"/>
        </w:rPr>
      </w:pPr>
      <w:r w:rsidRPr="00204759">
        <w:rPr>
          <w:rFonts w:ascii="標楷體" w:eastAsia="標楷體" w:hAnsi="標楷體" w:hint="eastAsia"/>
          <w:szCs w:val="24"/>
        </w:rPr>
        <w:t>(4)</w:t>
      </w:r>
      <w:r w:rsidRPr="00204759">
        <w:rPr>
          <w:rFonts w:ascii="標楷體" w:eastAsia="標楷體" w:hAnsi="標楷體"/>
          <w:szCs w:val="24"/>
        </w:rPr>
        <w:t>Sacituzumab govitecan和trastuzumab deruxtecan僅能擇一給付，不得互換。(114/2/1)</w:t>
      </w:r>
      <w:r w:rsidRPr="00204759">
        <w:rPr>
          <w:rFonts w:ascii="標楷體" w:eastAsia="標楷體" w:hAnsi="標楷體" w:hint="eastAsia"/>
          <w:szCs w:val="24"/>
        </w:rPr>
        <w:t>。</w:t>
      </w:r>
    </w:p>
    <w:p w:rsidR="008B4C4B" w:rsidRPr="00204759" w:rsidRDefault="008B4C4B" w:rsidP="008B4C4B">
      <w:pPr>
        <w:spacing w:line="400" w:lineRule="exact"/>
        <w:ind w:left="567" w:hanging="284"/>
        <w:rPr>
          <w:rFonts w:ascii="標楷體" w:eastAsia="標楷體" w:hAnsi="標楷體"/>
          <w:szCs w:val="24"/>
        </w:rPr>
      </w:pPr>
      <w:r w:rsidRPr="00204759">
        <w:rPr>
          <w:rFonts w:ascii="標楷體" w:eastAsia="標楷體" w:hAnsi="標楷體" w:hint="eastAsia"/>
          <w:szCs w:val="24"/>
        </w:rPr>
        <w:t>2.</w:t>
      </w:r>
      <w:r w:rsidRPr="008B4C4B">
        <w:rPr>
          <w:rFonts w:ascii="標楷體" w:eastAsia="標楷體" w:hAnsi="標楷體" w:hint="eastAsia"/>
          <w:color w:val="000000"/>
          <w:szCs w:val="24"/>
        </w:rPr>
        <w:t>用於</w:t>
      </w:r>
      <w:r w:rsidRPr="00204759">
        <w:rPr>
          <w:rFonts w:ascii="標楷體" w:eastAsia="標楷體" w:hAnsi="標楷體"/>
          <w:szCs w:val="24"/>
        </w:rPr>
        <w:t>治療患有無法切除的局部晚期或轉移性的HR陽性</w:t>
      </w:r>
      <w:r w:rsidRPr="00204759">
        <w:rPr>
          <w:rFonts w:ascii="標楷體" w:eastAsia="標楷體" w:hAnsi="標楷體" w:hint="eastAsia"/>
          <w:szCs w:val="24"/>
        </w:rPr>
        <w:t>、</w:t>
      </w:r>
      <w:r w:rsidRPr="00204759">
        <w:rPr>
          <w:rFonts w:ascii="標楷體" w:eastAsia="標楷體" w:hAnsi="標楷體"/>
          <w:szCs w:val="24"/>
        </w:rPr>
        <w:t>HER2陰性</w:t>
      </w:r>
      <w:r w:rsidRPr="00204759">
        <w:rPr>
          <w:rFonts w:ascii="標楷體" w:eastAsia="標楷體" w:hAnsi="標楷體" w:hint="eastAsia"/>
          <w:szCs w:val="24"/>
        </w:rPr>
        <w:t>之</w:t>
      </w:r>
      <w:r w:rsidRPr="00204759">
        <w:rPr>
          <w:rFonts w:ascii="標楷體" w:eastAsia="標楷體" w:hAnsi="標楷體"/>
          <w:szCs w:val="24"/>
        </w:rPr>
        <w:t>乳癌成</w:t>
      </w:r>
      <w:r w:rsidRPr="00204759">
        <w:rPr>
          <w:rFonts w:ascii="標楷體" w:eastAsia="標楷體" w:hAnsi="標楷體" w:hint="eastAsia"/>
          <w:szCs w:val="24"/>
        </w:rPr>
        <w:t>人</w:t>
      </w:r>
      <w:r w:rsidRPr="00204759">
        <w:rPr>
          <w:rFonts w:ascii="標楷體" w:eastAsia="標楷體" w:hAnsi="標楷體"/>
          <w:szCs w:val="24"/>
        </w:rPr>
        <w:t>病人</w:t>
      </w:r>
      <w:r w:rsidRPr="00204759">
        <w:rPr>
          <w:rFonts w:ascii="標楷體" w:eastAsia="標楷體" w:hAnsi="標楷體" w:hint="eastAsia"/>
          <w:szCs w:val="24"/>
        </w:rPr>
        <w:t>。(1</w:t>
      </w:r>
      <w:r w:rsidRPr="00204759">
        <w:rPr>
          <w:rFonts w:ascii="標楷體" w:eastAsia="標楷體" w:hAnsi="標楷體"/>
          <w:szCs w:val="24"/>
        </w:rPr>
        <w:t>14</w:t>
      </w:r>
      <w:r w:rsidRPr="00204759">
        <w:rPr>
          <w:rFonts w:ascii="標楷體" w:eastAsia="標楷體" w:hAnsi="標楷體" w:hint="eastAsia"/>
          <w:szCs w:val="24"/>
        </w:rPr>
        <w:t>/1</w:t>
      </w:r>
      <w:r w:rsidRPr="00204759">
        <w:rPr>
          <w:rFonts w:ascii="標楷體" w:eastAsia="標楷體" w:hAnsi="標楷體"/>
          <w:szCs w:val="24"/>
        </w:rPr>
        <w:t>0</w:t>
      </w:r>
      <w:r w:rsidRPr="00204759">
        <w:rPr>
          <w:rFonts w:ascii="標楷體" w:eastAsia="標楷體" w:hAnsi="標楷體" w:hint="eastAsia"/>
          <w:szCs w:val="24"/>
        </w:rPr>
        <w:t>/1)</w:t>
      </w:r>
    </w:p>
    <w:p w:rsidR="008B4C4B" w:rsidRPr="00204759" w:rsidRDefault="008B4C4B" w:rsidP="008B4C4B">
      <w:pPr>
        <w:tabs>
          <w:tab w:val="left" w:pos="739"/>
        </w:tabs>
        <w:spacing w:line="400" w:lineRule="exact"/>
        <w:ind w:leftChars="131" w:left="676" w:hangingChars="151" w:hanging="362"/>
        <w:rPr>
          <w:rFonts w:ascii="標楷體" w:eastAsia="標楷體" w:hAnsi="標楷體"/>
          <w:szCs w:val="24"/>
        </w:rPr>
      </w:pPr>
      <w:r w:rsidRPr="00204759">
        <w:rPr>
          <w:rFonts w:ascii="標楷體" w:eastAsia="標楷體" w:hAnsi="標楷體" w:hint="eastAsia"/>
          <w:szCs w:val="24"/>
        </w:rPr>
        <w:t>(1)須</w:t>
      </w:r>
      <w:r w:rsidRPr="00204759">
        <w:rPr>
          <w:rFonts w:ascii="標楷體" w:eastAsia="標楷體" w:hAnsi="標楷體"/>
          <w:szCs w:val="24"/>
        </w:rPr>
        <w:t>符合下列各項條件：</w:t>
      </w:r>
    </w:p>
    <w:p w:rsidR="008B4C4B" w:rsidRPr="00204759" w:rsidRDefault="008B4C4B" w:rsidP="008B4C4B">
      <w:pPr>
        <w:spacing w:line="400" w:lineRule="exact"/>
        <w:ind w:leftChars="200" w:left="960" w:hangingChars="200" w:hanging="480"/>
        <w:rPr>
          <w:rFonts w:ascii="標楷體" w:eastAsia="標楷體" w:hAnsi="標楷體"/>
          <w:szCs w:val="24"/>
        </w:rPr>
      </w:pPr>
      <w:r w:rsidRPr="00204759">
        <w:rPr>
          <w:rFonts w:ascii="標楷體" w:eastAsia="標楷體" w:hAnsi="標楷體" w:hint="eastAsia"/>
          <w:szCs w:val="24"/>
        </w:rPr>
        <w:t>Ⅰ.須排除活動性腦轉移。</w:t>
      </w:r>
    </w:p>
    <w:p w:rsidR="008B4C4B" w:rsidRPr="00204759" w:rsidRDefault="008B4C4B" w:rsidP="008B4C4B">
      <w:pPr>
        <w:spacing w:line="400" w:lineRule="exact"/>
        <w:ind w:leftChars="200" w:left="840" w:hangingChars="150" w:hanging="360"/>
        <w:rPr>
          <w:rFonts w:ascii="標楷體" w:eastAsia="標楷體" w:hAnsi="標楷體"/>
          <w:szCs w:val="24"/>
        </w:rPr>
      </w:pPr>
      <w:r w:rsidRPr="00204759">
        <w:rPr>
          <w:rFonts w:ascii="標楷體" w:eastAsia="標楷體" w:hAnsi="標楷體" w:hint="eastAsia"/>
          <w:szCs w:val="24"/>
        </w:rPr>
        <w:t>Ⅱ.曾接受 CDK4/6 抑制劑≦12個月，並有內臟轉移。</w:t>
      </w:r>
    </w:p>
    <w:p w:rsidR="008B4C4B" w:rsidRPr="00204759" w:rsidRDefault="008B4C4B" w:rsidP="008B4C4B">
      <w:pPr>
        <w:spacing w:line="400" w:lineRule="exact"/>
        <w:ind w:leftChars="200" w:left="840" w:hangingChars="150" w:hanging="360"/>
        <w:rPr>
          <w:rFonts w:ascii="標楷體" w:eastAsia="標楷體" w:hAnsi="標楷體"/>
          <w:szCs w:val="24"/>
        </w:rPr>
      </w:pPr>
      <w:r w:rsidRPr="00204759">
        <w:rPr>
          <w:rFonts w:ascii="標楷體" w:eastAsia="標楷體" w:hAnsi="標楷體" w:hint="eastAsia"/>
          <w:szCs w:val="24"/>
        </w:rPr>
        <w:t>Ⅲ.</w:t>
      </w:r>
      <w:r w:rsidRPr="00204759">
        <w:rPr>
          <w:rFonts w:ascii="標楷體" w:eastAsia="標楷體" w:hAnsi="標楷體"/>
          <w:szCs w:val="24"/>
        </w:rPr>
        <w:t>曾接受</w:t>
      </w:r>
      <w:r w:rsidRPr="00204759">
        <w:rPr>
          <w:rFonts w:ascii="標楷體" w:eastAsia="標楷體" w:hAnsi="標楷體" w:hint="eastAsia"/>
          <w:szCs w:val="24"/>
        </w:rPr>
        <w:t>至少兩線(每線至少兩個完整療程或於第二個療程中產生疾病惡化)的</w:t>
      </w:r>
      <w:r w:rsidRPr="00204759">
        <w:rPr>
          <w:rFonts w:ascii="標楷體" w:eastAsia="標楷體" w:hAnsi="標楷體"/>
          <w:szCs w:val="24"/>
        </w:rPr>
        <w:t>轉移性乳癌化</w:t>
      </w:r>
      <w:r w:rsidRPr="00204759">
        <w:rPr>
          <w:rFonts w:ascii="標楷體" w:eastAsia="標楷體" w:hAnsi="標楷體" w:hint="eastAsia"/>
          <w:szCs w:val="24"/>
        </w:rPr>
        <w:t>學治療。</w:t>
      </w:r>
    </w:p>
    <w:p w:rsidR="008B4C4B" w:rsidRPr="00204759" w:rsidRDefault="008B4C4B" w:rsidP="008B4C4B">
      <w:pPr>
        <w:tabs>
          <w:tab w:val="left" w:pos="739"/>
        </w:tabs>
        <w:spacing w:line="400" w:lineRule="exact"/>
        <w:ind w:leftChars="131" w:left="676" w:hangingChars="151" w:hanging="362"/>
        <w:rPr>
          <w:rFonts w:ascii="標楷體" w:eastAsia="標楷體" w:hAnsi="標楷體"/>
          <w:szCs w:val="24"/>
        </w:rPr>
      </w:pPr>
      <w:r w:rsidRPr="00204759">
        <w:rPr>
          <w:rFonts w:ascii="標楷體" w:eastAsia="標楷體" w:hAnsi="標楷體" w:hint="eastAsia"/>
          <w:szCs w:val="24"/>
        </w:rPr>
        <w:t>(2)</w:t>
      </w:r>
      <w:r w:rsidRPr="00204759">
        <w:rPr>
          <w:rFonts w:ascii="標楷體" w:eastAsia="標楷體" w:hAnsi="標楷體"/>
          <w:color w:val="000000"/>
          <w:szCs w:val="24"/>
        </w:rPr>
        <w:t>須經事前</w:t>
      </w:r>
      <w:r w:rsidRPr="008B4C4B">
        <w:rPr>
          <w:rFonts w:ascii="標楷體" w:eastAsia="標楷體" w:hAnsi="標楷體"/>
          <w:szCs w:val="24"/>
        </w:rPr>
        <w:t>審查</w:t>
      </w:r>
      <w:r w:rsidRPr="00204759">
        <w:rPr>
          <w:rFonts w:ascii="標楷體" w:eastAsia="標楷體" w:hAnsi="標楷體"/>
          <w:color w:val="000000"/>
          <w:szCs w:val="24"/>
        </w:rPr>
        <w:t>核准後使用</w:t>
      </w:r>
      <w:r w:rsidRPr="00204759">
        <w:rPr>
          <w:rFonts w:ascii="標楷體" w:eastAsia="標楷體" w:hAnsi="標楷體" w:hint="eastAsia"/>
          <w:color w:val="000000"/>
          <w:szCs w:val="24"/>
        </w:rPr>
        <w:t>，</w:t>
      </w:r>
      <w:r w:rsidRPr="00204759">
        <w:rPr>
          <w:rFonts w:ascii="標楷體" w:eastAsia="標楷體" w:hAnsi="標楷體"/>
          <w:color w:val="000000"/>
          <w:szCs w:val="24"/>
        </w:rPr>
        <w:t>每次申請之療程以3個月為限</w:t>
      </w:r>
      <w:r w:rsidRPr="00204759">
        <w:rPr>
          <w:rFonts w:ascii="標楷體" w:eastAsia="標楷體" w:hAnsi="標楷體" w:hint="eastAsia"/>
          <w:color w:val="000000"/>
          <w:szCs w:val="24"/>
        </w:rPr>
        <w:t>，</w:t>
      </w:r>
      <w:r w:rsidRPr="00204759">
        <w:rPr>
          <w:rFonts w:ascii="標楷體" w:eastAsia="標楷體" w:hAnsi="標楷體"/>
          <w:szCs w:val="24"/>
        </w:rPr>
        <w:t>初次申請時需檢附</w:t>
      </w:r>
      <w:r w:rsidRPr="00204759">
        <w:rPr>
          <w:rFonts w:ascii="標楷體" w:eastAsia="標楷體" w:hAnsi="標楷體" w:hint="eastAsia"/>
          <w:szCs w:val="24"/>
        </w:rPr>
        <w:t>H</w:t>
      </w:r>
      <w:r w:rsidRPr="00204759">
        <w:rPr>
          <w:rFonts w:ascii="標楷體" w:eastAsia="標楷體" w:hAnsi="標楷體"/>
          <w:szCs w:val="24"/>
        </w:rPr>
        <w:t>R</w:t>
      </w:r>
      <w:r w:rsidRPr="00204759">
        <w:rPr>
          <w:rFonts w:ascii="標楷體" w:eastAsia="標楷體" w:hAnsi="標楷體" w:hint="eastAsia"/>
          <w:szCs w:val="24"/>
        </w:rPr>
        <w:t>陽性</w:t>
      </w:r>
      <w:r w:rsidRPr="00204759">
        <w:rPr>
          <w:rFonts w:ascii="標楷體" w:eastAsia="標楷體" w:hAnsi="標楷體"/>
          <w:szCs w:val="24"/>
        </w:rPr>
        <w:t>、HER2陰性</w:t>
      </w:r>
      <w:r w:rsidRPr="00204759">
        <w:rPr>
          <w:rFonts w:ascii="標楷體" w:eastAsia="標楷體" w:hAnsi="標楷體" w:hint="eastAsia"/>
          <w:szCs w:val="24"/>
        </w:rPr>
        <w:t>(</w:t>
      </w:r>
      <w:r w:rsidRPr="00204759">
        <w:rPr>
          <w:rFonts w:ascii="標楷體" w:eastAsia="標楷體" w:hAnsi="標楷體"/>
          <w:szCs w:val="24"/>
        </w:rPr>
        <w:t>IHC 0、IHC 1+或 IHC 2+/ISH–</w:t>
      </w:r>
      <w:r w:rsidRPr="00204759">
        <w:rPr>
          <w:rFonts w:ascii="標楷體" w:eastAsia="標楷體" w:hAnsi="標楷體" w:hint="eastAsia"/>
          <w:szCs w:val="24"/>
        </w:rPr>
        <w:t>)</w:t>
      </w:r>
      <w:r w:rsidRPr="00204759">
        <w:rPr>
          <w:rFonts w:ascii="標楷體" w:eastAsia="標楷體" w:hAnsi="標楷體"/>
          <w:szCs w:val="24"/>
        </w:rPr>
        <w:t>之檢測報告</w:t>
      </w:r>
      <w:r w:rsidRPr="00204759">
        <w:rPr>
          <w:rFonts w:ascii="標楷體" w:eastAsia="標楷體" w:hAnsi="標楷體" w:hint="eastAsia"/>
          <w:szCs w:val="24"/>
        </w:rPr>
        <w:t>。</w:t>
      </w:r>
    </w:p>
    <w:p w:rsidR="00B96EA0" w:rsidRPr="00957AD9" w:rsidRDefault="008B4C4B" w:rsidP="00957AD9">
      <w:pPr>
        <w:tabs>
          <w:tab w:val="left" w:pos="739"/>
        </w:tabs>
        <w:spacing w:line="400" w:lineRule="exact"/>
        <w:ind w:leftChars="131" w:left="676" w:hangingChars="151" w:hanging="362"/>
        <w:rPr>
          <w:rFonts w:ascii="標楷體" w:eastAsia="標楷體" w:hAnsi="標楷體"/>
          <w:szCs w:val="24"/>
        </w:rPr>
      </w:pPr>
      <w:r w:rsidRPr="00204759">
        <w:rPr>
          <w:rFonts w:ascii="標楷體" w:eastAsia="標楷體" w:hAnsi="標楷體" w:hint="eastAsia"/>
          <w:color w:val="000000"/>
          <w:szCs w:val="24"/>
        </w:rPr>
        <w:t>(3)</w:t>
      </w:r>
      <w:r w:rsidRPr="00204759">
        <w:rPr>
          <w:rFonts w:ascii="標楷體" w:eastAsia="標楷體" w:hAnsi="標楷體"/>
          <w:color w:val="000000"/>
          <w:szCs w:val="24"/>
        </w:rPr>
        <w:t>再次申請必須提出客觀</w:t>
      </w:r>
      <w:r w:rsidRPr="008B4C4B">
        <w:rPr>
          <w:rFonts w:ascii="標楷體" w:eastAsia="標楷體" w:hAnsi="標楷體"/>
          <w:szCs w:val="24"/>
        </w:rPr>
        <w:t>證據</w:t>
      </w:r>
      <w:r w:rsidRPr="00204759">
        <w:rPr>
          <w:rFonts w:ascii="標楷體" w:eastAsia="標楷體" w:hAnsi="標楷體"/>
          <w:color w:val="000000"/>
          <w:szCs w:val="24"/>
        </w:rPr>
        <w:t>（如：影像學）證實無惡化，才可繼續使用。</w:t>
      </w:r>
    </w:p>
    <w:p w:rsidR="00B96EA0" w:rsidRDefault="007D66B8" w:rsidP="005142EB">
      <w:pPr>
        <w:spacing w:line="400" w:lineRule="exact"/>
        <w:ind w:left="752" w:hanging="706"/>
        <w:rPr>
          <w:rFonts w:ascii="標楷體" w:eastAsia="標楷體" w:hAnsi="標楷體"/>
          <w:color w:val="000000"/>
        </w:rPr>
      </w:pPr>
      <w:r>
        <w:rPr>
          <w:rFonts w:ascii="標楷體" w:eastAsia="標楷體" w:hAnsi="標楷體"/>
          <w:color w:val="000000"/>
        </w:rPr>
        <w:t>9.107.Abemaciclib (如Verzenio)：(113/3/1、113/6/1)</w:t>
      </w:r>
    </w:p>
    <w:p w:rsidR="00B96EA0" w:rsidRDefault="007D66B8" w:rsidP="005142EB">
      <w:pPr>
        <w:spacing w:line="400" w:lineRule="exact"/>
        <w:ind w:left="709" w:hanging="284"/>
        <w:rPr>
          <w:rFonts w:ascii="標楷體" w:eastAsia="標楷體" w:hAnsi="標楷體"/>
          <w:color w:val="000000"/>
        </w:rPr>
      </w:pPr>
      <w:r>
        <w:rPr>
          <w:rFonts w:ascii="標楷體" w:eastAsia="標楷體" w:hAnsi="標楷體"/>
          <w:color w:val="000000"/>
        </w:rPr>
        <w:t>1.併用內分泌療法(tamoxifen或芳香環酶抑制劑)，作為荷爾蒙受體(HR)陽性(ER或PR&gt;30%)、第二型人類表皮生長因子受體(HER2)陰性、淋巴結陽性，高復發風險之早期乳癌成年女性病人的輔助療法，須符合下列高復發風險條件之一(113/3/1、113/6/1)：</w:t>
      </w:r>
    </w:p>
    <w:p w:rsidR="00B96EA0" w:rsidRDefault="007D66B8" w:rsidP="005142EB">
      <w:pPr>
        <w:spacing w:line="400" w:lineRule="exact"/>
        <w:ind w:left="1332" w:hanging="566"/>
      </w:pPr>
      <w:r>
        <w:rPr>
          <w:rFonts w:ascii="標楷體" w:eastAsia="標楷體" w:hAnsi="標楷體"/>
          <w:color w:val="000000"/>
        </w:rPr>
        <w:t xml:space="preserve">(1)pALN (positive axillary lymph nodes，陽性腋下淋巴結) </w:t>
      </w:r>
      <w:r>
        <w:rPr>
          <w:rFonts w:eastAsia="標楷體"/>
          <w:color w:val="000000"/>
        </w:rPr>
        <w:t>≥</w:t>
      </w:r>
      <w:r>
        <w:rPr>
          <w:rFonts w:ascii="標楷體" w:eastAsia="標楷體" w:hAnsi="標楷體"/>
          <w:color w:val="000000"/>
        </w:rPr>
        <w:t>4。</w:t>
      </w:r>
    </w:p>
    <w:p w:rsidR="00B96EA0" w:rsidRDefault="007D66B8" w:rsidP="005142EB">
      <w:pPr>
        <w:spacing w:line="400" w:lineRule="exact"/>
        <w:ind w:left="1332" w:hanging="566"/>
      </w:pPr>
      <w:r>
        <w:rPr>
          <w:rFonts w:ascii="標楷體" w:eastAsia="標楷體" w:hAnsi="標楷體"/>
          <w:color w:val="000000"/>
        </w:rPr>
        <w:t>(2)pALN (陽性腋下淋巴結)為1-3 且腫瘤大小</w:t>
      </w:r>
      <w:r>
        <w:rPr>
          <w:rFonts w:eastAsia="標楷體"/>
          <w:color w:val="000000"/>
        </w:rPr>
        <w:t>≥</w:t>
      </w:r>
      <w:r>
        <w:rPr>
          <w:rFonts w:ascii="標楷體" w:eastAsia="標楷體" w:hAnsi="標楷體"/>
          <w:color w:val="000000"/>
        </w:rPr>
        <w:t>5 cm。</w:t>
      </w:r>
    </w:p>
    <w:p w:rsidR="00B96EA0" w:rsidRDefault="007D66B8" w:rsidP="005142EB">
      <w:pPr>
        <w:spacing w:line="400" w:lineRule="exact"/>
        <w:ind w:left="1332" w:hanging="566"/>
        <w:rPr>
          <w:rFonts w:ascii="標楷體" w:eastAsia="標楷體" w:hAnsi="標楷體"/>
          <w:color w:val="000000"/>
        </w:rPr>
      </w:pPr>
      <w:r>
        <w:rPr>
          <w:rFonts w:ascii="標楷體" w:eastAsia="標楷體" w:hAnsi="標楷體"/>
          <w:color w:val="000000"/>
        </w:rPr>
        <w:t>(3)pALN (陽性腋下淋巴結)為1-3 且腫瘤細胞分化第3級。</w:t>
      </w:r>
    </w:p>
    <w:p w:rsidR="00B96EA0" w:rsidRDefault="007D66B8" w:rsidP="005142EB">
      <w:pPr>
        <w:spacing w:line="400" w:lineRule="exact"/>
        <w:ind w:left="709" w:hanging="284"/>
        <w:rPr>
          <w:rFonts w:ascii="標楷體" w:eastAsia="標楷體" w:hAnsi="標楷體"/>
          <w:color w:val="000000"/>
        </w:rPr>
      </w:pPr>
      <w:r>
        <w:rPr>
          <w:rFonts w:ascii="標楷體" w:eastAsia="標楷體" w:hAnsi="標楷體"/>
          <w:color w:val="000000"/>
        </w:rPr>
        <w:t>2.使用前，須接受標準之化學及放射輔助治療方可申請使用。使用中，若疾病惡化須停止使用且不得再使用其他CDK4/6抑制劑。</w:t>
      </w:r>
    </w:p>
    <w:p w:rsidR="00B96EA0" w:rsidRDefault="007D66B8" w:rsidP="005142EB">
      <w:pPr>
        <w:spacing w:line="400" w:lineRule="exact"/>
        <w:ind w:left="709" w:hanging="284"/>
        <w:rPr>
          <w:rFonts w:ascii="標楷體" w:eastAsia="標楷體" w:hAnsi="標楷體"/>
          <w:color w:val="000000"/>
        </w:rPr>
      </w:pPr>
      <w:r>
        <w:rPr>
          <w:rFonts w:ascii="標楷體" w:eastAsia="標楷體" w:hAnsi="標楷體"/>
          <w:color w:val="000000"/>
        </w:rPr>
        <w:t>3.使用前，僅能接受最多12週的內分泌治療，且應於手術切除後16個月內接受本品治療。</w:t>
      </w:r>
    </w:p>
    <w:p w:rsidR="00B96EA0" w:rsidRDefault="007D66B8" w:rsidP="005142EB">
      <w:pPr>
        <w:spacing w:line="400" w:lineRule="exact"/>
        <w:ind w:left="709" w:hanging="284"/>
        <w:rPr>
          <w:rFonts w:ascii="標楷體" w:eastAsia="標楷體" w:hAnsi="標楷體"/>
          <w:color w:val="000000"/>
        </w:rPr>
      </w:pPr>
      <w:r>
        <w:rPr>
          <w:rFonts w:ascii="標楷體" w:eastAsia="標楷體" w:hAnsi="標楷體"/>
          <w:color w:val="000000"/>
        </w:rPr>
        <w:t>4.須經事前審查核准後使用，每24週須再次申請並檢附療效評估資料，若疾病有惡化情形須停止使用。</w:t>
      </w:r>
    </w:p>
    <w:p w:rsidR="00B96EA0" w:rsidRDefault="007D66B8" w:rsidP="005142EB">
      <w:pPr>
        <w:spacing w:line="400" w:lineRule="exact"/>
        <w:ind w:left="709" w:hanging="284"/>
        <w:rPr>
          <w:rFonts w:ascii="標楷體" w:eastAsia="標楷體" w:hAnsi="標楷體"/>
          <w:color w:val="000000"/>
        </w:rPr>
      </w:pPr>
      <w:r>
        <w:rPr>
          <w:rFonts w:ascii="標楷體" w:eastAsia="標楷體" w:hAnsi="標楷體"/>
          <w:color w:val="000000"/>
        </w:rPr>
        <w:t>5.每日至多使用2錠，使用不得超過2年。</w:t>
      </w:r>
    </w:p>
    <w:p w:rsidR="00941523" w:rsidRPr="00276A1A" w:rsidRDefault="007D66B8" w:rsidP="00941523">
      <w:pPr>
        <w:adjustRightInd w:val="0"/>
        <w:snapToGrid w:val="0"/>
        <w:spacing w:line="400" w:lineRule="exact"/>
        <w:ind w:left="480" w:hangingChars="200" w:hanging="480"/>
        <w:rPr>
          <w:rFonts w:ascii="標楷體" w:eastAsia="標楷體" w:hAnsi="標楷體"/>
          <w:szCs w:val="24"/>
        </w:rPr>
      </w:pPr>
      <w:r>
        <w:rPr>
          <w:rFonts w:ascii="標楷體" w:eastAsia="標楷體" w:hAnsi="標楷體"/>
          <w:szCs w:val="24"/>
        </w:rPr>
        <w:t>9.108.</w:t>
      </w:r>
      <w:r w:rsidR="00941523" w:rsidRPr="00941523">
        <w:rPr>
          <w:rFonts w:ascii="標楷體" w:eastAsia="標楷體" w:hAnsi="標楷體"/>
          <w:szCs w:val="24"/>
        </w:rPr>
        <w:t xml:space="preserve"> </w:t>
      </w:r>
      <w:r w:rsidR="00941523" w:rsidRPr="00276A1A">
        <w:rPr>
          <w:rFonts w:ascii="標楷體" w:eastAsia="標楷體" w:hAnsi="標楷體"/>
          <w:szCs w:val="24"/>
        </w:rPr>
        <w:t>Isatuximab(如</w:t>
      </w:r>
      <w:bookmarkStart w:id="43" w:name="_Hlk173438635"/>
      <w:r w:rsidR="00941523" w:rsidRPr="00276A1A">
        <w:rPr>
          <w:rFonts w:ascii="標楷體" w:eastAsia="標楷體" w:hAnsi="標楷體"/>
          <w:szCs w:val="24"/>
        </w:rPr>
        <w:t>Sarclisa</w:t>
      </w:r>
      <w:bookmarkEnd w:id="43"/>
      <w:r w:rsidR="00941523" w:rsidRPr="00276A1A">
        <w:rPr>
          <w:rFonts w:ascii="標楷體" w:eastAsia="標楷體" w:hAnsi="標楷體"/>
          <w:szCs w:val="24"/>
        </w:rPr>
        <w:t>)：(113/4/1、</w:t>
      </w:r>
      <w:r w:rsidR="00941523" w:rsidRPr="00276A1A">
        <w:rPr>
          <w:rFonts w:ascii="標楷體" w:eastAsia="標楷體" w:hAnsi="標楷體" w:hint="eastAsia"/>
          <w:szCs w:val="24"/>
        </w:rPr>
        <w:t>114</w:t>
      </w:r>
      <w:r w:rsidR="00941523" w:rsidRPr="00276A1A">
        <w:rPr>
          <w:rFonts w:ascii="標楷體" w:eastAsia="標楷體" w:hAnsi="標楷體"/>
          <w:szCs w:val="24"/>
        </w:rPr>
        <w:t>/</w:t>
      </w:r>
      <w:r w:rsidR="00941523" w:rsidRPr="00276A1A">
        <w:rPr>
          <w:rFonts w:ascii="標楷體" w:eastAsia="標楷體" w:hAnsi="標楷體" w:hint="eastAsia"/>
          <w:szCs w:val="24"/>
        </w:rPr>
        <w:t>9</w:t>
      </w:r>
      <w:r w:rsidR="00941523" w:rsidRPr="00276A1A">
        <w:rPr>
          <w:rFonts w:ascii="標楷體" w:eastAsia="標楷體" w:hAnsi="標楷體"/>
          <w:szCs w:val="24"/>
        </w:rPr>
        <w:t>/1)</w:t>
      </w:r>
    </w:p>
    <w:p w:rsidR="00941523" w:rsidRPr="00276A1A" w:rsidRDefault="00941523" w:rsidP="00941523">
      <w:pPr>
        <w:adjustRightInd w:val="0"/>
        <w:snapToGrid w:val="0"/>
        <w:spacing w:line="400" w:lineRule="exact"/>
        <w:ind w:leftChars="118" w:left="566" w:hangingChars="118" w:hanging="283"/>
        <w:rPr>
          <w:rFonts w:ascii="標楷體" w:eastAsia="標楷體" w:hAnsi="標楷體"/>
          <w:szCs w:val="24"/>
        </w:rPr>
      </w:pPr>
      <w:r w:rsidRPr="00276A1A">
        <w:rPr>
          <w:rFonts w:ascii="標楷體" w:eastAsia="標楷體" w:hAnsi="標楷體"/>
          <w:szCs w:val="24"/>
        </w:rPr>
        <w:t>1.限與carfilzomib/dexamethasone併用，治療先前曾接受至少</w:t>
      </w:r>
      <w:r w:rsidRPr="00276A1A">
        <w:rPr>
          <w:rFonts w:ascii="標楷體" w:eastAsia="標楷體" w:hAnsi="標楷體" w:hint="eastAsia"/>
          <w:szCs w:val="24"/>
        </w:rPr>
        <w:t>1</w:t>
      </w:r>
      <w:r w:rsidRPr="00276A1A">
        <w:rPr>
          <w:rFonts w:ascii="標楷體" w:eastAsia="標楷體" w:hAnsi="標楷體"/>
          <w:szCs w:val="24"/>
        </w:rPr>
        <w:t>種含bortezomib或lenalidomide之療法治療失敗的多發性骨髓瘤成人患者，且須具有良好日常體能狀態</w:t>
      </w:r>
      <w:r w:rsidRPr="00276A1A">
        <w:rPr>
          <w:rFonts w:ascii="標楷體" w:eastAsia="標楷體" w:hAnsi="標楷體"/>
          <w:szCs w:val="24"/>
        </w:rPr>
        <w:lastRenderedPageBreak/>
        <w:t>(ECOG&lt;2)者。</w:t>
      </w:r>
    </w:p>
    <w:p w:rsidR="00941523" w:rsidRPr="00276A1A" w:rsidRDefault="00941523" w:rsidP="00941523">
      <w:pPr>
        <w:adjustRightInd w:val="0"/>
        <w:snapToGrid w:val="0"/>
        <w:spacing w:line="400" w:lineRule="exact"/>
        <w:ind w:leftChars="118" w:left="566" w:hangingChars="118" w:hanging="283"/>
        <w:rPr>
          <w:rFonts w:ascii="標楷體" w:eastAsia="標楷體" w:hAnsi="標楷體"/>
          <w:szCs w:val="24"/>
        </w:rPr>
      </w:pPr>
      <w:r w:rsidRPr="00276A1A">
        <w:rPr>
          <w:rFonts w:ascii="標楷體" w:eastAsia="標楷體" w:hAnsi="標楷體"/>
          <w:szCs w:val="24"/>
        </w:rPr>
        <w:t>2.須經事前審查核准後使用：(113/4/1、</w:t>
      </w:r>
      <w:r w:rsidRPr="00276A1A">
        <w:rPr>
          <w:rFonts w:ascii="標楷體" w:eastAsia="標楷體" w:hAnsi="標楷體" w:hint="eastAsia"/>
          <w:szCs w:val="24"/>
        </w:rPr>
        <w:t>114</w:t>
      </w:r>
      <w:r w:rsidRPr="00276A1A">
        <w:rPr>
          <w:rFonts w:ascii="標楷體" w:eastAsia="標楷體" w:hAnsi="標楷體"/>
          <w:szCs w:val="24"/>
        </w:rPr>
        <w:t>/</w:t>
      </w:r>
      <w:r w:rsidRPr="00276A1A">
        <w:rPr>
          <w:rFonts w:ascii="標楷體" w:eastAsia="標楷體" w:hAnsi="標楷體" w:hint="eastAsia"/>
          <w:szCs w:val="24"/>
        </w:rPr>
        <w:t>9</w:t>
      </w:r>
      <w:r w:rsidRPr="00276A1A">
        <w:rPr>
          <w:rFonts w:ascii="標楷體" w:eastAsia="標楷體" w:hAnsi="標楷體"/>
          <w:szCs w:val="24"/>
        </w:rPr>
        <w:t>/1)</w:t>
      </w:r>
    </w:p>
    <w:p w:rsidR="00941523" w:rsidRPr="00276A1A" w:rsidRDefault="00941523" w:rsidP="00941523">
      <w:pPr>
        <w:adjustRightInd w:val="0"/>
        <w:snapToGrid w:val="0"/>
        <w:spacing w:line="400" w:lineRule="exact"/>
        <w:ind w:leftChars="177" w:left="562" w:hangingChars="57" w:hanging="137"/>
        <w:rPr>
          <w:rFonts w:ascii="標楷體" w:eastAsia="標楷體" w:hAnsi="標楷體"/>
          <w:szCs w:val="24"/>
        </w:rPr>
      </w:pPr>
      <w:r w:rsidRPr="00276A1A">
        <w:rPr>
          <w:rFonts w:ascii="標楷體" w:eastAsia="標楷體" w:hAnsi="標楷體"/>
          <w:szCs w:val="24"/>
        </w:rPr>
        <w:t>(1)首次申請為10次輸注，且需同時符合下列Ⅰ.、Ⅱ.與Ⅲ.的條件：</w:t>
      </w:r>
    </w:p>
    <w:p w:rsidR="00941523" w:rsidRPr="00276A1A" w:rsidRDefault="00941523" w:rsidP="00941523">
      <w:pPr>
        <w:adjustRightInd w:val="0"/>
        <w:snapToGrid w:val="0"/>
        <w:spacing w:line="400" w:lineRule="exact"/>
        <w:ind w:leftChars="295" w:left="840" w:hangingChars="55" w:hanging="132"/>
        <w:rPr>
          <w:rFonts w:ascii="標楷體" w:eastAsia="標楷體" w:hAnsi="標楷體"/>
          <w:szCs w:val="24"/>
        </w:rPr>
      </w:pPr>
      <w:r w:rsidRPr="00276A1A">
        <w:rPr>
          <w:rFonts w:ascii="標楷體" w:eastAsia="標楷體" w:hAnsi="標楷體"/>
          <w:szCs w:val="24"/>
        </w:rPr>
        <w:t>Ⅰ.病人先前曾未接受過daratumumab之治療。(</w:t>
      </w:r>
      <w:r w:rsidRPr="00276A1A">
        <w:rPr>
          <w:rFonts w:ascii="標楷體" w:eastAsia="標楷體" w:hAnsi="標楷體" w:hint="eastAsia"/>
          <w:szCs w:val="24"/>
        </w:rPr>
        <w:t>114</w:t>
      </w:r>
      <w:r w:rsidRPr="00276A1A">
        <w:rPr>
          <w:rFonts w:ascii="標楷體" w:eastAsia="標楷體" w:hAnsi="標楷體"/>
          <w:szCs w:val="24"/>
        </w:rPr>
        <w:t>/</w:t>
      </w:r>
      <w:r w:rsidRPr="00276A1A">
        <w:rPr>
          <w:rFonts w:ascii="標楷體" w:eastAsia="標楷體" w:hAnsi="標楷體" w:hint="eastAsia"/>
          <w:szCs w:val="24"/>
        </w:rPr>
        <w:t>9</w:t>
      </w:r>
      <w:r w:rsidRPr="00276A1A">
        <w:rPr>
          <w:rFonts w:ascii="標楷體" w:eastAsia="標楷體" w:hAnsi="標楷體"/>
          <w:szCs w:val="24"/>
        </w:rPr>
        <w:t>/1)</w:t>
      </w:r>
    </w:p>
    <w:p w:rsidR="00941523" w:rsidRPr="00276A1A" w:rsidRDefault="00941523" w:rsidP="00941523">
      <w:pPr>
        <w:adjustRightInd w:val="0"/>
        <w:snapToGrid w:val="0"/>
        <w:spacing w:line="400" w:lineRule="exact"/>
        <w:ind w:leftChars="299" w:left="1133" w:hangingChars="173" w:hanging="415"/>
        <w:rPr>
          <w:rFonts w:ascii="標楷體" w:eastAsia="標楷體" w:hAnsi="標楷體"/>
          <w:szCs w:val="24"/>
        </w:rPr>
      </w:pPr>
      <w:r w:rsidRPr="00276A1A">
        <w:rPr>
          <w:rFonts w:ascii="標楷體" w:eastAsia="標楷體" w:hAnsi="標楷體"/>
          <w:szCs w:val="24"/>
        </w:rPr>
        <w:t xml:space="preserve">Ⅱ.具有下列任一疾病惡化的指標： 病患開始治療前須在連續2次評估中均符合同一指標 (但若為plamacytoma 體積增加，或是新產生的bone lesion(s)或新plasmacytoma，則僅需1次評估)： </w:t>
      </w:r>
    </w:p>
    <w:p w:rsidR="00941523" w:rsidRPr="00276A1A" w:rsidRDefault="00941523" w:rsidP="00941523">
      <w:pPr>
        <w:adjustRightInd w:val="0"/>
        <w:snapToGrid w:val="0"/>
        <w:spacing w:line="400" w:lineRule="exact"/>
        <w:ind w:leftChars="353" w:left="1133" w:hangingChars="119" w:hanging="286"/>
        <w:rPr>
          <w:rFonts w:ascii="標楷體" w:eastAsia="標楷體" w:hAnsi="標楷體"/>
          <w:szCs w:val="24"/>
        </w:rPr>
      </w:pPr>
      <w:r w:rsidRPr="00276A1A">
        <w:rPr>
          <w:rFonts w:ascii="新細明體" w:hAnsi="新細明體" w:cs="新細明體" w:hint="eastAsia"/>
          <w:szCs w:val="24"/>
        </w:rPr>
        <w:t>ⅰ</w:t>
      </w:r>
      <w:r w:rsidRPr="00276A1A">
        <w:rPr>
          <w:rFonts w:ascii="標楷體" w:eastAsia="標楷體" w:hAnsi="標楷體"/>
          <w:szCs w:val="24"/>
        </w:rPr>
        <w:t>.若前一線治療中M component 最低值</w:t>
      </w:r>
      <w:r w:rsidRPr="00276A1A">
        <w:rPr>
          <w:rFonts w:ascii="標楷體" w:eastAsia="標楷體" w:hAnsi="標楷體" w:cs="新細明體" w:hint="eastAsia"/>
          <w:szCs w:val="24"/>
        </w:rPr>
        <w:t>≧</w:t>
      </w:r>
      <w:r w:rsidRPr="00276A1A">
        <w:rPr>
          <w:rFonts w:ascii="標楷體" w:eastAsia="標楷體" w:hAnsi="標楷體"/>
          <w:szCs w:val="24"/>
        </w:rPr>
        <w:t>5 g/dL，血清M蛋白需增加</w:t>
      </w:r>
      <w:r w:rsidRPr="00276A1A">
        <w:rPr>
          <w:rFonts w:ascii="標楷體" w:eastAsia="標楷體" w:hAnsi="標楷體" w:cs="新細明體" w:hint="eastAsia"/>
          <w:szCs w:val="24"/>
        </w:rPr>
        <w:t>≧</w:t>
      </w:r>
      <w:r w:rsidRPr="00276A1A">
        <w:rPr>
          <w:rFonts w:ascii="標楷體" w:eastAsia="標楷體" w:hAnsi="標楷體"/>
          <w:szCs w:val="24"/>
        </w:rPr>
        <w:t>1 g/dL；若前一線治療中M component最低值＜5 g/dL，血清M蛋白需增加</w:t>
      </w:r>
      <w:r w:rsidRPr="00276A1A">
        <w:rPr>
          <w:rFonts w:ascii="標楷體" w:eastAsia="標楷體" w:hAnsi="標楷體" w:cs="新細明體" w:hint="eastAsia"/>
          <w:szCs w:val="24"/>
        </w:rPr>
        <w:t>≧</w:t>
      </w:r>
      <w:r w:rsidRPr="00276A1A">
        <w:rPr>
          <w:rFonts w:ascii="標楷體" w:eastAsia="標楷體" w:hAnsi="標楷體"/>
          <w:szCs w:val="24"/>
        </w:rPr>
        <w:t>0.5g/dL。</w:t>
      </w:r>
    </w:p>
    <w:p w:rsidR="00941523" w:rsidRPr="00276A1A" w:rsidRDefault="00941523" w:rsidP="00941523">
      <w:pPr>
        <w:adjustRightInd w:val="0"/>
        <w:snapToGrid w:val="0"/>
        <w:spacing w:line="400" w:lineRule="exact"/>
        <w:ind w:leftChars="353" w:left="1133" w:hangingChars="119" w:hanging="286"/>
        <w:rPr>
          <w:rFonts w:ascii="標楷體" w:eastAsia="標楷體" w:hAnsi="標楷體"/>
          <w:szCs w:val="24"/>
        </w:rPr>
      </w:pPr>
      <w:r w:rsidRPr="00276A1A">
        <w:rPr>
          <w:rFonts w:ascii="新細明體" w:hAnsi="新細明體" w:cs="新細明體" w:hint="eastAsia"/>
          <w:szCs w:val="24"/>
        </w:rPr>
        <w:t>ⅱ</w:t>
      </w:r>
      <w:r w:rsidRPr="00276A1A">
        <w:rPr>
          <w:rFonts w:ascii="標楷體" w:eastAsia="標楷體" w:hAnsi="標楷體"/>
          <w:szCs w:val="24"/>
        </w:rPr>
        <w:t>.Urine M-protein需增加</w:t>
      </w:r>
      <w:r w:rsidRPr="00276A1A">
        <w:rPr>
          <w:rFonts w:ascii="標楷體" w:eastAsia="標楷體" w:hAnsi="標楷體" w:cs="新細明體" w:hint="eastAsia"/>
          <w:szCs w:val="24"/>
        </w:rPr>
        <w:t>≧</w:t>
      </w:r>
      <w:r w:rsidRPr="00276A1A">
        <w:rPr>
          <w:rFonts w:ascii="標楷體" w:eastAsia="標楷體" w:hAnsi="標楷體"/>
          <w:szCs w:val="24"/>
        </w:rPr>
        <w:t>0.2 gm/24Hr，且需較前一線治療中的最低值增加</w:t>
      </w:r>
      <w:r w:rsidRPr="00276A1A">
        <w:rPr>
          <w:rFonts w:ascii="標楷體" w:eastAsia="標楷體" w:hAnsi="標楷體" w:cs="新細明體" w:hint="eastAsia"/>
          <w:szCs w:val="24"/>
        </w:rPr>
        <w:t>≧</w:t>
      </w:r>
      <w:r w:rsidRPr="00276A1A">
        <w:rPr>
          <w:rFonts w:ascii="標楷體" w:eastAsia="標楷體" w:hAnsi="標楷體"/>
          <w:szCs w:val="24"/>
        </w:rPr>
        <w:t>25%。</w:t>
      </w:r>
    </w:p>
    <w:p w:rsidR="00941523" w:rsidRPr="00276A1A" w:rsidRDefault="00941523" w:rsidP="00941523">
      <w:pPr>
        <w:adjustRightInd w:val="0"/>
        <w:snapToGrid w:val="0"/>
        <w:spacing w:line="400" w:lineRule="exact"/>
        <w:ind w:leftChars="353" w:left="1133" w:hangingChars="119" w:hanging="286"/>
        <w:rPr>
          <w:rFonts w:ascii="標楷體" w:eastAsia="標楷體" w:hAnsi="標楷體"/>
          <w:szCs w:val="24"/>
        </w:rPr>
      </w:pPr>
      <w:r w:rsidRPr="00276A1A">
        <w:rPr>
          <w:rFonts w:ascii="標楷體" w:eastAsia="標楷體" w:hAnsi="標楷體"/>
          <w:szCs w:val="24"/>
        </w:rPr>
        <w:t>iii.在non-secretary myeloma 病患，骨髓漿細胞 (plasma cells)之比例絕對值增加</w:t>
      </w:r>
      <w:r w:rsidRPr="00276A1A">
        <w:rPr>
          <w:rFonts w:ascii="標楷體" w:eastAsia="標楷體" w:hAnsi="標楷體" w:cs="新細明體" w:hint="eastAsia"/>
          <w:szCs w:val="24"/>
        </w:rPr>
        <w:t>≧</w:t>
      </w:r>
      <w:r w:rsidRPr="00276A1A">
        <w:rPr>
          <w:rFonts w:ascii="標楷體" w:eastAsia="標楷體" w:hAnsi="標楷體"/>
          <w:szCs w:val="24"/>
        </w:rPr>
        <w:t>10%，且需較前一線治療中的最低值增加</w:t>
      </w:r>
      <w:r w:rsidRPr="00276A1A">
        <w:rPr>
          <w:rFonts w:ascii="標楷體" w:eastAsia="標楷體" w:hAnsi="標楷體" w:cs="新細明體" w:hint="eastAsia"/>
          <w:szCs w:val="24"/>
        </w:rPr>
        <w:t>≧</w:t>
      </w:r>
      <w:r w:rsidRPr="00276A1A">
        <w:rPr>
          <w:rFonts w:ascii="標楷體" w:eastAsia="標楷體" w:hAnsi="標楷體"/>
          <w:szCs w:val="24"/>
        </w:rPr>
        <w:t>25%。</w:t>
      </w:r>
    </w:p>
    <w:p w:rsidR="00941523" w:rsidRPr="00276A1A" w:rsidRDefault="00941523" w:rsidP="00941523">
      <w:pPr>
        <w:adjustRightInd w:val="0"/>
        <w:snapToGrid w:val="0"/>
        <w:spacing w:line="400" w:lineRule="exact"/>
        <w:ind w:leftChars="353" w:left="1133" w:hangingChars="119" w:hanging="286"/>
        <w:rPr>
          <w:rFonts w:ascii="標楷體" w:eastAsia="標楷體" w:hAnsi="標楷體"/>
          <w:szCs w:val="24"/>
        </w:rPr>
      </w:pPr>
      <w:r w:rsidRPr="00276A1A">
        <w:rPr>
          <w:rFonts w:ascii="標楷體" w:eastAsia="標楷體" w:hAnsi="標楷體"/>
          <w:szCs w:val="24"/>
        </w:rPr>
        <w:t>iv.新產生的bone lesion(s)或plasmacytoma；且須經病理切片證實。</w:t>
      </w:r>
    </w:p>
    <w:p w:rsidR="00941523" w:rsidRPr="00276A1A" w:rsidRDefault="00941523" w:rsidP="00941523">
      <w:pPr>
        <w:adjustRightInd w:val="0"/>
        <w:snapToGrid w:val="0"/>
        <w:spacing w:line="400" w:lineRule="exact"/>
        <w:ind w:leftChars="353" w:left="1133" w:hangingChars="119" w:hanging="286"/>
        <w:rPr>
          <w:rFonts w:ascii="標楷體" w:eastAsia="標楷體" w:hAnsi="標楷體"/>
          <w:szCs w:val="24"/>
        </w:rPr>
      </w:pPr>
      <w:r w:rsidRPr="00276A1A">
        <w:rPr>
          <w:rFonts w:ascii="標楷體" w:eastAsia="標楷體" w:hAnsi="標楷體"/>
          <w:szCs w:val="24"/>
        </w:rPr>
        <w:t>v.Plasmacytoma體積增加</w:t>
      </w:r>
      <w:r w:rsidRPr="00276A1A">
        <w:rPr>
          <w:rFonts w:ascii="標楷體" w:eastAsia="標楷體" w:hAnsi="標楷體" w:cs="新細明體" w:hint="eastAsia"/>
          <w:szCs w:val="24"/>
        </w:rPr>
        <w:t>≧</w:t>
      </w:r>
      <w:r w:rsidRPr="00276A1A">
        <w:rPr>
          <w:rFonts w:ascii="標楷體" w:eastAsia="標楷體" w:hAnsi="標楷體"/>
          <w:szCs w:val="24"/>
        </w:rPr>
        <w:t>50%。</w:t>
      </w:r>
    </w:p>
    <w:p w:rsidR="00941523" w:rsidRPr="00276A1A" w:rsidRDefault="00941523" w:rsidP="00941523">
      <w:pPr>
        <w:adjustRightInd w:val="0"/>
        <w:snapToGrid w:val="0"/>
        <w:spacing w:line="400" w:lineRule="exact"/>
        <w:ind w:leftChars="353" w:left="1133" w:hangingChars="119" w:hanging="286"/>
        <w:rPr>
          <w:rFonts w:ascii="標楷體" w:eastAsia="標楷體" w:hAnsi="標楷體"/>
          <w:szCs w:val="24"/>
        </w:rPr>
      </w:pPr>
      <w:r w:rsidRPr="00276A1A">
        <w:rPr>
          <w:rFonts w:ascii="標楷體" w:eastAsia="標楷體" w:hAnsi="標楷體"/>
          <w:szCs w:val="24"/>
        </w:rPr>
        <w:t>vi.周邊血液中漿細胞比例</w:t>
      </w:r>
      <w:r w:rsidRPr="00276A1A">
        <w:rPr>
          <w:rFonts w:ascii="標楷體" w:eastAsia="標楷體" w:hAnsi="標楷體" w:cs="新細明體" w:hint="eastAsia"/>
          <w:szCs w:val="24"/>
        </w:rPr>
        <w:t>≧</w:t>
      </w:r>
      <w:r w:rsidRPr="00276A1A">
        <w:rPr>
          <w:rFonts w:ascii="標楷體" w:eastAsia="標楷體" w:hAnsi="標楷體"/>
          <w:szCs w:val="24"/>
        </w:rPr>
        <w:t>20%或漿細胞絕對值</w:t>
      </w:r>
      <w:r w:rsidRPr="00276A1A">
        <w:rPr>
          <w:rFonts w:ascii="標楷體" w:eastAsia="標楷體" w:hAnsi="標楷體" w:cs="新細明體" w:hint="eastAsia"/>
          <w:szCs w:val="24"/>
        </w:rPr>
        <w:t>≧</w:t>
      </w:r>
      <w:r w:rsidRPr="00276A1A">
        <w:rPr>
          <w:rFonts w:ascii="標楷體" w:eastAsia="標楷體" w:hAnsi="標楷體"/>
          <w:szCs w:val="24"/>
        </w:rPr>
        <w:t>2000 cells/μL。</w:t>
      </w:r>
    </w:p>
    <w:p w:rsidR="00941523" w:rsidRPr="00276A1A" w:rsidRDefault="00941523" w:rsidP="00941523">
      <w:pPr>
        <w:adjustRightInd w:val="0"/>
        <w:snapToGrid w:val="0"/>
        <w:spacing w:line="400" w:lineRule="exact"/>
        <w:ind w:leftChars="295" w:left="1354" w:hangingChars="269" w:hanging="646"/>
        <w:rPr>
          <w:rFonts w:ascii="標楷體" w:eastAsia="標楷體" w:hAnsi="標楷體"/>
          <w:szCs w:val="24"/>
        </w:rPr>
      </w:pPr>
      <w:r w:rsidRPr="00276A1A">
        <w:rPr>
          <w:rFonts w:ascii="標楷體" w:eastAsia="標楷體" w:hAnsi="標楷體"/>
          <w:szCs w:val="24"/>
        </w:rPr>
        <w:t xml:space="preserve">Ⅲ.出現下列任一臨床症狀： </w:t>
      </w:r>
    </w:p>
    <w:p w:rsidR="00941523" w:rsidRPr="00276A1A" w:rsidRDefault="00941523" w:rsidP="00941523">
      <w:pPr>
        <w:adjustRightInd w:val="0"/>
        <w:snapToGrid w:val="0"/>
        <w:spacing w:line="400" w:lineRule="exact"/>
        <w:ind w:leftChars="354" w:left="982" w:hangingChars="55" w:hanging="132"/>
        <w:rPr>
          <w:rFonts w:ascii="標楷體" w:eastAsia="標楷體" w:hAnsi="標楷體"/>
          <w:szCs w:val="24"/>
        </w:rPr>
      </w:pPr>
      <w:r w:rsidRPr="00276A1A">
        <w:rPr>
          <w:rFonts w:ascii="新細明體" w:hAnsi="新細明體" w:cs="新細明體" w:hint="eastAsia"/>
          <w:szCs w:val="24"/>
        </w:rPr>
        <w:t>ⅰ</w:t>
      </w:r>
      <w:r w:rsidRPr="00276A1A">
        <w:rPr>
          <w:rFonts w:ascii="標楷體" w:eastAsia="標楷體" w:hAnsi="標楷體"/>
          <w:szCs w:val="24"/>
        </w:rPr>
        <w:t>.新產生的bone lesion(s)或plasmacytoma；且須經病理切片證實。</w:t>
      </w:r>
    </w:p>
    <w:p w:rsidR="00941523" w:rsidRPr="00276A1A" w:rsidRDefault="00941523" w:rsidP="00941523">
      <w:pPr>
        <w:adjustRightInd w:val="0"/>
        <w:snapToGrid w:val="0"/>
        <w:spacing w:line="400" w:lineRule="exact"/>
        <w:ind w:leftChars="354" w:left="982" w:hangingChars="55" w:hanging="132"/>
        <w:rPr>
          <w:rFonts w:ascii="標楷體" w:eastAsia="標楷體" w:hAnsi="標楷體"/>
          <w:szCs w:val="24"/>
        </w:rPr>
      </w:pPr>
      <w:r w:rsidRPr="00276A1A">
        <w:rPr>
          <w:rFonts w:ascii="新細明體" w:hAnsi="新細明體" w:cs="新細明體" w:hint="eastAsia"/>
          <w:szCs w:val="24"/>
        </w:rPr>
        <w:t>ⅱ</w:t>
      </w:r>
      <w:r w:rsidRPr="00276A1A">
        <w:rPr>
          <w:rFonts w:ascii="標楷體" w:eastAsia="標楷體" w:hAnsi="標楷體"/>
          <w:szCs w:val="24"/>
        </w:rPr>
        <w:t>.Plasmacytoma 體積增加</w:t>
      </w:r>
      <w:r w:rsidRPr="00276A1A">
        <w:rPr>
          <w:rFonts w:ascii="標楷體" w:eastAsia="標楷體" w:hAnsi="標楷體" w:cs="新細明體" w:hint="eastAsia"/>
          <w:szCs w:val="24"/>
        </w:rPr>
        <w:t>≧</w:t>
      </w:r>
      <w:r w:rsidRPr="00276A1A">
        <w:rPr>
          <w:rFonts w:ascii="標楷體" w:eastAsia="標楷體" w:hAnsi="標楷體"/>
          <w:szCs w:val="24"/>
        </w:rPr>
        <w:t>50%。</w:t>
      </w:r>
    </w:p>
    <w:p w:rsidR="00941523" w:rsidRPr="00276A1A" w:rsidRDefault="00941523" w:rsidP="00941523">
      <w:pPr>
        <w:adjustRightInd w:val="0"/>
        <w:snapToGrid w:val="0"/>
        <w:spacing w:line="400" w:lineRule="exact"/>
        <w:ind w:leftChars="354" w:left="982" w:hangingChars="55" w:hanging="132"/>
        <w:rPr>
          <w:rFonts w:ascii="標楷體" w:eastAsia="標楷體" w:hAnsi="標楷體"/>
          <w:szCs w:val="24"/>
        </w:rPr>
      </w:pPr>
      <w:r w:rsidRPr="00276A1A">
        <w:rPr>
          <w:rFonts w:ascii="標楷體" w:eastAsia="標楷體" w:hAnsi="標楷體"/>
          <w:szCs w:val="24"/>
        </w:rPr>
        <w:t>iii.高血鈣(corrected serum calcium＞11.0 mg/dL 或 2.75 mmol/L)。</w:t>
      </w:r>
    </w:p>
    <w:p w:rsidR="00941523" w:rsidRPr="00276A1A" w:rsidRDefault="00941523" w:rsidP="00941523">
      <w:pPr>
        <w:adjustRightInd w:val="0"/>
        <w:snapToGrid w:val="0"/>
        <w:spacing w:line="400" w:lineRule="exact"/>
        <w:ind w:leftChars="354" w:left="982" w:hangingChars="55" w:hanging="132"/>
        <w:rPr>
          <w:rFonts w:ascii="標楷體" w:eastAsia="標楷體" w:hAnsi="標楷體"/>
          <w:szCs w:val="24"/>
        </w:rPr>
      </w:pPr>
      <w:r w:rsidRPr="00276A1A">
        <w:rPr>
          <w:rFonts w:ascii="標楷體" w:eastAsia="標楷體" w:hAnsi="標楷體"/>
          <w:szCs w:val="24"/>
        </w:rPr>
        <w:t>iv.貧血(Hemoglobin 下降幅度</w:t>
      </w:r>
      <w:r w:rsidRPr="00276A1A">
        <w:rPr>
          <w:rFonts w:ascii="標楷體" w:eastAsia="標楷體" w:hAnsi="標楷體" w:cs="新細明體" w:hint="eastAsia"/>
          <w:szCs w:val="24"/>
        </w:rPr>
        <w:t>≧</w:t>
      </w:r>
      <w:r w:rsidRPr="00276A1A">
        <w:rPr>
          <w:rFonts w:ascii="標楷體" w:eastAsia="標楷體" w:hAnsi="標楷體"/>
          <w:szCs w:val="24"/>
        </w:rPr>
        <w:t xml:space="preserve"> 2gm/dL且無其他原因可以解釋)。</w:t>
      </w:r>
    </w:p>
    <w:p w:rsidR="00941523" w:rsidRPr="00276A1A" w:rsidRDefault="00941523" w:rsidP="00941523">
      <w:pPr>
        <w:adjustRightInd w:val="0"/>
        <w:snapToGrid w:val="0"/>
        <w:spacing w:line="400" w:lineRule="exact"/>
        <w:ind w:leftChars="354" w:left="982" w:hangingChars="55" w:hanging="132"/>
        <w:rPr>
          <w:rFonts w:ascii="標楷體" w:eastAsia="標楷體" w:hAnsi="標楷體"/>
          <w:szCs w:val="24"/>
        </w:rPr>
      </w:pPr>
      <w:r w:rsidRPr="00276A1A">
        <w:rPr>
          <w:rFonts w:ascii="標楷體" w:eastAsia="標楷體" w:hAnsi="標楷體"/>
          <w:szCs w:val="24"/>
        </w:rPr>
        <w:t>v.腎功能惡化(eGFR需下降幅度</w:t>
      </w:r>
      <w:r w:rsidRPr="00276A1A">
        <w:rPr>
          <w:rFonts w:ascii="標楷體" w:eastAsia="標楷體" w:hAnsi="標楷體" w:cs="新細明體" w:hint="eastAsia"/>
          <w:szCs w:val="24"/>
        </w:rPr>
        <w:t>≧</w:t>
      </w:r>
      <w:r w:rsidRPr="00276A1A">
        <w:rPr>
          <w:rFonts w:ascii="標楷體" w:eastAsia="標楷體" w:hAnsi="標楷體"/>
          <w:szCs w:val="24"/>
        </w:rPr>
        <w:t>25%)，且無其他原因可以解釋。</w:t>
      </w:r>
    </w:p>
    <w:p w:rsidR="00941523" w:rsidRPr="00276A1A" w:rsidRDefault="00941523" w:rsidP="00941523">
      <w:pPr>
        <w:adjustRightInd w:val="0"/>
        <w:snapToGrid w:val="0"/>
        <w:spacing w:line="400" w:lineRule="exact"/>
        <w:ind w:leftChars="354" w:left="982" w:hangingChars="55" w:hanging="132"/>
        <w:rPr>
          <w:rFonts w:ascii="標楷體" w:eastAsia="標楷體" w:hAnsi="標楷體"/>
          <w:szCs w:val="24"/>
        </w:rPr>
      </w:pPr>
      <w:r w:rsidRPr="00276A1A">
        <w:rPr>
          <w:rFonts w:ascii="標楷體" w:eastAsia="標楷體" w:hAnsi="標楷體"/>
          <w:szCs w:val="24"/>
        </w:rPr>
        <w:t>vi.出現其他end-organ dysfunctions。</w:t>
      </w:r>
    </w:p>
    <w:p w:rsidR="00941523" w:rsidRPr="00276A1A" w:rsidRDefault="00941523" w:rsidP="00941523">
      <w:pPr>
        <w:adjustRightInd w:val="0"/>
        <w:snapToGrid w:val="0"/>
        <w:spacing w:line="400" w:lineRule="exact"/>
        <w:ind w:leftChars="236" w:left="849" w:hanging="283"/>
        <w:rPr>
          <w:rFonts w:ascii="標楷體" w:eastAsia="標楷體" w:hAnsi="標楷體"/>
          <w:szCs w:val="24"/>
        </w:rPr>
      </w:pPr>
      <w:r w:rsidRPr="00276A1A">
        <w:rPr>
          <w:rFonts w:ascii="標楷體" w:eastAsia="標楷體" w:hAnsi="標楷體"/>
          <w:szCs w:val="24"/>
        </w:rPr>
        <w:t>(2)之後申請則為每次4次輸注，申請時必須確定paraprotein (M-protein)未上升(即表示對藥物有反應或為穩定狀態)，或對部分non-secretory type MM病人以骨髓檢查plasma cell為療效依據，方可繼續使用。</w:t>
      </w:r>
    </w:p>
    <w:p w:rsidR="00941523" w:rsidRPr="00276A1A" w:rsidRDefault="00941523" w:rsidP="00941523">
      <w:pPr>
        <w:adjustRightInd w:val="0"/>
        <w:snapToGrid w:val="0"/>
        <w:spacing w:line="400" w:lineRule="exact"/>
        <w:ind w:leftChars="119" w:left="567" w:hangingChars="117" w:hanging="281"/>
        <w:rPr>
          <w:rFonts w:ascii="標楷體" w:eastAsia="標楷體" w:hAnsi="標楷體"/>
          <w:szCs w:val="24"/>
        </w:rPr>
      </w:pPr>
      <w:r w:rsidRPr="00276A1A">
        <w:rPr>
          <w:rFonts w:ascii="標楷體" w:eastAsia="標楷體" w:hAnsi="標楷體"/>
          <w:szCs w:val="24"/>
        </w:rPr>
        <w:t>3.每位病人終生限給付26次輸注。</w:t>
      </w:r>
    </w:p>
    <w:p w:rsidR="00941523" w:rsidRPr="00276A1A" w:rsidRDefault="00941523" w:rsidP="00941523">
      <w:pPr>
        <w:adjustRightInd w:val="0"/>
        <w:snapToGrid w:val="0"/>
        <w:spacing w:line="400" w:lineRule="exact"/>
        <w:ind w:leftChars="119" w:left="567" w:hangingChars="117" w:hanging="281"/>
        <w:rPr>
          <w:rFonts w:ascii="標楷體" w:eastAsia="標楷體" w:hAnsi="標楷體"/>
          <w:szCs w:val="24"/>
        </w:rPr>
      </w:pPr>
      <w:r w:rsidRPr="00276A1A">
        <w:rPr>
          <w:rFonts w:ascii="標楷體" w:eastAsia="標楷體" w:hAnsi="標楷體"/>
          <w:szCs w:val="24"/>
        </w:rPr>
        <w:t>4.除carfilzomib外，本案藥品不得與其他蛋白酶體抑制劑(proteasome inhibitor)或免疫調節劑(immunomodulatory drugs)併用。</w:t>
      </w:r>
    </w:p>
    <w:p w:rsidR="00B96EA0" w:rsidRDefault="00941523" w:rsidP="00941523">
      <w:pPr>
        <w:spacing w:line="400" w:lineRule="exact"/>
        <w:ind w:leftChars="119" w:left="567" w:hangingChars="117" w:hanging="281"/>
      </w:pPr>
      <w:r w:rsidRPr="00276A1A">
        <w:rPr>
          <w:rFonts w:ascii="標楷體" w:eastAsia="標楷體" w:hAnsi="標楷體"/>
          <w:szCs w:val="24"/>
        </w:rPr>
        <w:t>5.Isatuximab與daratumumab二者僅能擇一使用，除因藥物耐受不良以外，不可以其他原因申請互換使用。</w:t>
      </w:r>
    </w:p>
    <w:p w:rsidR="00B96EA0" w:rsidRDefault="007D66B8" w:rsidP="005142EB">
      <w:pPr>
        <w:tabs>
          <w:tab w:val="left" w:pos="1418"/>
        </w:tabs>
        <w:spacing w:line="400" w:lineRule="exact"/>
        <w:ind w:left="655" w:hanging="612"/>
        <w:rPr>
          <w:rFonts w:ascii="標楷體" w:eastAsia="標楷體" w:hAnsi="標楷體"/>
          <w:color w:val="000000"/>
        </w:rPr>
      </w:pPr>
      <w:r>
        <w:rPr>
          <w:rFonts w:ascii="標楷體" w:eastAsia="標楷體" w:hAnsi="標楷體"/>
          <w:color w:val="000000"/>
        </w:rPr>
        <w:t>9.109.Enfortumab vedotin(如</w:t>
      </w:r>
      <w:bookmarkStart w:id="44" w:name="_Hlk141697711"/>
      <w:r>
        <w:rPr>
          <w:rFonts w:ascii="標楷體" w:eastAsia="標楷體" w:hAnsi="標楷體"/>
          <w:color w:val="000000"/>
        </w:rPr>
        <w:t>Padcev</w:t>
      </w:r>
      <w:bookmarkEnd w:id="44"/>
      <w:r>
        <w:rPr>
          <w:rFonts w:ascii="標楷體" w:eastAsia="標楷體" w:hAnsi="標楷體"/>
          <w:color w:val="000000"/>
        </w:rPr>
        <w:t>）：(113/5/1)</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1.適用於先前接受過含鉑化學治療，後續接受免疫檢查點抑制劑(如atezolizumab；nivolumab；pembrolizumab；avelumab；ipilimumab製劑)治療失敗後疾病惡化的局部晚期或轉移性泌尿道上皮癌成人病人，須檢附接受過含鉑化學治療之病歷報告。</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2.使用條件：</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lastRenderedPageBreak/>
        <w:t>(1)病人身體狀況良好（ECOG≦2）且預期壽命至少3個月以上。</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t>(2)病人之心肺與肝腎功能須符合下列所有條件：</w:t>
      </w:r>
    </w:p>
    <w:p w:rsidR="00B96EA0" w:rsidRDefault="007D66B8" w:rsidP="005142EB">
      <w:pPr>
        <w:tabs>
          <w:tab w:val="left" w:pos="1418"/>
        </w:tabs>
        <w:spacing w:line="400" w:lineRule="exact"/>
        <w:ind w:left="1291" w:hanging="245"/>
        <w:jc w:val="both"/>
        <w:rPr>
          <w:rFonts w:ascii="標楷體" w:eastAsia="標楷體" w:hAnsi="標楷體"/>
          <w:color w:val="000000"/>
        </w:rPr>
      </w:pPr>
      <w:r>
        <w:rPr>
          <w:rFonts w:ascii="標楷體" w:eastAsia="標楷體" w:hAnsi="標楷體"/>
          <w:color w:val="000000"/>
        </w:rPr>
        <w:t>I.NYHA(the New York Heart Association) Functional Class I或II。</w:t>
      </w:r>
    </w:p>
    <w:p w:rsidR="00B96EA0" w:rsidRDefault="007D66B8" w:rsidP="005142EB">
      <w:pPr>
        <w:tabs>
          <w:tab w:val="left" w:pos="1418"/>
        </w:tabs>
        <w:spacing w:line="400" w:lineRule="exact"/>
        <w:ind w:left="1291" w:hanging="245"/>
        <w:jc w:val="both"/>
        <w:rPr>
          <w:rFonts w:ascii="標楷體" w:eastAsia="標楷體" w:hAnsi="標楷體"/>
          <w:color w:val="000000"/>
        </w:rPr>
      </w:pPr>
      <w:r>
        <w:rPr>
          <w:rFonts w:ascii="標楷體" w:eastAsia="標楷體" w:hAnsi="標楷體"/>
          <w:color w:val="000000"/>
        </w:rPr>
        <w:t xml:space="preserve">II.GOT&lt;60U/L及GPT&lt;60U/L，且T-bilirubin&lt;1.5mg/dL。 </w:t>
      </w:r>
    </w:p>
    <w:p w:rsidR="00B96EA0" w:rsidRDefault="007D66B8" w:rsidP="005142EB">
      <w:pPr>
        <w:tabs>
          <w:tab w:val="left" w:pos="1418"/>
        </w:tabs>
        <w:spacing w:line="400" w:lineRule="exact"/>
        <w:ind w:left="1291" w:hanging="245"/>
        <w:jc w:val="both"/>
      </w:pPr>
      <w:r>
        <w:rPr>
          <w:rFonts w:ascii="標楷體" w:eastAsia="標楷體" w:hAnsi="標楷體"/>
          <w:color w:val="000000"/>
        </w:rPr>
        <w:t>III.腎功能: eGFR&gt;30mL/min /1.73m</w:t>
      </w:r>
      <w:r>
        <w:rPr>
          <w:rFonts w:ascii="標楷體" w:eastAsia="標楷體" w:hAnsi="標楷體"/>
          <w:color w:val="000000"/>
          <w:vertAlign w:val="superscript"/>
        </w:rPr>
        <w:t>2</w:t>
      </w:r>
      <w:r>
        <w:rPr>
          <w:rFonts w:ascii="標楷體" w:eastAsia="標楷體" w:hAnsi="標楷體"/>
          <w:color w:val="000000"/>
        </w:rPr>
        <w:t>。</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t>(3)無中樞神經系統(CNS)轉移。</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t>(4)需排除病情控制不佳的糖尿病患者（HbA1c≧8%）。</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3.須經事前審查核准後使用。初次申請時需檢附以下資料：</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t>(1)病人身體狀況良好(ECOG≦2)及心肺與肝腎功能之評估資料。</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t>(2)病人12週內之疾病影像檢查及報告(如胸部X光、電腦斷層或其他可作為評估的影像)，此影像證明以可測量(measurable)的病灶為優先，如沒有可以測量的病灶，則可評估(evaluable)的病灶亦可採用。</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t>(3)其他佐證病歷資料。</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4.每次申請事前審查以3個療程為限，再次申請時需檢附療效評估資料，若病情惡化即不得再次申請，無效後或給付時程期滿後則不再給付該適應症相關之標靶藥物及免疫檢查點抑制劑。</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5.每位病人限給付6個療程。</w:t>
      </w:r>
    </w:p>
    <w:p w:rsidR="00B96EA0" w:rsidRDefault="007D66B8" w:rsidP="005142EB">
      <w:pPr>
        <w:tabs>
          <w:tab w:val="left" w:pos="1418"/>
        </w:tabs>
        <w:spacing w:line="400" w:lineRule="exact"/>
        <w:ind w:left="655" w:hanging="612"/>
        <w:rPr>
          <w:rFonts w:ascii="標楷體" w:eastAsia="標楷體" w:hAnsi="標楷體"/>
          <w:color w:val="000000"/>
        </w:rPr>
      </w:pPr>
      <w:r>
        <w:rPr>
          <w:rFonts w:ascii="標楷體" w:eastAsia="標楷體" w:hAnsi="標楷體"/>
          <w:color w:val="000000"/>
        </w:rPr>
        <w:t>9.110.Tirabrutinib (如Velexbru）：(113/6/1)</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1.適用於治療成人復發或難治型原發性中樞神經系統B細胞淋巴瘤，且符合下列各項條件：</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t>(1)復發頑固型，曾接受過至少兩個療程HD-MTX治療。</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t>(2)細胞型態須為Large B cell。</w:t>
      </w:r>
    </w:p>
    <w:p w:rsidR="00B96EA0" w:rsidRDefault="007D66B8" w:rsidP="005142EB">
      <w:pPr>
        <w:tabs>
          <w:tab w:val="left" w:pos="1418"/>
        </w:tabs>
        <w:spacing w:line="400" w:lineRule="exact"/>
        <w:ind w:left="1051" w:hanging="245"/>
        <w:jc w:val="both"/>
        <w:rPr>
          <w:rFonts w:ascii="標楷體" w:eastAsia="標楷體" w:hAnsi="標楷體"/>
          <w:color w:val="000000"/>
        </w:rPr>
      </w:pPr>
      <w:r>
        <w:rPr>
          <w:rFonts w:ascii="標楷體" w:eastAsia="標楷體" w:hAnsi="標楷體"/>
          <w:color w:val="000000"/>
        </w:rPr>
        <w:t xml:space="preserve">(3)須排除HIV(+)及Burkitt lymphoma患者。 </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2.須經事前審查核准後使用。首次申請事前審查之療程以3個月為限，之後每3個月需再次申請，再次申請時應檢附前次治療結果評估資料，如影像學檢查報告。</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3.每日至多處方6粒。</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4.限給付9個月。</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5.限單獨使用，不得同時使用單株抗體及化療。</w:t>
      </w:r>
    </w:p>
    <w:p w:rsidR="00B96EA0" w:rsidRDefault="007D66B8" w:rsidP="005142EB">
      <w:pPr>
        <w:tabs>
          <w:tab w:val="left" w:pos="1418"/>
        </w:tabs>
        <w:spacing w:line="400" w:lineRule="exact"/>
        <w:ind w:left="655" w:hanging="612"/>
        <w:rPr>
          <w:rFonts w:ascii="標楷體" w:eastAsia="標楷體" w:hAnsi="標楷體"/>
          <w:szCs w:val="24"/>
        </w:rPr>
      </w:pPr>
      <w:r>
        <w:rPr>
          <w:rFonts w:ascii="標楷體" w:eastAsia="標楷體" w:hAnsi="標楷體"/>
          <w:szCs w:val="24"/>
        </w:rPr>
        <w:t>9.111.Elotuzumab (如Empliciti)：(113/9/1)</w:t>
      </w:r>
    </w:p>
    <w:p w:rsidR="00B96EA0" w:rsidRDefault="007D66B8" w:rsidP="005142EB">
      <w:pPr>
        <w:tabs>
          <w:tab w:val="left" w:pos="1418"/>
        </w:tabs>
        <w:spacing w:line="400" w:lineRule="exact"/>
        <w:ind w:left="811" w:hanging="245"/>
        <w:jc w:val="both"/>
        <w:rPr>
          <w:rFonts w:ascii="標楷體" w:eastAsia="標楷體" w:hAnsi="標楷體"/>
          <w:szCs w:val="24"/>
        </w:rPr>
      </w:pPr>
      <w:r>
        <w:rPr>
          <w:rFonts w:ascii="標楷體" w:eastAsia="標楷體" w:hAnsi="標楷體"/>
          <w:szCs w:val="24"/>
        </w:rPr>
        <w:t>1.與pomalidomide及dexamethasone併用，治療之前曾接受過至少兩種療法（包括lenalidomide和蛋白酶體抑制劑）的多發性骨髓瘤成年病人，且完全符合下列條件：</w:t>
      </w:r>
    </w:p>
    <w:p w:rsidR="00B96EA0" w:rsidRDefault="007D66B8" w:rsidP="005142EB">
      <w:pPr>
        <w:tabs>
          <w:tab w:val="left" w:pos="1418"/>
        </w:tabs>
        <w:spacing w:line="400" w:lineRule="exact"/>
        <w:ind w:left="1051" w:hanging="245"/>
        <w:jc w:val="both"/>
        <w:rPr>
          <w:rFonts w:ascii="標楷體" w:eastAsia="標楷體" w:hAnsi="標楷體"/>
          <w:szCs w:val="24"/>
        </w:rPr>
      </w:pPr>
      <w:r>
        <w:rPr>
          <w:rFonts w:ascii="標楷體" w:eastAsia="標楷體" w:hAnsi="標楷體"/>
          <w:szCs w:val="24"/>
        </w:rPr>
        <w:t>(1)確認完成前次治療時或結束治療後六十天內發生疾病惡化(disease progression)。</w:t>
      </w:r>
    </w:p>
    <w:p w:rsidR="00B96EA0" w:rsidRDefault="007D66B8" w:rsidP="005142EB">
      <w:pPr>
        <w:tabs>
          <w:tab w:val="left" w:pos="1418"/>
        </w:tabs>
        <w:spacing w:line="400" w:lineRule="exact"/>
        <w:ind w:left="1051" w:hanging="245"/>
        <w:jc w:val="both"/>
        <w:rPr>
          <w:rFonts w:ascii="標楷體" w:eastAsia="標楷體" w:hAnsi="標楷體"/>
          <w:szCs w:val="24"/>
        </w:rPr>
      </w:pPr>
      <w:r>
        <w:rPr>
          <w:rFonts w:ascii="標楷體" w:eastAsia="標楷體" w:hAnsi="標楷體"/>
          <w:szCs w:val="24"/>
        </w:rPr>
        <w:t>(2)須具有良好日常體能狀態(ECOG &lt; 2)。</w:t>
      </w:r>
    </w:p>
    <w:p w:rsidR="00B96EA0" w:rsidRDefault="007D66B8" w:rsidP="005142EB">
      <w:pPr>
        <w:tabs>
          <w:tab w:val="left" w:pos="1418"/>
        </w:tabs>
        <w:spacing w:line="400" w:lineRule="exact"/>
        <w:ind w:left="811" w:hanging="245"/>
        <w:jc w:val="both"/>
        <w:rPr>
          <w:rFonts w:ascii="標楷體" w:eastAsia="標楷體" w:hAnsi="標楷體"/>
          <w:szCs w:val="24"/>
        </w:rPr>
      </w:pPr>
      <w:r>
        <w:rPr>
          <w:rFonts w:ascii="標楷體" w:eastAsia="標楷體" w:hAnsi="標楷體"/>
          <w:szCs w:val="24"/>
        </w:rPr>
        <w:t>2.需經事前審查核准後使用：</w:t>
      </w:r>
    </w:p>
    <w:p w:rsidR="00B96EA0" w:rsidRDefault="007D66B8" w:rsidP="005142EB">
      <w:pPr>
        <w:tabs>
          <w:tab w:val="left" w:pos="1418"/>
        </w:tabs>
        <w:spacing w:line="400" w:lineRule="exact"/>
        <w:ind w:left="1051" w:hanging="245"/>
        <w:jc w:val="both"/>
        <w:rPr>
          <w:rFonts w:ascii="標楷體" w:eastAsia="標楷體" w:hAnsi="標楷體"/>
          <w:szCs w:val="24"/>
        </w:rPr>
      </w:pPr>
      <w:r>
        <w:rPr>
          <w:rFonts w:ascii="標楷體" w:eastAsia="標楷體" w:hAnsi="標楷體"/>
          <w:szCs w:val="24"/>
        </w:rPr>
        <w:t>(1)初次申請以3個療程為限，且需同時符合下列Ⅰ.與Ⅱ.的條件：</w:t>
      </w:r>
    </w:p>
    <w:p w:rsidR="00B96EA0" w:rsidRDefault="007D66B8" w:rsidP="005142EB">
      <w:pPr>
        <w:tabs>
          <w:tab w:val="left" w:pos="1418"/>
        </w:tabs>
        <w:spacing w:line="400" w:lineRule="exact"/>
        <w:ind w:left="1291" w:hanging="245"/>
        <w:jc w:val="both"/>
        <w:rPr>
          <w:rFonts w:ascii="標楷體" w:eastAsia="標楷體" w:hAnsi="標楷體"/>
          <w:szCs w:val="24"/>
        </w:rPr>
      </w:pPr>
      <w:r>
        <w:rPr>
          <w:rFonts w:ascii="標楷體" w:eastAsia="標楷體" w:hAnsi="標楷體"/>
          <w:szCs w:val="24"/>
        </w:rPr>
        <w:lastRenderedPageBreak/>
        <w:t xml:space="preserve">Ⅰ.具有下列任一疾病惡化的指標： 病人開始治療前須在連續2次評估中均符合同一指標 (但若為plamacytoma 體積增加，或是新產生的bone lesion(s)或新plasmacytoma，則僅需1次評估)： </w:t>
      </w:r>
    </w:p>
    <w:p w:rsidR="00B96EA0" w:rsidRDefault="007D66B8" w:rsidP="005142EB">
      <w:pPr>
        <w:spacing w:line="400" w:lineRule="exact"/>
        <w:ind w:left="1800" w:hanging="360"/>
      </w:pPr>
      <w:r>
        <w:rPr>
          <w:rFonts w:ascii="新細明體" w:hAnsi="新細明體" w:cs="新細明體"/>
          <w:szCs w:val="24"/>
        </w:rPr>
        <w:t>ⅰ</w:t>
      </w:r>
      <w:r>
        <w:rPr>
          <w:rFonts w:ascii="標楷體" w:eastAsia="標楷體" w:hAnsi="標楷體"/>
          <w:szCs w:val="24"/>
        </w:rPr>
        <w:t>.若前一線治療中M component 最低值</w:t>
      </w:r>
      <w:r>
        <w:rPr>
          <w:rFonts w:ascii="標楷體" w:eastAsia="標楷體" w:hAnsi="標楷體" w:cs="新細明體"/>
          <w:szCs w:val="24"/>
        </w:rPr>
        <w:t>≧</w:t>
      </w:r>
      <w:r>
        <w:rPr>
          <w:rFonts w:ascii="標楷體" w:eastAsia="標楷體" w:hAnsi="標楷體"/>
          <w:szCs w:val="24"/>
        </w:rPr>
        <w:t>5 g/dL，血清M蛋白需增加</w:t>
      </w:r>
      <w:r>
        <w:rPr>
          <w:rFonts w:ascii="標楷體" w:eastAsia="標楷體" w:hAnsi="標楷體" w:cs="新細明體"/>
          <w:szCs w:val="24"/>
        </w:rPr>
        <w:t>≧</w:t>
      </w:r>
      <w:r>
        <w:rPr>
          <w:rFonts w:ascii="標楷體" w:eastAsia="標楷體" w:hAnsi="標楷體"/>
          <w:szCs w:val="24"/>
        </w:rPr>
        <w:t>1 g/dL；若前一線治療中M component最低值＜5 g/dL，血清M蛋白需增加</w:t>
      </w:r>
      <w:r>
        <w:rPr>
          <w:rFonts w:ascii="標楷體" w:eastAsia="標楷體" w:hAnsi="標楷體" w:cs="新細明體"/>
          <w:szCs w:val="24"/>
        </w:rPr>
        <w:t>≧</w:t>
      </w:r>
      <w:r>
        <w:rPr>
          <w:rFonts w:ascii="標楷體" w:eastAsia="標楷體" w:hAnsi="標楷體"/>
          <w:szCs w:val="24"/>
        </w:rPr>
        <w:t>0.5g/dL。</w:t>
      </w:r>
    </w:p>
    <w:p w:rsidR="00B96EA0" w:rsidRDefault="007D66B8" w:rsidP="005142EB">
      <w:pPr>
        <w:spacing w:line="400" w:lineRule="exact"/>
        <w:ind w:left="1800" w:hanging="360"/>
      </w:pPr>
      <w:r>
        <w:rPr>
          <w:rFonts w:ascii="新細明體" w:hAnsi="新細明體" w:cs="新細明體"/>
          <w:szCs w:val="24"/>
        </w:rPr>
        <w:t>ⅱ</w:t>
      </w:r>
      <w:r>
        <w:rPr>
          <w:rFonts w:ascii="標楷體" w:eastAsia="標楷體" w:hAnsi="標楷體"/>
          <w:szCs w:val="24"/>
        </w:rPr>
        <w:t>.Urine M-protein需增加≧0.2 gm/24Hr，且需較前一線治療中的最低值增加≧25%。</w:t>
      </w:r>
    </w:p>
    <w:p w:rsidR="00B96EA0" w:rsidRDefault="007D66B8" w:rsidP="005142EB">
      <w:pPr>
        <w:spacing w:line="400" w:lineRule="exact"/>
        <w:ind w:left="1800" w:hanging="360"/>
        <w:rPr>
          <w:rFonts w:ascii="標楷體" w:eastAsia="標楷體" w:hAnsi="標楷體"/>
          <w:szCs w:val="24"/>
        </w:rPr>
      </w:pPr>
      <w:r>
        <w:rPr>
          <w:rFonts w:ascii="標楷體" w:eastAsia="標楷體" w:hAnsi="標楷體"/>
          <w:szCs w:val="24"/>
        </w:rPr>
        <w:t>iii.在non-secretary myeloma 病人，骨髓漿細胞 (plasma cells)之比例絕對值增加≧10%，且需較前一線治療中的最低值增加≧25%。</w:t>
      </w:r>
    </w:p>
    <w:p w:rsidR="00B96EA0" w:rsidRDefault="007D66B8" w:rsidP="005142EB">
      <w:pPr>
        <w:spacing w:line="400" w:lineRule="exact"/>
        <w:ind w:left="1800" w:hanging="360"/>
        <w:rPr>
          <w:rFonts w:ascii="標楷體" w:eastAsia="標楷體" w:hAnsi="標楷體"/>
          <w:szCs w:val="24"/>
        </w:rPr>
      </w:pPr>
      <w:r>
        <w:rPr>
          <w:rFonts w:ascii="標楷體" w:eastAsia="標楷體" w:hAnsi="標楷體"/>
          <w:szCs w:val="24"/>
        </w:rPr>
        <w:t>iv.新產生的bone lesion(s)或plasmacytoma；且須經病理切片證實。</w:t>
      </w:r>
    </w:p>
    <w:p w:rsidR="00B96EA0" w:rsidRDefault="007D66B8" w:rsidP="005142EB">
      <w:pPr>
        <w:spacing w:line="400" w:lineRule="exact"/>
        <w:ind w:left="1800" w:hanging="360"/>
        <w:rPr>
          <w:rFonts w:ascii="標楷體" w:eastAsia="標楷體" w:hAnsi="標楷體"/>
          <w:szCs w:val="24"/>
        </w:rPr>
      </w:pPr>
      <w:r>
        <w:rPr>
          <w:rFonts w:ascii="標楷體" w:eastAsia="標楷體" w:hAnsi="標楷體"/>
          <w:szCs w:val="24"/>
        </w:rPr>
        <w:t>v.Plasmacytoma體積增加≧50%。</w:t>
      </w:r>
    </w:p>
    <w:p w:rsidR="00B96EA0" w:rsidRDefault="007D66B8" w:rsidP="005142EB">
      <w:pPr>
        <w:spacing w:line="400" w:lineRule="exact"/>
        <w:ind w:left="1800" w:hanging="360"/>
      </w:pPr>
      <w:r>
        <w:rPr>
          <w:rFonts w:ascii="標楷體" w:eastAsia="標楷體" w:hAnsi="標楷體"/>
          <w:szCs w:val="24"/>
        </w:rPr>
        <w:t>vi.周邊血液中漿細胞比例</w:t>
      </w:r>
      <w:r>
        <w:rPr>
          <w:rFonts w:ascii="標楷體" w:eastAsia="標楷體" w:hAnsi="標楷體" w:cs="新細明體"/>
          <w:szCs w:val="24"/>
        </w:rPr>
        <w:t>≧</w:t>
      </w:r>
      <w:r>
        <w:rPr>
          <w:rFonts w:ascii="標楷體" w:eastAsia="標楷體" w:hAnsi="標楷體"/>
          <w:szCs w:val="24"/>
        </w:rPr>
        <w:t>20%或漿細胞絕對值</w:t>
      </w:r>
      <w:r>
        <w:rPr>
          <w:rFonts w:ascii="標楷體" w:eastAsia="標楷體" w:hAnsi="標楷體" w:cs="新細明體"/>
          <w:szCs w:val="24"/>
        </w:rPr>
        <w:t>≧</w:t>
      </w:r>
      <w:r>
        <w:rPr>
          <w:rFonts w:ascii="標楷體" w:eastAsia="標楷體" w:hAnsi="標楷體"/>
          <w:szCs w:val="24"/>
        </w:rPr>
        <w:t>2000 cells/μL。</w:t>
      </w:r>
    </w:p>
    <w:p w:rsidR="00B96EA0" w:rsidRDefault="007D66B8" w:rsidP="005142EB">
      <w:pPr>
        <w:tabs>
          <w:tab w:val="left" w:pos="1418"/>
        </w:tabs>
        <w:spacing w:line="400" w:lineRule="exact"/>
        <w:ind w:left="1291" w:hanging="245"/>
        <w:jc w:val="both"/>
        <w:rPr>
          <w:rFonts w:ascii="標楷體" w:eastAsia="標楷體" w:hAnsi="標楷體"/>
          <w:szCs w:val="24"/>
        </w:rPr>
      </w:pPr>
      <w:r>
        <w:rPr>
          <w:rFonts w:ascii="標楷體" w:eastAsia="標楷體" w:hAnsi="標楷體"/>
          <w:szCs w:val="24"/>
        </w:rPr>
        <w:t xml:space="preserve">Ⅱ.出現下列任一臨床症狀： </w:t>
      </w:r>
    </w:p>
    <w:p w:rsidR="00B96EA0" w:rsidRDefault="007D66B8" w:rsidP="005142EB">
      <w:pPr>
        <w:spacing w:line="400" w:lineRule="exact"/>
        <w:ind w:left="1800" w:hanging="360"/>
      </w:pPr>
      <w:r>
        <w:rPr>
          <w:rFonts w:ascii="新細明體" w:hAnsi="新細明體" w:cs="新細明體"/>
          <w:szCs w:val="24"/>
        </w:rPr>
        <w:t>ⅰ</w:t>
      </w:r>
      <w:r>
        <w:rPr>
          <w:rFonts w:ascii="標楷體" w:eastAsia="標楷體" w:hAnsi="標楷體"/>
          <w:szCs w:val="24"/>
        </w:rPr>
        <w:t>.新產生的bone lesion(s)或plasmacytoma；且須經病理切片證實。</w:t>
      </w:r>
    </w:p>
    <w:p w:rsidR="00B96EA0" w:rsidRDefault="007D66B8" w:rsidP="005142EB">
      <w:pPr>
        <w:spacing w:line="400" w:lineRule="exact"/>
        <w:ind w:left="1800" w:hanging="360"/>
      </w:pPr>
      <w:r>
        <w:rPr>
          <w:rFonts w:ascii="新細明體" w:hAnsi="新細明體" w:cs="新細明體"/>
          <w:szCs w:val="24"/>
        </w:rPr>
        <w:t>ⅱ</w:t>
      </w:r>
      <w:r>
        <w:rPr>
          <w:rFonts w:ascii="標楷體" w:eastAsia="標楷體" w:hAnsi="標楷體"/>
          <w:szCs w:val="24"/>
        </w:rPr>
        <w:t>.Plasmacytoma 體積增加≧50%。</w:t>
      </w:r>
    </w:p>
    <w:p w:rsidR="00B96EA0" w:rsidRDefault="007D66B8" w:rsidP="005142EB">
      <w:pPr>
        <w:spacing w:line="400" w:lineRule="exact"/>
        <w:ind w:left="1800" w:hanging="360"/>
        <w:rPr>
          <w:rFonts w:ascii="標楷體" w:eastAsia="標楷體" w:hAnsi="標楷體"/>
          <w:szCs w:val="24"/>
        </w:rPr>
      </w:pPr>
      <w:r>
        <w:rPr>
          <w:rFonts w:ascii="標楷體" w:eastAsia="標楷體" w:hAnsi="標楷體"/>
          <w:szCs w:val="24"/>
        </w:rPr>
        <w:t>iii.高血鈣(corrected serum calcium＞11.0 mg/dL 或 2.75 mmol/L)。</w:t>
      </w:r>
    </w:p>
    <w:p w:rsidR="00B96EA0" w:rsidRDefault="007D66B8" w:rsidP="005142EB">
      <w:pPr>
        <w:spacing w:line="400" w:lineRule="exact"/>
        <w:ind w:left="1800" w:hanging="360"/>
        <w:rPr>
          <w:rFonts w:ascii="標楷體" w:eastAsia="標楷體" w:hAnsi="標楷體"/>
          <w:szCs w:val="24"/>
        </w:rPr>
      </w:pPr>
      <w:r>
        <w:rPr>
          <w:rFonts w:ascii="標楷體" w:eastAsia="標楷體" w:hAnsi="標楷體"/>
          <w:szCs w:val="24"/>
        </w:rPr>
        <w:t>iv.貧血(Hemoglobin 下降幅度≧ 2gm/dL且無其他原因可以解釋)。</w:t>
      </w:r>
    </w:p>
    <w:p w:rsidR="00B96EA0" w:rsidRDefault="007D66B8" w:rsidP="005142EB">
      <w:pPr>
        <w:spacing w:line="400" w:lineRule="exact"/>
        <w:ind w:left="1800" w:hanging="360"/>
        <w:rPr>
          <w:rFonts w:ascii="標楷體" w:eastAsia="標楷體" w:hAnsi="標楷體"/>
          <w:szCs w:val="24"/>
        </w:rPr>
      </w:pPr>
      <w:r>
        <w:rPr>
          <w:rFonts w:ascii="標楷體" w:eastAsia="標楷體" w:hAnsi="標楷體"/>
          <w:szCs w:val="24"/>
        </w:rPr>
        <w:t>v.腎功能惡化(eGFR需下降幅度≧25%)，且無其他原因可以解釋。</w:t>
      </w:r>
    </w:p>
    <w:p w:rsidR="00B96EA0" w:rsidRDefault="007D66B8" w:rsidP="005142EB">
      <w:pPr>
        <w:spacing w:line="400" w:lineRule="exact"/>
        <w:ind w:left="1800" w:hanging="360"/>
        <w:rPr>
          <w:rFonts w:ascii="標楷體" w:eastAsia="標楷體" w:hAnsi="標楷體"/>
          <w:szCs w:val="24"/>
        </w:rPr>
      </w:pPr>
      <w:r>
        <w:rPr>
          <w:rFonts w:ascii="標楷體" w:eastAsia="標楷體" w:hAnsi="標楷體"/>
          <w:szCs w:val="24"/>
        </w:rPr>
        <w:t>vi.出現其他end-organ dysfunctions。</w:t>
      </w:r>
    </w:p>
    <w:p w:rsidR="00B96EA0" w:rsidRDefault="007D66B8" w:rsidP="005142EB">
      <w:pPr>
        <w:tabs>
          <w:tab w:val="left" w:pos="1418"/>
        </w:tabs>
        <w:spacing w:line="400" w:lineRule="exact"/>
        <w:ind w:left="1051" w:hanging="245"/>
        <w:jc w:val="both"/>
        <w:rPr>
          <w:rFonts w:ascii="標楷體" w:eastAsia="標楷體" w:hAnsi="標楷體"/>
          <w:szCs w:val="24"/>
        </w:rPr>
      </w:pPr>
      <w:r>
        <w:rPr>
          <w:rFonts w:ascii="標楷體" w:eastAsia="標楷體" w:hAnsi="標楷體"/>
          <w:szCs w:val="24"/>
        </w:rPr>
        <w:t>(2)再次申請時必須確定paraprotein (M-protein)未上升(即表示對藥物有反應或為穩定狀態);或對部分non-secretory type 多發性骨髓瘤病人以骨髓檢查plasma cell為療效依據，證明為對藥物有反應或為穩定狀態，方可繼續使用。續用時的申請以3個療程為限。疾病若發生惡化情形應即停止使用。</w:t>
      </w:r>
    </w:p>
    <w:p w:rsidR="00B96EA0" w:rsidRDefault="007D66B8" w:rsidP="005142EB">
      <w:pPr>
        <w:tabs>
          <w:tab w:val="left" w:pos="1418"/>
        </w:tabs>
        <w:spacing w:line="400" w:lineRule="exact"/>
        <w:ind w:left="1051" w:hanging="245"/>
        <w:jc w:val="both"/>
        <w:rPr>
          <w:rFonts w:ascii="標楷體" w:eastAsia="標楷體" w:hAnsi="標楷體"/>
          <w:szCs w:val="24"/>
        </w:rPr>
      </w:pPr>
      <w:r>
        <w:rPr>
          <w:rFonts w:ascii="標楷體" w:eastAsia="標楷體" w:hAnsi="標楷體"/>
          <w:szCs w:val="24"/>
        </w:rPr>
        <w:t>(3)每人以10個療程為上限。</w:t>
      </w:r>
    </w:p>
    <w:p w:rsidR="00B96EA0" w:rsidRDefault="007D66B8" w:rsidP="005142EB">
      <w:pPr>
        <w:tabs>
          <w:tab w:val="left" w:pos="1418"/>
        </w:tabs>
        <w:spacing w:line="400" w:lineRule="exact"/>
        <w:ind w:left="811" w:hanging="245"/>
        <w:jc w:val="both"/>
        <w:rPr>
          <w:rFonts w:ascii="標楷體" w:eastAsia="標楷體" w:hAnsi="標楷體"/>
          <w:szCs w:val="24"/>
        </w:rPr>
      </w:pPr>
      <w:r>
        <w:rPr>
          <w:rFonts w:ascii="標楷體" w:eastAsia="標楷體" w:hAnsi="標楷體"/>
          <w:szCs w:val="24"/>
        </w:rPr>
        <w:t>3.不得與蛋白酶體抑制劑(bortezomib、carfilzomib)或lenalidomide併用。</w:t>
      </w:r>
    </w:p>
    <w:p w:rsidR="00B96EA0" w:rsidRDefault="007D66B8" w:rsidP="005142EB">
      <w:pPr>
        <w:tabs>
          <w:tab w:val="left" w:pos="1418"/>
        </w:tabs>
        <w:spacing w:line="400" w:lineRule="exact"/>
        <w:ind w:left="655" w:right="-197" w:hanging="612"/>
        <w:rPr>
          <w:rFonts w:ascii="標楷體" w:eastAsia="標楷體" w:hAnsi="標楷體"/>
          <w:szCs w:val="24"/>
        </w:rPr>
      </w:pPr>
      <w:r>
        <w:rPr>
          <w:rFonts w:ascii="標楷體" w:eastAsia="標楷體" w:hAnsi="標楷體"/>
          <w:szCs w:val="24"/>
        </w:rPr>
        <w:t>9.112.Pertuzumab與trastuzumab皮下注射複方製劑(如Phesgo):(113/12/1、114/5/1)</w:t>
      </w:r>
    </w:p>
    <w:p w:rsidR="00B96EA0" w:rsidRDefault="007D66B8" w:rsidP="005142EB">
      <w:pPr>
        <w:tabs>
          <w:tab w:val="left" w:pos="1418"/>
        </w:tabs>
        <w:spacing w:line="400" w:lineRule="exact"/>
        <w:ind w:left="811" w:hanging="245"/>
        <w:jc w:val="both"/>
        <w:rPr>
          <w:rFonts w:ascii="標楷體" w:eastAsia="標楷體" w:hAnsi="標楷體"/>
          <w:szCs w:val="24"/>
        </w:rPr>
      </w:pPr>
      <w:r>
        <w:rPr>
          <w:rFonts w:ascii="標楷體" w:eastAsia="標楷體" w:hAnsi="標楷體"/>
          <w:szCs w:val="24"/>
        </w:rPr>
        <w:t>1.本藥品及化學療法併用於具HER2過度表現（IHC3+或FISH+），且具腋下淋巴結轉移但無遠處臟器轉移之早期乳癌病人（113/12/1、114/5/1）</w:t>
      </w:r>
    </w:p>
    <w:p w:rsidR="00B96EA0" w:rsidRDefault="007D66B8" w:rsidP="005142EB">
      <w:pPr>
        <w:tabs>
          <w:tab w:val="left" w:pos="1418"/>
        </w:tabs>
        <w:spacing w:line="400" w:lineRule="exact"/>
        <w:ind w:left="1133" w:hanging="567"/>
        <w:jc w:val="both"/>
        <w:rPr>
          <w:rFonts w:ascii="標楷體" w:eastAsia="標楷體" w:hAnsi="標楷體"/>
          <w:szCs w:val="24"/>
        </w:rPr>
      </w:pPr>
      <w:r>
        <w:rPr>
          <w:rFonts w:ascii="標楷體" w:eastAsia="標楷體" w:hAnsi="標楷體"/>
          <w:szCs w:val="24"/>
        </w:rPr>
        <w:t xml:space="preserve">  (1)使用於術前輔助治療，經外科手術後達病理上完全緩解者（pCR），得繼續使用至18個療程為上限。</w:t>
      </w:r>
    </w:p>
    <w:p w:rsidR="00B96EA0" w:rsidRDefault="007D66B8" w:rsidP="005142EB">
      <w:pPr>
        <w:tabs>
          <w:tab w:val="left" w:pos="1418"/>
        </w:tabs>
        <w:spacing w:line="400" w:lineRule="exact"/>
        <w:ind w:left="1133" w:hanging="567"/>
        <w:jc w:val="both"/>
        <w:rPr>
          <w:rFonts w:ascii="標楷體" w:eastAsia="標楷體" w:hAnsi="標楷體"/>
          <w:szCs w:val="24"/>
        </w:rPr>
      </w:pPr>
      <w:r>
        <w:rPr>
          <w:rFonts w:ascii="標楷體" w:eastAsia="標楷體" w:hAnsi="標楷體"/>
          <w:szCs w:val="24"/>
        </w:rPr>
        <w:t xml:space="preserve">  (2)若未接受術前輔助治療，即先行手術者，可給予術後輔助治療，以18個療程為使用上限。</w:t>
      </w:r>
    </w:p>
    <w:p w:rsidR="00B96EA0" w:rsidRDefault="007D66B8" w:rsidP="005142EB">
      <w:pPr>
        <w:tabs>
          <w:tab w:val="left" w:pos="1185"/>
        </w:tabs>
        <w:spacing w:line="400" w:lineRule="exact"/>
        <w:ind w:left="1203" w:hanging="397"/>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ab/>
        <w:t>下列Ｉ~Ⅲ使用於外科手術前後之總療程合併計算，依藥品仿單記載以18個療程為上限：</w:t>
      </w:r>
    </w:p>
    <w:p w:rsidR="00B96EA0" w:rsidRDefault="007D66B8" w:rsidP="005142EB">
      <w:pPr>
        <w:tabs>
          <w:tab w:val="left" w:pos="1418"/>
        </w:tabs>
        <w:spacing w:line="400" w:lineRule="exact"/>
        <w:ind w:left="1291" w:hanging="245"/>
        <w:jc w:val="both"/>
        <w:rPr>
          <w:rFonts w:ascii="標楷體" w:eastAsia="標楷體" w:hAnsi="標楷體"/>
          <w:szCs w:val="24"/>
        </w:rPr>
      </w:pPr>
      <w:r>
        <w:rPr>
          <w:rFonts w:ascii="標楷體" w:eastAsia="標楷體" w:hAnsi="標楷體"/>
          <w:szCs w:val="24"/>
        </w:rPr>
        <w:t>Ｉ：本藥品</w:t>
      </w:r>
    </w:p>
    <w:p w:rsidR="00B96EA0" w:rsidRDefault="007D66B8" w:rsidP="005142EB">
      <w:pPr>
        <w:tabs>
          <w:tab w:val="left" w:pos="1418"/>
        </w:tabs>
        <w:spacing w:line="400" w:lineRule="exact"/>
        <w:ind w:left="1291" w:hanging="245"/>
        <w:jc w:val="both"/>
        <w:rPr>
          <w:rFonts w:ascii="標楷體" w:eastAsia="標楷體" w:hAnsi="標楷體"/>
          <w:szCs w:val="24"/>
        </w:rPr>
      </w:pPr>
      <w:r>
        <w:rPr>
          <w:rFonts w:ascii="標楷體" w:eastAsia="標楷體" w:hAnsi="標楷體"/>
          <w:szCs w:val="24"/>
        </w:rPr>
        <w:lastRenderedPageBreak/>
        <w:t>Ⅱ：trastuzumab</w:t>
      </w:r>
    </w:p>
    <w:p w:rsidR="00B96EA0" w:rsidRDefault="007D66B8" w:rsidP="005142EB">
      <w:pPr>
        <w:tabs>
          <w:tab w:val="left" w:pos="1418"/>
        </w:tabs>
        <w:spacing w:line="400" w:lineRule="exact"/>
        <w:ind w:left="1291" w:hanging="245"/>
        <w:jc w:val="both"/>
        <w:rPr>
          <w:rFonts w:ascii="標楷體" w:eastAsia="標楷體" w:hAnsi="標楷體"/>
          <w:szCs w:val="24"/>
        </w:rPr>
      </w:pPr>
      <w:r>
        <w:rPr>
          <w:rFonts w:ascii="標楷體" w:eastAsia="標楷體" w:hAnsi="標楷體"/>
          <w:szCs w:val="24"/>
        </w:rPr>
        <w:t>Ⅲ：pertuzumab與trastuzumab併用</w:t>
      </w:r>
    </w:p>
    <w:p w:rsidR="00B96EA0" w:rsidRDefault="007D66B8" w:rsidP="005142EB">
      <w:pPr>
        <w:tabs>
          <w:tab w:val="left" w:pos="1185"/>
        </w:tabs>
        <w:spacing w:line="400" w:lineRule="exact"/>
        <w:ind w:left="1203" w:hanging="397"/>
        <w:jc w:val="both"/>
        <w:rPr>
          <w:rFonts w:ascii="標楷體" w:eastAsia="標楷體" w:hAnsi="標楷體"/>
          <w:szCs w:val="24"/>
        </w:rPr>
      </w:pPr>
      <w:r>
        <w:rPr>
          <w:rFonts w:ascii="標楷體" w:eastAsia="標楷體" w:hAnsi="標楷體"/>
          <w:szCs w:val="24"/>
        </w:rPr>
        <w:t>(4)</w:t>
      </w:r>
      <w:r>
        <w:rPr>
          <w:rFonts w:ascii="標楷體" w:eastAsia="標楷體" w:hAnsi="標楷體"/>
          <w:szCs w:val="24"/>
        </w:rPr>
        <w:tab/>
        <w:t>須經事前審查核准後使用，核准後每24週須檢附療效評估資料再次申請，若疾病有惡化情形即不應再行申請。（113/12/1、114/5/1）</w:t>
      </w:r>
    </w:p>
    <w:p w:rsidR="00B96EA0" w:rsidRDefault="007D66B8" w:rsidP="005142EB">
      <w:pPr>
        <w:tabs>
          <w:tab w:val="left" w:pos="1418"/>
        </w:tabs>
        <w:spacing w:line="400" w:lineRule="exact"/>
        <w:ind w:left="811" w:hanging="245"/>
        <w:jc w:val="both"/>
        <w:rPr>
          <w:rFonts w:ascii="標楷體" w:eastAsia="標楷體" w:hAnsi="標楷體"/>
          <w:szCs w:val="24"/>
        </w:rPr>
      </w:pPr>
      <w:r>
        <w:rPr>
          <w:rFonts w:ascii="標楷體" w:eastAsia="標楷體" w:hAnsi="標楷體"/>
          <w:szCs w:val="24"/>
        </w:rPr>
        <w:t>2.轉移性乳癌</w:t>
      </w:r>
    </w:p>
    <w:p w:rsidR="00B96EA0" w:rsidRDefault="007D66B8" w:rsidP="005142EB">
      <w:pPr>
        <w:tabs>
          <w:tab w:val="left" w:pos="1185"/>
        </w:tabs>
        <w:spacing w:line="400" w:lineRule="exact"/>
        <w:ind w:left="1146" w:hanging="340"/>
        <w:jc w:val="both"/>
        <w:rPr>
          <w:rFonts w:ascii="標楷體" w:eastAsia="標楷體" w:hAnsi="標楷體"/>
          <w:szCs w:val="24"/>
        </w:rPr>
      </w:pPr>
      <w:r>
        <w:rPr>
          <w:rFonts w:ascii="標楷體" w:eastAsia="標楷體" w:hAnsi="標楷體"/>
          <w:szCs w:val="24"/>
        </w:rPr>
        <w:t>(1)與docetaxel併用於治療轉移後未曾以抗HER2或化學療法治療之HER2過度表現(IHC3+或FISH+)轉移性乳癌病人。</w:t>
      </w:r>
    </w:p>
    <w:p w:rsidR="00B96EA0" w:rsidRDefault="007D66B8" w:rsidP="005142EB">
      <w:pPr>
        <w:tabs>
          <w:tab w:val="left" w:pos="1185"/>
        </w:tabs>
        <w:spacing w:line="400" w:lineRule="exact"/>
        <w:ind w:left="1146" w:hanging="340"/>
        <w:jc w:val="both"/>
        <w:rPr>
          <w:rFonts w:ascii="標楷體" w:eastAsia="標楷體" w:hAnsi="標楷體"/>
          <w:szCs w:val="24"/>
        </w:rPr>
      </w:pPr>
      <w:r>
        <w:rPr>
          <w:rFonts w:ascii="標楷體" w:eastAsia="標楷體" w:hAnsi="標楷體"/>
          <w:szCs w:val="24"/>
        </w:rPr>
        <w:t>(2)須經事前審查核准後使用，核准後每18週須檢附療效評估資料再次申請，若疾病有惡化情形即不應再行申請，每位病人至多給付18個月為限。</w:t>
      </w:r>
    </w:p>
    <w:p w:rsidR="00B96EA0" w:rsidRDefault="007D66B8" w:rsidP="005142EB">
      <w:pPr>
        <w:tabs>
          <w:tab w:val="left" w:pos="1185"/>
        </w:tabs>
        <w:spacing w:line="400" w:lineRule="exact"/>
        <w:ind w:left="1051" w:hanging="245"/>
        <w:jc w:val="both"/>
        <w:rPr>
          <w:rFonts w:ascii="標楷體" w:eastAsia="標楷體" w:hAnsi="標楷體"/>
          <w:szCs w:val="24"/>
        </w:rPr>
      </w:pPr>
      <w:r>
        <w:rPr>
          <w:rFonts w:ascii="標楷體" w:eastAsia="標楷體" w:hAnsi="標楷體"/>
          <w:szCs w:val="24"/>
        </w:rPr>
        <w:t>(3)下列Ｉ~Ⅱ使用於轉移性乳癌總療程合併計算，以全部18個月為上限：</w:t>
      </w:r>
    </w:p>
    <w:p w:rsidR="00B96EA0" w:rsidRDefault="007D66B8" w:rsidP="005142EB">
      <w:pPr>
        <w:tabs>
          <w:tab w:val="left" w:pos="1418"/>
        </w:tabs>
        <w:spacing w:line="400" w:lineRule="exact"/>
        <w:ind w:left="1291" w:hanging="245"/>
        <w:jc w:val="both"/>
        <w:rPr>
          <w:rFonts w:ascii="標楷體" w:eastAsia="標楷體" w:hAnsi="標楷體"/>
          <w:szCs w:val="24"/>
        </w:rPr>
      </w:pPr>
      <w:r>
        <w:rPr>
          <w:rFonts w:ascii="標楷體" w:eastAsia="標楷體" w:hAnsi="標楷體"/>
          <w:szCs w:val="24"/>
        </w:rPr>
        <w:t>Ｉ：本藥品</w:t>
      </w:r>
    </w:p>
    <w:p w:rsidR="00B96EA0" w:rsidRDefault="007D66B8" w:rsidP="005142EB">
      <w:pPr>
        <w:tabs>
          <w:tab w:val="left" w:pos="1418"/>
        </w:tabs>
        <w:spacing w:line="400" w:lineRule="exact"/>
        <w:ind w:left="1291" w:hanging="245"/>
        <w:jc w:val="both"/>
        <w:rPr>
          <w:rFonts w:ascii="標楷體" w:eastAsia="標楷體" w:hAnsi="標楷體"/>
          <w:szCs w:val="24"/>
        </w:rPr>
      </w:pPr>
      <w:r>
        <w:rPr>
          <w:rFonts w:ascii="標楷體" w:eastAsia="標楷體" w:hAnsi="標楷體"/>
          <w:szCs w:val="24"/>
        </w:rPr>
        <w:t>Ⅱ：pertuzumab與trastuzumab併用</w:t>
      </w:r>
    </w:p>
    <w:p w:rsidR="00B96EA0" w:rsidRDefault="007D66B8" w:rsidP="005142EB">
      <w:pPr>
        <w:tabs>
          <w:tab w:val="left" w:pos="1185"/>
        </w:tabs>
        <w:spacing w:line="400" w:lineRule="exact"/>
        <w:ind w:left="1051" w:hanging="245"/>
        <w:jc w:val="both"/>
        <w:rPr>
          <w:rFonts w:ascii="標楷體" w:eastAsia="標楷體" w:hAnsi="標楷體"/>
          <w:szCs w:val="24"/>
        </w:rPr>
      </w:pPr>
      <w:r>
        <w:rPr>
          <w:rFonts w:ascii="標楷體" w:eastAsia="標楷體" w:hAnsi="標楷體"/>
          <w:szCs w:val="24"/>
        </w:rPr>
        <w:t>(4)先前於早期乳癌已使用過本藥品或pertuzumab與trastuzumab併用者，不得再次申請本藥品，惟於早期乳癌治療結束至首次疾病復發轉移時間超過12個月以上者得再次申請。(113/12/1)</w:t>
      </w:r>
    </w:p>
    <w:p w:rsidR="00B96EA0" w:rsidRDefault="007D66B8" w:rsidP="005142EB">
      <w:pPr>
        <w:tabs>
          <w:tab w:val="left" w:pos="1418"/>
        </w:tabs>
        <w:spacing w:line="400" w:lineRule="exact"/>
        <w:ind w:left="655" w:hanging="612"/>
        <w:rPr>
          <w:rFonts w:ascii="標楷體" w:eastAsia="標楷體" w:hAnsi="標楷體"/>
          <w:color w:val="000000"/>
        </w:rPr>
      </w:pPr>
      <w:r>
        <w:rPr>
          <w:rFonts w:ascii="標楷體" w:eastAsia="標楷體" w:hAnsi="標楷體"/>
          <w:color w:val="000000"/>
        </w:rPr>
        <w:t>9.113.Gemtuzumab ozogamicin(如Mylotarg)：(114/1/1)</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1.限用於新診斷原發型CD33陽性的急性骨髓性白血病(AML)病人之標準前導與鞏固性化療時合併使用，且完全符合下列條件：</w:t>
      </w:r>
    </w:p>
    <w:p w:rsidR="00B96EA0" w:rsidRDefault="007D66B8" w:rsidP="005142EB">
      <w:pPr>
        <w:tabs>
          <w:tab w:val="left" w:pos="1185"/>
        </w:tabs>
        <w:spacing w:line="400" w:lineRule="exact"/>
        <w:ind w:left="1051" w:hanging="245"/>
        <w:jc w:val="both"/>
      </w:pPr>
      <w:r>
        <w:rPr>
          <w:rFonts w:ascii="標楷體" w:eastAsia="標楷體" w:hAnsi="標楷體"/>
          <w:color w:val="000000"/>
        </w:rPr>
        <w:t>(1)需</w:t>
      </w:r>
      <w:r>
        <w:rPr>
          <w:rFonts w:ascii="標楷體" w:eastAsia="標楷體" w:hAnsi="標楷體"/>
          <w:szCs w:val="24"/>
        </w:rPr>
        <w:t>為細胞遺傳學風險等級較佳(favorable)的病人。</w:t>
      </w:r>
    </w:p>
    <w:p w:rsidR="00B96EA0" w:rsidRDefault="007D66B8" w:rsidP="005142EB">
      <w:pPr>
        <w:tabs>
          <w:tab w:val="left" w:pos="1185"/>
        </w:tabs>
        <w:spacing w:line="400" w:lineRule="exact"/>
        <w:ind w:left="1051" w:hanging="245"/>
        <w:jc w:val="both"/>
      </w:pPr>
      <w:r>
        <w:rPr>
          <w:rFonts w:ascii="標楷體" w:eastAsia="標楷體" w:hAnsi="標楷體"/>
          <w:szCs w:val="24"/>
        </w:rPr>
        <w:t>(2)排</w:t>
      </w:r>
      <w:r>
        <w:rPr>
          <w:rFonts w:ascii="標楷體" w:eastAsia="標楷體" w:hAnsi="標楷體"/>
          <w:color w:val="000000"/>
        </w:rPr>
        <w:t>除急性前骨髓性細胞白血病(acute promyelocytic leukemia,APL)病人。</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2.需經事前審查核准後使用，用於誘導期時，以1個療程(3次輸注)為限，並需合併標準3+7緩解誘導化療使用。</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3.若病患疾病達到完全緩解(即CR 或 CRi)，可續申請使用於鞏固治療期，每次申請以1個療程為限(1次輸注)，並最多給付2個鞏固治療療程(即2次輸注)。申請時需檢附前次治療結果評估資料證實無疾病惡化。</w:t>
      </w:r>
    </w:p>
    <w:p w:rsidR="00B96EA0" w:rsidRDefault="007D66B8" w:rsidP="005142EB">
      <w:pPr>
        <w:tabs>
          <w:tab w:val="left" w:pos="1418"/>
        </w:tabs>
        <w:spacing w:line="400" w:lineRule="exact"/>
        <w:ind w:left="811" w:hanging="245"/>
        <w:jc w:val="both"/>
        <w:rPr>
          <w:rFonts w:ascii="標楷體" w:eastAsia="標楷體" w:hAnsi="標楷體"/>
          <w:color w:val="000000"/>
        </w:rPr>
      </w:pPr>
      <w:r>
        <w:rPr>
          <w:rFonts w:ascii="標楷體" w:eastAsia="標楷體" w:hAnsi="標楷體"/>
          <w:color w:val="000000"/>
        </w:rPr>
        <w:t>4.每人以給付5次輸注為上限。</w:t>
      </w:r>
    </w:p>
    <w:p w:rsidR="00557419" w:rsidRPr="00AA26C9" w:rsidRDefault="00557419" w:rsidP="00557419">
      <w:pPr>
        <w:spacing w:line="400" w:lineRule="exact"/>
        <w:ind w:left="677" w:hangingChars="282" w:hanging="677"/>
        <w:rPr>
          <w:rFonts w:ascii="標楷體" w:eastAsia="標楷體" w:hAnsi="標楷體"/>
          <w:szCs w:val="24"/>
        </w:rPr>
      </w:pPr>
      <w:bookmarkStart w:id="45" w:name="_Hlk196225396"/>
      <w:r w:rsidRPr="00AA26C9">
        <w:rPr>
          <w:rFonts w:ascii="標楷體" w:eastAsia="標楷體" w:hAnsi="標楷體"/>
          <w:szCs w:val="24"/>
        </w:rPr>
        <w:t>9.114.Fedratinib (</w:t>
      </w:r>
      <w:r w:rsidRPr="00AA26C9">
        <w:rPr>
          <w:rFonts w:ascii="標楷體" w:eastAsia="標楷體" w:hAnsi="標楷體" w:hint="eastAsia"/>
          <w:szCs w:val="24"/>
        </w:rPr>
        <w:t>如</w:t>
      </w:r>
      <w:r w:rsidRPr="00AA26C9">
        <w:rPr>
          <w:rFonts w:ascii="標楷體" w:eastAsia="標楷體" w:hAnsi="標楷體"/>
          <w:szCs w:val="24"/>
        </w:rPr>
        <w:t>Inrebic)</w:t>
      </w:r>
      <w:r w:rsidRPr="00AA26C9">
        <w:rPr>
          <w:rFonts w:ascii="標楷體" w:eastAsia="標楷體" w:hAnsi="標楷體" w:hint="eastAsia"/>
          <w:szCs w:val="24"/>
        </w:rPr>
        <w:t>：</w:t>
      </w:r>
      <w:r w:rsidRPr="00AA26C9">
        <w:rPr>
          <w:rFonts w:ascii="標楷體" w:eastAsia="標楷體" w:hAnsi="標楷體"/>
          <w:szCs w:val="24"/>
        </w:rPr>
        <w:t>(114/1/1</w:t>
      </w:r>
      <w:r w:rsidRPr="00CD4BD4">
        <w:rPr>
          <w:rFonts w:ascii="標楷體" w:eastAsia="標楷體" w:hAnsi="標楷體" w:hint="eastAsia"/>
          <w:szCs w:val="24"/>
        </w:rPr>
        <w:t>、114</w:t>
      </w:r>
      <w:r w:rsidRPr="00CD4BD4">
        <w:rPr>
          <w:rFonts w:ascii="標楷體" w:eastAsia="標楷體" w:hAnsi="標楷體"/>
          <w:szCs w:val="24"/>
        </w:rPr>
        <w:t>/</w:t>
      </w:r>
      <w:r w:rsidRPr="00CD4BD4">
        <w:rPr>
          <w:rFonts w:ascii="標楷體" w:eastAsia="標楷體" w:hAnsi="標楷體" w:hint="eastAsia"/>
          <w:szCs w:val="24"/>
        </w:rPr>
        <w:t>10</w:t>
      </w:r>
      <w:r w:rsidRPr="00CD4BD4">
        <w:rPr>
          <w:rFonts w:ascii="標楷體" w:eastAsia="標楷體" w:hAnsi="標楷體"/>
          <w:szCs w:val="24"/>
        </w:rPr>
        <w:t>/1)</w:t>
      </w:r>
    </w:p>
    <w:bookmarkEnd w:id="45"/>
    <w:p w:rsidR="00557419" w:rsidRPr="00AA26C9" w:rsidRDefault="00557419" w:rsidP="00557419">
      <w:pPr>
        <w:spacing w:line="400" w:lineRule="exact"/>
        <w:ind w:leftChars="85" w:left="425" w:hangingChars="92" w:hanging="221"/>
        <w:rPr>
          <w:rFonts w:ascii="標楷體" w:eastAsia="標楷體" w:hAnsi="標楷體"/>
          <w:szCs w:val="24"/>
        </w:rPr>
      </w:pPr>
      <w:r w:rsidRPr="00AA26C9">
        <w:rPr>
          <w:rFonts w:ascii="標楷體" w:eastAsia="標楷體" w:hAnsi="標楷體"/>
          <w:szCs w:val="24"/>
        </w:rPr>
        <w:t>1.</w:t>
      </w:r>
      <w:r w:rsidRPr="00AA26C9">
        <w:rPr>
          <w:rFonts w:ascii="標楷體" w:eastAsia="標楷體" w:hAnsi="標楷體" w:hint="eastAsia"/>
          <w:szCs w:val="24"/>
        </w:rPr>
        <w:t>用於未曾接受</w:t>
      </w:r>
      <w:r w:rsidRPr="00AA26C9">
        <w:rPr>
          <w:rFonts w:ascii="標楷體" w:eastAsia="標楷體" w:hAnsi="標楷體"/>
          <w:szCs w:val="24"/>
        </w:rPr>
        <w:t xml:space="preserve">Janus </w:t>
      </w:r>
      <w:r w:rsidRPr="00AA26C9">
        <w:rPr>
          <w:rFonts w:ascii="標楷體" w:eastAsia="標楷體" w:hAnsi="標楷體" w:hint="eastAsia"/>
          <w:szCs w:val="24"/>
        </w:rPr>
        <w:t>激酶抑制劑（</w:t>
      </w:r>
      <w:r w:rsidRPr="00AA26C9">
        <w:rPr>
          <w:rFonts w:ascii="標楷體" w:eastAsia="標楷體" w:hAnsi="標楷體"/>
          <w:szCs w:val="24"/>
        </w:rPr>
        <w:t>JAK inhibitor</w:t>
      </w:r>
      <w:r w:rsidRPr="00AA26C9">
        <w:rPr>
          <w:rFonts w:ascii="標楷體" w:eastAsia="標楷體" w:hAnsi="標楷體" w:hint="eastAsia"/>
          <w:szCs w:val="24"/>
        </w:rPr>
        <w:t>）治療或曾接受</w:t>
      </w:r>
      <w:r w:rsidRPr="00AA26C9">
        <w:rPr>
          <w:rFonts w:ascii="標楷體" w:eastAsia="標楷體" w:hAnsi="標楷體"/>
          <w:szCs w:val="24"/>
        </w:rPr>
        <w:t xml:space="preserve">ruxolitinib </w:t>
      </w:r>
      <w:r w:rsidRPr="00AA26C9">
        <w:rPr>
          <w:rFonts w:ascii="標楷體" w:eastAsia="標楷體" w:hAnsi="標楷體" w:hint="eastAsia"/>
          <w:szCs w:val="24"/>
        </w:rPr>
        <w:t>治療後不耐受或有禁忌症，且為</w:t>
      </w:r>
      <w:r w:rsidRPr="00AA26C9">
        <w:rPr>
          <w:rFonts w:ascii="標楷體" w:eastAsia="標楷體" w:hAnsi="標楷體"/>
          <w:szCs w:val="24"/>
        </w:rPr>
        <w:t>International Working Group</w:t>
      </w:r>
      <w:r w:rsidRPr="00AA26C9">
        <w:rPr>
          <w:rFonts w:ascii="標楷體" w:eastAsia="標楷體" w:hAnsi="標楷體" w:hint="eastAsia"/>
          <w:szCs w:val="24"/>
        </w:rPr>
        <w:t>（</w:t>
      </w:r>
      <w:r w:rsidRPr="00AA26C9">
        <w:rPr>
          <w:rFonts w:ascii="標楷體" w:eastAsia="標楷體" w:hAnsi="標楷體"/>
          <w:szCs w:val="24"/>
        </w:rPr>
        <w:t>IWG</w:t>
      </w:r>
      <w:r w:rsidRPr="00AA26C9">
        <w:rPr>
          <w:rFonts w:ascii="標楷體" w:eastAsia="標楷體" w:hAnsi="標楷體" w:hint="eastAsia"/>
          <w:szCs w:val="24"/>
        </w:rPr>
        <w:t>）</w:t>
      </w:r>
      <w:r w:rsidRPr="00AA26C9">
        <w:rPr>
          <w:rFonts w:ascii="標楷體" w:eastAsia="標楷體" w:hAnsi="標楷體"/>
          <w:szCs w:val="24"/>
        </w:rPr>
        <w:t xml:space="preserve">Consensus Criteria </w:t>
      </w:r>
      <w:r w:rsidRPr="00AA26C9">
        <w:rPr>
          <w:rFonts w:ascii="標楷體" w:eastAsia="標楷體" w:hAnsi="標楷體" w:hint="eastAsia"/>
          <w:szCs w:val="24"/>
        </w:rPr>
        <w:t>中度風險或高風險之骨髓纖維化，包括原發性骨髓纖維化、真性紅血球增多症後骨髓纖維化、或血小板增多症後骨髓纖維化等疾病所造成脾臟腫大（</w:t>
      </w:r>
      <w:r w:rsidRPr="00AA26C9">
        <w:rPr>
          <w:rFonts w:ascii="標楷體" w:eastAsia="標楷體" w:hAnsi="標楷體"/>
          <w:szCs w:val="24"/>
        </w:rPr>
        <w:t>symptomatic splenomegaly</w:t>
      </w:r>
      <w:r w:rsidRPr="00AA26C9">
        <w:rPr>
          <w:rFonts w:ascii="標楷體" w:eastAsia="標楷體" w:hAnsi="標楷體" w:hint="eastAsia"/>
          <w:szCs w:val="24"/>
        </w:rPr>
        <w:t>）及</w:t>
      </w:r>
      <w:r w:rsidRPr="00AA26C9">
        <w:rPr>
          <w:rFonts w:ascii="標楷體" w:eastAsia="標楷體" w:hAnsi="標楷體"/>
          <w:szCs w:val="24"/>
        </w:rPr>
        <w:t>/</w:t>
      </w:r>
      <w:r w:rsidRPr="00AA26C9">
        <w:rPr>
          <w:rFonts w:ascii="標楷體" w:eastAsia="標楷體" w:hAnsi="標楷體" w:hint="eastAsia"/>
          <w:szCs w:val="24"/>
        </w:rPr>
        <w:t>或其他相關全身症狀且不適於接受幹細胞移植的成人病人（</w:t>
      </w:r>
      <w:r w:rsidRPr="00AA26C9">
        <w:rPr>
          <w:rFonts w:ascii="標楷體" w:eastAsia="標楷體" w:hAnsi="標楷體"/>
          <w:szCs w:val="24"/>
        </w:rPr>
        <w:t>stem cell transplantation</w:t>
      </w:r>
      <w:r w:rsidRPr="00AA26C9">
        <w:rPr>
          <w:rFonts w:ascii="標楷體" w:eastAsia="標楷體" w:hAnsi="標楷體" w:hint="eastAsia"/>
          <w:szCs w:val="24"/>
        </w:rPr>
        <w:t>）。</w:t>
      </w:r>
    </w:p>
    <w:p w:rsidR="00557419" w:rsidRPr="00AA26C9" w:rsidRDefault="00557419" w:rsidP="00557419">
      <w:pPr>
        <w:spacing w:line="400" w:lineRule="exact"/>
        <w:ind w:leftChars="203" w:left="849" w:hangingChars="151" w:hanging="362"/>
        <w:rPr>
          <w:rFonts w:ascii="標楷體" w:eastAsia="標楷體" w:hAnsi="標楷體"/>
          <w:szCs w:val="24"/>
        </w:rPr>
      </w:pPr>
      <w:r w:rsidRPr="00AA26C9">
        <w:rPr>
          <w:rFonts w:ascii="標楷體" w:eastAsia="標楷體" w:hAnsi="標楷體"/>
          <w:szCs w:val="24"/>
        </w:rPr>
        <w:t>(1)</w:t>
      </w:r>
      <w:r w:rsidRPr="00AA26C9">
        <w:rPr>
          <w:rFonts w:ascii="標楷體" w:eastAsia="標楷體" w:hAnsi="標楷體" w:hint="eastAsia"/>
          <w:szCs w:val="24"/>
        </w:rPr>
        <w:t>需經事前審查核准後使用，每次申請之療程以</w:t>
      </w:r>
      <w:r w:rsidRPr="00AA26C9">
        <w:rPr>
          <w:rFonts w:ascii="標楷體" w:eastAsia="標楷體" w:hAnsi="標楷體"/>
          <w:szCs w:val="24"/>
        </w:rPr>
        <w:t>6</w:t>
      </w:r>
      <w:r w:rsidRPr="00AA26C9">
        <w:rPr>
          <w:rFonts w:ascii="標楷體" w:eastAsia="標楷體" w:hAnsi="標楷體" w:hint="eastAsia"/>
          <w:szCs w:val="24"/>
        </w:rPr>
        <w:t>個月為限，送審時需檢送影像資料及症狀改善之病歷紀錄，每</w:t>
      </w:r>
      <w:r w:rsidRPr="00AA26C9">
        <w:rPr>
          <w:rFonts w:ascii="標楷體" w:eastAsia="標楷體" w:hAnsi="標楷體"/>
          <w:szCs w:val="24"/>
        </w:rPr>
        <w:t>6</w:t>
      </w:r>
      <w:r w:rsidRPr="00AA26C9">
        <w:rPr>
          <w:rFonts w:ascii="標楷體" w:eastAsia="標楷體" w:hAnsi="標楷體" w:hint="eastAsia"/>
          <w:szCs w:val="24"/>
        </w:rPr>
        <w:t>個月評估一次。</w:t>
      </w:r>
    </w:p>
    <w:p w:rsidR="00557419" w:rsidRPr="00AA26C9" w:rsidRDefault="00557419" w:rsidP="00557419">
      <w:pPr>
        <w:spacing w:line="400" w:lineRule="exact"/>
        <w:ind w:leftChars="203" w:left="849" w:hangingChars="151" w:hanging="362"/>
        <w:rPr>
          <w:rFonts w:ascii="標楷體" w:eastAsia="標楷體" w:hAnsi="標楷體"/>
          <w:szCs w:val="24"/>
        </w:rPr>
      </w:pPr>
      <w:r w:rsidRPr="00AA26C9">
        <w:rPr>
          <w:rFonts w:ascii="標楷體" w:eastAsia="標楷體" w:hAnsi="標楷體"/>
          <w:szCs w:val="24"/>
        </w:rPr>
        <w:t>(2)</w:t>
      </w:r>
      <w:r w:rsidRPr="00AA26C9">
        <w:rPr>
          <w:rFonts w:ascii="標楷體" w:eastAsia="標楷體" w:hAnsi="標楷體" w:hint="eastAsia"/>
          <w:szCs w:val="24"/>
        </w:rPr>
        <w:t>用藥後第一次評估時，需達到症狀反應</w:t>
      </w:r>
      <w:r w:rsidRPr="00AA26C9">
        <w:rPr>
          <w:rFonts w:ascii="標楷體" w:eastAsia="標楷體" w:hAnsi="標楷體"/>
          <w:szCs w:val="24"/>
        </w:rPr>
        <w:t>(symptom response)</w:t>
      </w:r>
      <w:r w:rsidRPr="00AA26C9">
        <w:rPr>
          <w:rFonts w:ascii="標楷體" w:eastAsia="標楷體" w:hAnsi="標楷體" w:hint="eastAsia"/>
          <w:szCs w:val="24"/>
        </w:rPr>
        <w:t>或脾臟體積無惡化兩者</w:t>
      </w:r>
      <w:r w:rsidRPr="00AA26C9">
        <w:rPr>
          <w:rFonts w:ascii="標楷體" w:eastAsia="標楷體" w:hAnsi="標楷體" w:hint="eastAsia"/>
          <w:szCs w:val="24"/>
        </w:rPr>
        <w:lastRenderedPageBreak/>
        <w:t>之一，且同時無</w:t>
      </w:r>
      <w:r w:rsidRPr="00AA26C9">
        <w:rPr>
          <w:rFonts w:ascii="標楷體" w:eastAsia="標楷體" w:hAnsi="標楷體"/>
          <w:szCs w:val="24"/>
        </w:rPr>
        <w:t>AML tranformation</w:t>
      </w:r>
      <w:r w:rsidRPr="00AA26C9">
        <w:rPr>
          <w:rFonts w:ascii="標楷體" w:eastAsia="標楷體" w:hAnsi="標楷體" w:hint="eastAsia"/>
          <w:szCs w:val="24"/>
        </w:rPr>
        <w:t>，方得以繼續使用。分別定義如下：</w:t>
      </w:r>
    </w:p>
    <w:p w:rsidR="00557419" w:rsidRPr="00AA26C9" w:rsidRDefault="00557419" w:rsidP="00557419">
      <w:pPr>
        <w:spacing w:line="400" w:lineRule="exact"/>
        <w:ind w:leftChars="438" w:left="1416" w:hangingChars="152" w:hanging="365"/>
        <w:rPr>
          <w:rFonts w:ascii="標楷體" w:eastAsia="標楷體" w:hAnsi="標楷體"/>
          <w:szCs w:val="24"/>
        </w:rPr>
      </w:pPr>
      <w:r w:rsidRPr="00AA26C9">
        <w:rPr>
          <w:rFonts w:ascii="標楷體" w:eastAsia="標楷體" w:hAnsi="標楷體" w:hint="eastAsia"/>
          <w:szCs w:val="24"/>
        </w:rPr>
        <w:t>Ⅰ</w:t>
      </w:r>
      <w:r w:rsidRPr="00AA26C9">
        <w:rPr>
          <w:rFonts w:ascii="標楷體" w:eastAsia="標楷體" w:hAnsi="標楷體"/>
          <w:szCs w:val="24"/>
        </w:rPr>
        <w:t>.</w:t>
      </w:r>
      <w:r w:rsidRPr="00AA26C9">
        <w:rPr>
          <w:rFonts w:ascii="標楷體" w:eastAsia="標楷體" w:hAnsi="標楷體" w:hint="eastAsia"/>
          <w:szCs w:val="24"/>
        </w:rPr>
        <w:t>症狀反應：</w:t>
      </w:r>
      <w:r w:rsidRPr="00AA26C9">
        <w:rPr>
          <w:rFonts w:ascii="標楷體" w:eastAsia="標楷體" w:hAnsi="標楷體"/>
          <w:szCs w:val="24"/>
        </w:rPr>
        <w:t>MPN-SAF-TSS</w:t>
      </w:r>
      <w:r w:rsidRPr="00AA26C9">
        <w:rPr>
          <w:rFonts w:ascii="標楷體" w:eastAsia="標楷體" w:hAnsi="標楷體" w:hint="eastAsia"/>
          <w:szCs w:val="24"/>
        </w:rPr>
        <w:t>分數或</w:t>
      </w:r>
      <w:r w:rsidRPr="00AA26C9">
        <w:rPr>
          <w:rFonts w:ascii="標楷體" w:eastAsia="標楷體" w:hAnsi="標楷體"/>
          <w:szCs w:val="24"/>
        </w:rPr>
        <w:t>MPN-10</w:t>
      </w:r>
      <w:r w:rsidRPr="00AA26C9">
        <w:rPr>
          <w:rFonts w:ascii="標楷體" w:eastAsia="標楷體" w:hAnsi="標楷體" w:hint="eastAsia"/>
          <w:szCs w:val="24"/>
        </w:rPr>
        <w:t>與治療前基準值相比，需下降超過</w:t>
      </w:r>
      <w:r w:rsidRPr="00AA26C9">
        <w:rPr>
          <w:rFonts w:ascii="標楷體" w:eastAsia="標楷體" w:hAnsi="標楷體"/>
          <w:szCs w:val="24"/>
        </w:rPr>
        <w:t>50%</w:t>
      </w:r>
      <w:r w:rsidRPr="00AA26C9">
        <w:rPr>
          <w:rFonts w:ascii="標楷體" w:eastAsia="標楷體" w:hAnsi="標楷體" w:hint="eastAsia"/>
          <w:szCs w:val="24"/>
        </w:rPr>
        <w:t>。</w:t>
      </w:r>
    </w:p>
    <w:p w:rsidR="00557419" w:rsidRPr="00AA26C9" w:rsidRDefault="00557419" w:rsidP="00557419">
      <w:pPr>
        <w:spacing w:line="400" w:lineRule="exact"/>
        <w:ind w:leftChars="438" w:left="1416" w:hangingChars="152" w:hanging="365"/>
        <w:rPr>
          <w:rFonts w:ascii="標楷體" w:eastAsia="標楷體" w:hAnsi="標楷體"/>
          <w:szCs w:val="24"/>
        </w:rPr>
      </w:pPr>
      <w:r w:rsidRPr="00AA26C9">
        <w:rPr>
          <w:rFonts w:ascii="標楷體" w:eastAsia="標楷體" w:hAnsi="標楷體" w:hint="eastAsia"/>
          <w:szCs w:val="24"/>
        </w:rPr>
        <w:t>Ⅱ</w:t>
      </w:r>
      <w:r w:rsidRPr="00AA26C9">
        <w:rPr>
          <w:rFonts w:ascii="標楷體" w:eastAsia="標楷體" w:hAnsi="標楷體"/>
          <w:szCs w:val="24"/>
        </w:rPr>
        <w:t>.</w:t>
      </w:r>
      <w:r w:rsidRPr="00AA26C9">
        <w:rPr>
          <w:rFonts w:ascii="標楷體" w:eastAsia="標楷體" w:hAnsi="標楷體" w:hint="eastAsia"/>
          <w:szCs w:val="24"/>
        </w:rPr>
        <w:t>脾臟體積無惡化：使用電腦斷層評估，脾臟長度未增加超過治療前基準值之</w:t>
      </w:r>
      <w:r w:rsidRPr="00AA26C9">
        <w:rPr>
          <w:rFonts w:ascii="標楷體" w:eastAsia="標楷體" w:hAnsi="標楷體"/>
          <w:szCs w:val="24"/>
        </w:rPr>
        <w:t>40%</w:t>
      </w:r>
      <w:r w:rsidRPr="00AA26C9">
        <w:rPr>
          <w:rFonts w:ascii="標楷體" w:eastAsia="標楷體" w:hAnsi="標楷體" w:hint="eastAsia"/>
          <w:szCs w:val="24"/>
        </w:rPr>
        <w:t>以上</w:t>
      </w:r>
      <w:r w:rsidRPr="00AA26C9">
        <w:rPr>
          <w:rFonts w:ascii="標楷體" w:eastAsia="標楷體" w:hAnsi="標楷體"/>
          <w:szCs w:val="24"/>
        </w:rPr>
        <w:t>(</w:t>
      </w:r>
      <w:r w:rsidRPr="00AA26C9">
        <w:rPr>
          <w:rFonts w:ascii="標楷體" w:eastAsia="標楷體" w:hAnsi="標楷體" w:hint="eastAsia"/>
          <w:szCs w:val="24"/>
        </w:rPr>
        <w:t>或體積增加未達</w:t>
      </w:r>
      <w:r w:rsidRPr="00AA26C9">
        <w:rPr>
          <w:rFonts w:ascii="標楷體" w:eastAsia="標楷體" w:hAnsi="標楷體"/>
          <w:szCs w:val="24"/>
        </w:rPr>
        <w:t>25%</w:t>
      </w:r>
      <w:r w:rsidRPr="00AA26C9">
        <w:rPr>
          <w:rFonts w:ascii="標楷體" w:eastAsia="標楷體" w:hAnsi="標楷體" w:hint="eastAsia"/>
          <w:szCs w:val="24"/>
        </w:rPr>
        <w:t>以上</w:t>
      </w:r>
      <w:r w:rsidRPr="00AA26C9">
        <w:rPr>
          <w:rFonts w:ascii="標楷體" w:eastAsia="標楷體" w:hAnsi="標楷體"/>
          <w:szCs w:val="24"/>
        </w:rPr>
        <w:t>)</w:t>
      </w:r>
      <w:r w:rsidRPr="00AA26C9">
        <w:rPr>
          <w:rFonts w:ascii="標楷體" w:eastAsia="標楷體" w:hAnsi="標楷體" w:hint="eastAsia"/>
          <w:szCs w:val="24"/>
        </w:rPr>
        <w:t>。</w:t>
      </w:r>
    </w:p>
    <w:p w:rsidR="00557419" w:rsidRPr="00AA26C9" w:rsidRDefault="00557419" w:rsidP="00557419">
      <w:pPr>
        <w:spacing w:line="400" w:lineRule="exact"/>
        <w:ind w:leftChars="438" w:left="1416" w:hangingChars="152" w:hanging="365"/>
        <w:rPr>
          <w:rFonts w:ascii="標楷體" w:eastAsia="標楷體" w:hAnsi="標楷體"/>
          <w:szCs w:val="24"/>
        </w:rPr>
      </w:pPr>
      <w:r w:rsidRPr="00AA26C9">
        <w:rPr>
          <w:rFonts w:ascii="標楷體" w:eastAsia="標楷體" w:hAnsi="標楷體" w:hint="eastAsia"/>
          <w:szCs w:val="24"/>
        </w:rPr>
        <w:t>Ⅲ</w:t>
      </w:r>
      <w:r w:rsidRPr="00AA26C9">
        <w:rPr>
          <w:rFonts w:ascii="標楷體" w:eastAsia="標楷體" w:hAnsi="標楷體"/>
          <w:szCs w:val="24"/>
        </w:rPr>
        <w:t>.AML transformation</w:t>
      </w:r>
      <w:r w:rsidRPr="00AA26C9">
        <w:rPr>
          <w:rFonts w:ascii="標楷體" w:eastAsia="標楷體" w:hAnsi="標楷體" w:hint="eastAsia"/>
          <w:szCs w:val="24"/>
        </w:rPr>
        <w:t>：骨髓中之芽細胞</w:t>
      </w:r>
      <w:r w:rsidRPr="00AA26C9">
        <w:rPr>
          <w:rFonts w:eastAsia="標楷體"/>
          <w:szCs w:val="24"/>
        </w:rPr>
        <w:t>≥</w:t>
      </w:r>
      <w:r w:rsidRPr="00AA26C9">
        <w:rPr>
          <w:rFonts w:ascii="標楷體" w:eastAsia="標楷體" w:hAnsi="標楷體"/>
          <w:szCs w:val="24"/>
        </w:rPr>
        <w:t>20%</w:t>
      </w:r>
      <w:r w:rsidRPr="00AA26C9">
        <w:rPr>
          <w:rFonts w:ascii="標楷體" w:eastAsia="標楷體" w:hAnsi="標楷體" w:hint="eastAsia"/>
          <w:szCs w:val="24"/>
        </w:rPr>
        <w:t>或血液中之芽細胞</w:t>
      </w:r>
      <w:r w:rsidRPr="00AA26C9">
        <w:rPr>
          <w:rFonts w:eastAsia="標楷體"/>
          <w:szCs w:val="24"/>
        </w:rPr>
        <w:t>≥</w:t>
      </w:r>
      <w:r w:rsidRPr="00AA26C9">
        <w:rPr>
          <w:rFonts w:ascii="標楷體" w:eastAsia="標楷體" w:hAnsi="標楷體"/>
          <w:szCs w:val="24"/>
        </w:rPr>
        <w:t>20%</w:t>
      </w:r>
      <w:r w:rsidRPr="00AA26C9">
        <w:rPr>
          <w:rFonts w:ascii="標楷體" w:eastAsia="標楷體" w:hAnsi="標楷體" w:hint="eastAsia"/>
          <w:szCs w:val="24"/>
        </w:rPr>
        <w:t>合併芽細胞數值</w:t>
      </w:r>
      <w:r w:rsidRPr="00AA26C9">
        <w:rPr>
          <w:rFonts w:eastAsia="標楷體"/>
          <w:szCs w:val="24"/>
        </w:rPr>
        <w:t>≥</w:t>
      </w:r>
      <w:r w:rsidRPr="00AA26C9">
        <w:rPr>
          <w:rFonts w:ascii="標楷體" w:eastAsia="標楷體" w:hAnsi="標楷體"/>
          <w:szCs w:val="24"/>
        </w:rPr>
        <w:t>1</w:t>
      </w:r>
      <w:r w:rsidRPr="00AA26C9">
        <w:rPr>
          <w:rFonts w:ascii="標楷體" w:eastAsia="標楷體" w:hAnsi="標楷體" w:cs="標楷體"/>
          <w:szCs w:val="24"/>
        </w:rPr>
        <w:t>×</w:t>
      </w:r>
      <w:r w:rsidRPr="00AA26C9">
        <w:rPr>
          <w:rFonts w:ascii="標楷體" w:eastAsia="標楷體" w:hAnsi="標楷體"/>
          <w:szCs w:val="24"/>
        </w:rPr>
        <w:t>10</w:t>
      </w:r>
      <w:r w:rsidRPr="00AA26C9">
        <w:rPr>
          <w:rFonts w:ascii="標楷體" w:eastAsia="標楷體" w:hAnsi="標楷體"/>
          <w:szCs w:val="24"/>
          <w:vertAlign w:val="superscript"/>
        </w:rPr>
        <w:t>9</w:t>
      </w:r>
      <w:r w:rsidRPr="00AA26C9">
        <w:rPr>
          <w:rFonts w:ascii="標楷體" w:eastAsia="標楷體" w:hAnsi="標楷體"/>
          <w:szCs w:val="24"/>
        </w:rPr>
        <w:t>/L</w:t>
      </w:r>
      <w:r w:rsidRPr="00AA26C9">
        <w:rPr>
          <w:rFonts w:ascii="標楷體" w:eastAsia="標楷體" w:hAnsi="標楷體" w:hint="eastAsia"/>
          <w:szCs w:val="24"/>
        </w:rPr>
        <w:t>。</w:t>
      </w:r>
    </w:p>
    <w:p w:rsidR="00557419" w:rsidRPr="00AA26C9" w:rsidRDefault="00557419" w:rsidP="00557419">
      <w:pPr>
        <w:spacing w:line="400" w:lineRule="exact"/>
        <w:ind w:leftChars="203" w:left="849" w:hangingChars="151" w:hanging="362"/>
        <w:rPr>
          <w:rFonts w:ascii="標楷體" w:eastAsia="標楷體" w:hAnsi="標楷體"/>
          <w:szCs w:val="24"/>
        </w:rPr>
      </w:pPr>
      <w:r w:rsidRPr="00AA26C9">
        <w:rPr>
          <w:rFonts w:ascii="標楷體" w:eastAsia="標楷體" w:hAnsi="標楷體"/>
          <w:szCs w:val="24"/>
        </w:rPr>
        <w:t>(3)</w:t>
      </w:r>
      <w:r w:rsidRPr="00AA26C9">
        <w:rPr>
          <w:rFonts w:ascii="標楷體" w:eastAsia="標楷體" w:hAnsi="標楷體" w:hint="eastAsia"/>
          <w:szCs w:val="24"/>
        </w:rPr>
        <w:t>用藥後第二次及其後的評估，必須顯示無疾病惡化（無症狀惡化且脾臟體積無惡化，並同時無</w:t>
      </w:r>
      <w:r w:rsidRPr="00AA26C9">
        <w:rPr>
          <w:rFonts w:ascii="標楷體" w:eastAsia="標楷體" w:hAnsi="標楷體"/>
          <w:szCs w:val="24"/>
        </w:rPr>
        <w:t>AML transformation</w:t>
      </w:r>
      <w:r w:rsidRPr="00AA26C9">
        <w:rPr>
          <w:rFonts w:ascii="標楷體" w:eastAsia="標楷體" w:hAnsi="標楷體" w:hint="eastAsia"/>
          <w:szCs w:val="24"/>
        </w:rPr>
        <w:t>），方得以繼續使用。分別定義如下：</w:t>
      </w:r>
    </w:p>
    <w:p w:rsidR="00557419" w:rsidRPr="00AA26C9" w:rsidRDefault="00557419" w:rsidP="00557419">
      <w:pPr>
        <w:spacing w:line="400" w:lineRule="exact"/>
        <w:ind w:leftChars="438" w:left="1416" w:hangingChars="152" w:hanging="365"/>
        <w:rPr>
          <w:rFonts w:ascii="標楷體" w:eastAsia="標楷體" w:hAnsi="標楷體"/>
          <w:szCs w:val="24"/>
        </w:rPr>
      </w:pPr>
      <w:r w:rsidRPr="00AA26C9">
        <w:rPr>
          <w:rFonts w:ascii="標楷體" w:eastAsia="標楷體" w:hAnsi="標楷體" w:hint="eastAsia"/>
          <w:szCs w:val="24"/>
        </w:rPr>
        <w:t>Ⅰ</w:t>
      </w:r>
      <w:r w:rsidRPr="00AA26C9">
        <w:rPr>
          <w:rFonts w:ascii="標楷體" w:eastAsia="標楷體" w:hAnsi="標楷體"/>
          <w:szCs w:val="24"/>
        </w:rPr>
        <w:t>.</w:t>
      </w:r>
      <w:r w:rsidRPr="00AA26C9">
        <w:rPr>
          <w:rFonts w:ascii="標楷體" w:eastAsia="標楷體" w:hAnsi="標楷體" w:hint="eastAsia"/>
          <w:szCs w:val="24"/>
        </w:rPr>
        <w:t>無症狀惡化：未出現新症狀，且</w:t>
      </w:r>
      <w:r w:rsidRPr="00AA26C9">
        <w:rPr>
          <w:rFonts w:ascii="標楷體" w:eastAsia="標楷體" w:hAnsi="標楷體"/>
          <w:szCs w:val="24"/>
        </w:rPr>
        <w:t>MPN-SAF-TSS</w:t>
      </w:r>
      <w:r w:rsidRPr="00AA26C9">
        <w:rPr>
          <w:rFonts w:ascii="標楷體" w:eastAsia="標楷體" w:hAnsi="標楷體" w:hint="eastAsia"/>
          <w:szCs w:val="24"/>
        </w:rPr>
        <w:t>分數或</w:t>
      </w:r>
      <w:r w:rsidRPr="00AA26C9">
        <w:rPr>
          <w:rFonts w:ascii="標楷體" w:eastAsia="標楷體" w:hAnsi="標楷體"/>
          <w:szCs w:val="24"/>
        </w:rPr>
        <w:t>MPN-10</w:t>
      </w:r>
      <w:r w:rsidRPr="00AA26C9">
        <w:rPr>
          <w:rFonts w:ascii="標楷體" w:eastAsia="標楷體" w:hAnsi="標楷體" w:hint="eastAsia"/>
          <w:szCs w:val="24"/>
        </w:rPr>
        <w:t>未超過治療前的基準值。</w:t>
      </w:r>
    </w:p>
    <w:p w:rsidR="00557419" w:rsidRPr="00AA26C9" w:rsidRDefault="00557419" w:rsidP="00557419">
      <w:pPr>
        <w:spacing w:line="400" w:lineRule="exact"/>
        <w:ind w:leftChars="438" w:left="1416" w:hangingChars="152" w:hanging="365"/>
        <w:rPr>
          <w:rFonts w:ascii="標楷體" w:eastAsia="標楷體" w:hAnsi="標楷體"/>
          <w:szCs w:val="24"/>
        </w:rPr>
      </w:pPr>
      <w:r w:rsidRPr="00AA26C9">
        <w:rPr>
          <w:rFonts w:ascii="標楷體" w:eastAsia="標楷體" w:hAnsi="標楷體" w:hint="eastAsia"/>
          <w:szCs w:val="24"/>
        </w:rPr>
        <w:t>Ⅱ</w:t>
      </w:r>
      <w:r w:rsidRPr="00AA26C9">
        <w:rPr>
          <w:rFonts w:ascii="標楷體" w:eastAsia="標楷體" w:hAnsi="標楷體"/>
          <w:szCs w:val="24"/>
        </w:rPr>
        <w:t>.</w:t>
      </w:r>
      <w:r w:rsidRPr="00AA26C9">
        <w:rPr>
          <w:rFonts w:ascii="標楷體" w:eastAsia="標楷體" w:hAnsi="標楷體" w:hint="eastAsia"/>
          <w:szCs w:val="24"/>
        </w:rPr>
        <w:t>脾臟體積無惡化：使用電腦斷層評估，脾臟長度未增加超過最佳反應</w:t>
      </w:r>
      <w:r w:rsidRPr="00AA26C9">
        <w:rPr>
          <w:rFonts w:ascii="標楷體" w:eastAsia="標楷體" w:hAnsi="標楷體"/>
          <w:szCs w:val="24"/>
        </w:rPr>
        <w:t>(best response)</w:t>
      </w:r>
      <w:r w:rsidRPr="00AA26C9">
        <w:rPr>
          <w:rFonts w:ascii="標楷體" w:eastAsia="標楷體" w:hAnsi="標楷體" w:hint="eastAsia"/>
          <w:szCs w:val="24"/>
        </w:rPr>
        <w:t>時之脾臟長度</w:t>
      </w:r>
      <w:r w:rsidRPr="00AA26C9">
        <w:rPr>
          <w:rFonts w:ascii="標楷體" w:eastAsia="標楷體" w:hAnsi="標楷體"/>
          <w:szCs w:val="24"/>
        </w:rPr>
        <w:t>40%</w:t>
      </w:r>
      <w:r w:rsidRPr="00AA26C9">
        <w:rPr>
          <w:rFonts w:ascii="標楷體" w:eastAsia="標楷體" w:hAnsi="標楷體" w:hint="eastAsia"/>
          <w:szCs w:val="24"/>
        </w:rPr>
        <w:t>以上</w:t>
      </w:r>
      <w:r w:rsidRPr="00AA26C9">
        <w:rPr>
          <w:rFonts w:ascii="標楷體" w:eastAsia="標楷體" w:hAnsi="標楷體"/>
          <w:szCs w:val="24"/>
        </w:rPr>
        <w:t>(</w:t>
      </w:r>
      <w:r w:rsidRPr="00AA26C9">
        <w:rPr>
          <w:rFonts w:ascii="標楷體" w:eastAsia="標楷體" w:hAnsi="標楷體" w:hint="eastAsia"/>
          <w:szCs w:val="24"/>
        </w:rPr>
        <w:t>或體積增加未達</w:t>
      </w:r>
      <w:r w:rsidRPr="00AA26C9">
        <w:rPr>
          <w:rFonts w:ascii="標楷體" w:eastAsia="標楷體" w:hAnsi="標楷體"/>
          <w:szCs w:val="24"/>
        </w:rPr>
        <w:t>25%</w:t>
      </w:r>
      <w:r w:rsidRPr="00AA26C9">
        <w:rPr>
          <w:rFonts w:ascii="標楷體" w:eastAsia="標楷體" w:hAnsi="標楷體" w:hint="eastAsia"/>
          <w:szCs w:val="24"/>
        </w:rPr>
        <w:t>以上</w:t>
      </w:r>
      <w:r w:rsidRPr="00AA26C9">
        <w:rPr>
          <w:rFonts w:ascii="標楷體" w:eastAsia="標楷體" w:hAnsi="標楷體"/>
          <w:szCs w:val="24"/>
        </w:rPr>
        <w:t>)</w:t>
      </w:r>
      <w:r w:rsidRPr="00AA26C9">
        <w:rPr>
          <w:rFonts w:ascii="標楷體" w:eastAsia="標楷體" w:hAnsi="標楷體" w:hint="eastAsia"/>
          <w:szCs w:val="24"/>
        </w:rPr>
        <w:t>。</w:t>
      </w:r>
    </w:p>
    <w:p w:rsidR="00557419" w:rsidRPr="00AA26C9" w:rsidRDefault="00557419" w:rsidP="00557419">
      <w:pPr>
        <w:spacing w:line="400" w:lineRule="exact"/>
        <w:ind w:leftChars="438" w:left="1416" w:hangingChars="152" w:hanging="365"/>
        <w:rPr>
          <w:rFonts w:ascii="標楷體" w:eastAsia="標楷體" w:hAnsi="標楷體"/>
          <w:szCs w:val="24"/>
        </w:rPr>
      </w:pPr>
      <w:r w:rsidRPr="00AA26C9">
        <w:rPr>
          <w:rFonts w:ascii="標楷體" w:eastAsia="標楷體" w:hAnsi="標楷體" w:hint="eastAsia"/>
          <w:szCs w:val="24"/>
        </w:rPr>
        <w:t>Ⅲ</w:t>
      </w:r>
      <w:r w:rsidRPr="00AA26C9">
        <w:rPr>
          <w:rFonts w:ascii="標楷體" w:eastAsia="標楷體" w:hAnsi="標楷體"/>
          <w:szCs w:val="24"/>
        </w:rPr>
        <w:t>.AML transformation</w:t>
      </w:r>
      <w:r w:rsidRPr="00AA26C9">
        <w:rPr>
          <w:rFonts w:ascii="標楷體" w:eastAsia="標楷體" w:hAnsi="標楷體" w:hint="eastAsia"/>
          <w:szCs w:val="24"/>
        </w:rPr>
        <w:t>：骨髓中之芽細胞</w:t>
      </w:r>
      <w:r w:rsidRPr="00AA26C9">
        <w:rPr>
          <w:rFonts w:eastAsia="標楷體"/>
          <w:szCs w:val="24"/>
        </w:rPr>
        <w:t>≥</w:t>
      </w:r>
      <w:r w:rsidRPr="00AA26C9">
        <w:rPr>
          <w:rFonts w:ascii="標楷體" w:eastAsia="標楷體" w:hAnsi="標楷體"/>
          <w:szCs w:val="24"/>
        </w:rPr>
        <w:t>20%</w:t>
      </w:r>
      <w:r w:rsidRPr="00AA26C9">
        <w:rPr>
          <w:rFonts w:ascii="標楷體" w:eastAsia="標楷體" w:hAnsi="標楷體" w:hint="eastAsia"/>
          <w:szCs w:val="24"/>
        </w:rPr>
        <w:t>或血液中之芽細胞</w:t>
      </w:r>
      <w:r w:rsidRPr="00AA26C9">
        <w:rPr>
          <w:rFonts w:eastAsia="標楷體"/>
          <w:szCs w:val="24"/>
        </w:rPr>
        <w:t>≥</w:t>
      </w:r>
      <w:r w:rsidRPr="00AA26C9">
        <w:rPr>
          <w:rFonts w:ascii="標楷體" w:eastAsia="標楷體" w:hAnsi="標楷體"/>
          <w:szCs w:val="24"/>
        </w:rPr>
        <w:t>20%</w:t>
      </w:r>
      <w:r w:rsidRPr="00AA26C9">
        <w:rPr>
          <w:rFonts w:ascii="標楷體" w:eastAsia="標楷體" w:hAnsi="標楷體" w:hint="eastAsia"/>
          <w:szCs w:val="24"/>
        </w:rPr>
        <w:t>合併芽細胞數值</w:t>
      </w:r>
      <w:r w:rsidRPr="00AA26C9">
        <w:rPr>
          <w:rFonts w:eastAsia="標楷體"/>
          <w:szCs w:val="24"/>
        </w:rPr>
        <w:t>≥</w:t>
      </w:r>
      <w:r w:rsidRPr="00AA26C9">
        <w:rPr>
          <w:rFonts w:ascii="標楷體" w:eastAsia="標楷體" w:hAnsi="標楷體"/>
          <w:szCs w:val="24"/>
        </w:rPr>
        <w:t>1</w:t>
      </w:r>
      <w:r w:rsidRPr="00AA26C9">
        <w:rPr>
          <w:rFonts w:ascii="標楷體" w:eastAsia="標楷體" w:hAnsi="標楷體" w:cs="標楷體"/>
          <w:szCs w:val="24"/>
        </w:rPr>
        <w:t>×</w:t>
      </w:r>
      <w:r w:rsidRPr="00AA26C9">
        <w:rPr>
          <w:rFonts w:ascii="標楷體" w:eastAsia="標楷體" w:hAnsi="標楷體"/>
          <w:szCs w:val="24"/>
        </w:rPr>
        <w:t>10</w:t>
      </w:r>
      <w:r w:rsidRPr="00AA26C9">
        <w:rPr>
          <w:rFonts w:ascii="標楷體" w:eastAsia="標楷體" w:hAnsi="標楷體"/>
          <w:szCs w:val="24"/>
          <w:vertAlign w:val="superscript"/>
        </w:rPr>
        <w:t>9</w:t>
      </w:r>
      <w:r w:rsidRPr="00AA26C9">
        <w:rPr>
          <w:rFonts w:ascii="標楷體" w:eastAsia="標楷體" w:hAnsi="標楷體"/>
          <w:szCs w:val="24"/>
        </w:rPr>
        <w:t>/L</w:t>
      </w:r>
      <w:r w:rsidRPr="00AA26C9">
        <w:rPr>
          <w:rFonts w:ascii="標楷體" w:eastAsia="標楷體" w:hAnsi="標楷體" w:hint="eastAsia"/>
          <w:szCs w:val="24"/>
        </w:rPr>
        <w:t>。</w:t>
      </w:r>
    </w:p>
    <w:p w:rsidR="00B96EA0" w:rsidRPr="00557419" w:rsidRDefault="00557419" w:rsidP="00557419">
      <w:pPr>
        <w:spacing w:line="400" w:lineRule="exact"/>
        <w:ind w:leftChars="85" w:left="425" w:hangingChars="92" w:hanging="221"/>
        <w:rPr>
          <w:rFonts w:ascii="標楷體" w:eastAsia="標楷體" w:hAnsi="標楷體"/>
          <w:szCs w:val="24"/>
        </w:rPr>
      </w:pPr>
      <w:r w:rsidRPr="00AA26C9">
        <w:rPr>
          <w:rFonts w:ascii="標楷體" w:eastAsia="標楷體" w:hAnsi="標楷體"/>
          <w:szCs w:val="24"/>
        </w:rPr>
        <w:t>2.</w:t>
      </w:r>
      <w:r w:rsidRPr="00AA26C9">
        <w:rPr>
          <w:rFonts w:ascii="標楷體" w:eastAsia="標楷體" w:hAnsi="標楷體" w:hint="eastAsia"/>
          <w:szCs w:val="24"/>
        </w:rPr>
        <w:t>本藥品與</w:t>
      </w:r>
      <w:r w:rsidRPr="00AA26C9">
        <w:rPr>
          <w:rFonts w:ascii="標楷體" w:eastAsia="標楷體" w:hAnsi="標楷體"/>
          <w:szCs w:val="24"/>
        </w:rPr>
        <w:t>ruxolitinib</w:t>
      </w:r>
      <w:r w:rsidRPr="00AA26C9">
        <w:rPr>
          <w:rFonts w:ascii="標楷體" w:eastAsia="標楷體" w:hAnsi="標楷體" w:hint="eastAsia"/>
          <w:szCs w:val="24"/>
          <w:u w:val="single"/>
        </w:rPr>
        <w:t>、</w:t>
      </w:r>
      <w:r w:rsidRPr="00AA26C9">
        <w:rPr>
          <w:rFonts w:ascii="標楷體" w:eastAsia="標楷體" w:hAnsi="標楷體"/>
          <w:szCs w:val="24"/>
          <w:u w:val="single"/>
        </w:rPr>
        <w:t>momelotinib</w:t>
      </w:r>
      <w:r w:rsidRPr="00AA26C9">
        <w:rPr>
          <w:rFonts w:ascii="標楷體" w:eastAsia="標楷體" w:hAnsi="標楷體" w:hint="eastAsia"/>
          <w:szCs w:val="24"/>
        </w:rPr>
        <w:t>用於中度風險或高風險之骨髓纖維化治療時，僅得擇一給付。r</w:t>
      </w:r>
      <w:r w:rsidRPr="00AA26C9">
        <w:rPr>
          <w:rFonts w:ascii="標楷體" w:eastAsia="標楷體" w:hAnsi="標楷體"/>
          <w:szCs w:val="24"/>
        </w:rPr>
        <w:t>uxolitinib</w:t>
      </w:r>
      <w:r w:rsidRPr="00AA26C9">
        <w:rPr>
          <w:rFonts w:ascii="標楷體" w:eastAsia="標楷體" w:hAnsi="標楷體" w:hint="eastAsia"/>
          <w:szCs w:val="24"/>
          <w:u w:val="single"/>
        </w:rPr>
        <w:t>、</w:t>
      </w:r>
      <w:r w:rsidRPr="00AA26C9">
        <w:rPr>
          <w:rFonts w:ascii="標楷體" w:eastAsia="標楷體" w:hAnsi="標楷體"/>
          <w:szCs w:val="24"/>
          <w:u w:val="single"/>
        </w:rPr>
        <w:t>momelotinib</w:t>
      </w:r>
      <w:r w:rsidRPr="00AA26C9">
        <w:rPr>
          <w:rFonts w:ascii="標楷體" w:eastAsia="標楷體" w:hAnsi="標楷體" w:hint="eastAsia"/>
          <w:szCs w:val="24"/>
        </w:rPr>
        <w:t>治療後如疾病惡化不得換用本藥品。</w:t>
      </w:r>
      <w:r w:rsidRPr="00557419">
        <w:rPr>
          <w:rFonts w:ascii="標楷體" w:eastAsia="標楷體" w:hAnsi="標楷體"/>
          <w:szCs w:val="24"/>
        </w:rPr>
        <w:t>(</w:t>
      </w:r>
      <w:r w:rsidRPr="00557419">
        <w:rPr>
          <w:rFonts w:ascii="標楷體" w:eastAsia="標楷體" w:hAnsi="標楷體" w:hint="eastAsia"/>
          <w:szCs w:val="24"/>
        </w:rPr>
        <w:t>114</w:t>
      </w:r>
      <w:r w:rsidRPr="00557419">
        <w:rPr>
          <w:rFonts w:ascii="標楷體" w:eastAsia="標楷體" w:hAnsi="標楷體"/>
          <w:szCs w:val="24"/>
        </w:rPr>
        <w:t>/</w:t>
      </w:r>
      <w:r w:rsidRPr="00557419">
        <w:rPr>
          <w:rFonts w:ascii="標楷體" w:eastAsia="標楷體" w:hAnsi="標楷體" w:hint="eastAsia"/>
          <w:szCs w:val="24"/>
        </w:rPr>
        <w:t>10</w:t>
      </w:r>
      <w:r w:rsidRPr="00557419">
        <w:rPr>
          <w:rFonts w:ascii="標楷體" w:eastAsia="標楷體" w:hAnsi="標楷體"/>
          <w:szCs w:val="24"/>
        </w:rPr>
        <w:t>/1)</w:t>
      </w:r>
    </w:p>
    <w:p w:rsidR="00B96EA0" w:rsidRDefault="007D66B8" w:rsidP="005142EB">
      <w:pPr>
        <w:spacing w:line="400" w:lineRule="exact"/>
        <w:rPr>
          <w:rFonts w:ascii="標楷體" w:eastAsia="標楷體" w:hAnsi="標楷體"/>
          <w:szCs w:val="28"/>
        </w:rPr>
      </w:pPr>
      <w:r>
        <w:rPr>
          <w:rFonts w:ascii="標楷體" w:eastAsia="標楷體" w:hAnsi="標楷體"/>
          <w:szCs w:val="28"/>
        </w:rPr>
        <w:t>9.115.Trastuzumab deruxtecan (如Enhertu)：(114/2/1)</w:t>
      </w:r>
    </w:p>
    <w:p w:rsidR="00B96EA0" w:rsidRDefault="007D66B8" w:rsidP="005142EB">
      <w:pPr>
        <w:tabs>
          <w:tab w:val="left" w:pos="1418"/>
        </w:tabs>
        <w:spacing w:line="400" w:lineRule="exact"/>
        <w:ind w:left="811" w:hanging="245"/>
        <w:jc w:val="both"/>
      </w:pPr>
      <w:r>
        <w:rPr>
          <w:rFonts w:ascii="標楷體" w:eastAsia="標楷體" w:hAnsi="標楷體"/>
          <w:szCs w:val="28"/>
        </w:rPr>
        <w:t>1.單獨</w:t>
      </w:r>
      <w:r>
        <w:rPr>
          <w:rFonts w:ascii="標楷體" w:eastAsia="標楷體" w:hAnsi="標楷體"/>
          <w:color w:val="000000"/>
        </w:rPr>
        <w:t>使用</w:t>
      </w:r>
      <w:r>
        <w:rPr>
          <w:rFonts w:ascii="標楷體" w:eastAsia="標楷體" w:hAnsi="標楷體"/>
          <w:szCs w:val="28"/>
        </w:rPr>
        <w:t>於具HER2過度表現(IHC3+或FISH+)之轉移性乳癌病人作為二線治療，並同時符合下列情形：</w:t>
      </w:r>
    </w:p>
    <w:p w:rsidR="00B96EA0" w:rsidRDefault="007D66B8" w:rsidP="005142EB">
      <w:pPr>
        <w:tabs>
          <w:tab w:val="left" w:pos="1185"/>
        </w:tabs>
        <w:spacing w:line="400" w:lineRule="exact"/>
        <w:ind w:left="1051" w:hanging="245"/>
        <w:jc w:val="both"/>
      </w:pPr>
      <w:r>
        <w:rPr>
          <w:rFonts w:ascii="標楷體" w:eastAsia="標楷體" w:hAnsi="標楷體"/>
          <w:szCs w:val="28"/>
        </w:rPr>
        <w:t>(1)之前</w:t>
      </w:r>
      <w:r>
        <w:rPr>
          <w:rFonts w:ascii="標楷體" w:eastAsia="標楷體" w:hAnsi="標楷體"/>
          <w:color w:val="000000"/>
        </w:rPr>
        <w:t>分別接受過 trastuzumab 與一種taxane 藥物治療，或其合併療法，或pertuzumab 與trastuzumab 與一種taxane藥物治療。</w:t>
      </w:r>
    </w:p>
    <w:p w:rsidR="00B96EA0" w:rsidRDefault="007D66B8" w:rsidP="005142EB">
      <w:pPr>
        <w:tabs>
          <w:tab w:val="left" w:pos="1185"/>
        </w:tabs>
        <w:spacing w:line="400" w:lineRule="exact"/>
        <w:ind w:left="1051" w:hanging="245"/>
        <w:jc w:val="both"/>
        <w:rPr>
          <w:rFonts w:ascii="標楷體" w:eastAsia="標楷體" w:hAnsi="標楷體"/>
          <w:color w:val="000000"/>
        </w:rPr>
      </w:pPr>
      <w:r>
        <w:rPr>
          <w:rFonts w:ascii="標楷體" w:eastAsia="標楷體" w:hAnsi="標楷體"/>
          <w:color w:val="000000"/>
        </w:rPr>
        <w:t>(2)之前已經接受過轉移性癌症治療，或在輔助療法治療期間或完成治療後6 個月內癌症復發。</w:t>
      </w:r>
    </w:p>
    <w:p w:rsidR="00B96EA0" w:rsidRDefault="007D66B8" w:rsidP="005142EB">
      <w:pPr>
        <w:tabs>
          <w:tab w:val="left" w:pos="1185"/>
        </w:tabs>
        <w:spacing w:line="400" w:lineRule="exact"/>
        <w:ind w:left="1051" w:hanging="245"/>
        <w:jc w:val="both"/>
        <w:rPr>
          <w:rFonts w:ascii="標楷體" w:eastAsia="標楷體" w:hAnsi="標楷體"/>
          <w:color w:val="000000"/>
        </w:rPr>
      </w:pPr>
      <w:r>
        <w:rPr>
          <w:rFonts w:ascii="標楷體" w:eastAsia="標楷體" w:hAnsi="標楷體"/>
          <w:color w:val="000000"/>
        </w:rPr>
        <w:t>(3)合併有主要臟器(不包含骨及軟組織)轉移。</w:t>
      </w:r>
    </w:p>
    <w:p w:rsidR="00B96EA0" w:rsidRDefault="007D66B8" w:rsidP="005142EB">
      <w:pPr>
        <w:tabs>
          <w:tab w:val="left" w:pos="1185"/>
        </w:tabs>
        <w:spacing w:line="400" w:lineRule="exact"/>
        <w:ind w:left="1051" w:hanging="245"/>
        <w:jc w:val="both"/>
        <w:rPr>
          <w:rFonts w:ascii="標楷體" w:eastAsia="標楷體" w:hAnsi="標楷體"/>
          <w:color w:val="000000"/>
        </w:rPr>
      </w:pPr>
      <w:r>
        <w:rPr>
          <w:rFonts w:ascii="標楷體" w:eastAsia="標楷體" w:hAnsi="標楷體"/>
          <w:color w:val="000000"/>
        </w:rPr>
        <w:t>(4)須經事前審查核准後使用，核准後每12週須檢附療效評估資料再次申請，若疾病有惡化情形即不應再行申請，每位病人至多給付18個療程為上限。</w:t>
      </w:r>
    </w:p>
    <w:p w:rsidR="00B96EA0" w:rsidRDefault="007D66B8" w:rsidP="005142EB">
      <w:pPr>
        <w:tabs>
          <w:tab w:val="left" w:pos="1185"/>
        </w:tabs>
        <w:spacing w:line="400" w:lineRule="exact"/>
        <w:ind w:left="1051" w:hanging="245"/>
        <w:jc w:val="both"/>
        <w:rPr>
          <w:rFonts w:ascii="標楷體" w:eastAsia="標楷體" w:hAnsi="標楷體"/>
          <w:color w:val="000000"/>
        </w:rPr>
      </w:pPr>
      <w:r>
        <w:rPr>
          <w:rFonts w:ascii="標楷體" w:eastAsia="標楷體" w:hAnsi="標楷體"/>
          <w:color w:val="000000"/>
        </w:rPr>
        <w:t>(5)Trastuzumab deruxtecan、trastuzumab emtansine 和lapatinib 僅能擇一給付，不得互換。</w:t>
      </w:r>
    </w:p>
    <w:p w:rsidR="00B96EA0" w:rsidRDefault="007D66B8" w:rsidP="005142EB">
      <w:pPr>
        <w:tabs>
          <w:tab w:val="left" w:pos="1418"/>
        </w:tabs>
        <w:spacing w:line="400" w:lineRule="exact"/>
        <w:ind w:left="811" w:hanging="245"/>
        <w:jc w:val="both"/>
        <w:rPr>
          <w:rFonts w:ascii="標楷體" w:eastAsia="標楷體" w:hAnsi="標楷體"/>
          <w:szCs w:val="28"/>
        </w:rPr>
      </w:pPr>
      <w:r>
        <w:rPr>
          <w:rFonts w:ascii="標楷體" w:eastAsia="標楷體" w:hAnsi="標楷體"/>
          <w:szCs w:val="28"/>
        </w:rPr>
        <w:t>2.單獨使用於ER、PR皆陰性且具 HER2弱陽性(IHC 1+或IHC 2+/ISH-)表現之無法切除的局部晚期或轉移性乳癌病人，且符合下列各項條件：</w:t>
      </w:r>
    </w:p>
    <w:p w:rsidR="00B96EA0" w:rsidRDefault="007D66B8" w:rsidP="005142EB">
      <w:pPr>
        <w:tabs>
          <w:tab w:val="left" w:pos="1185"/>
        </w:tabs>
        <w:spacing w:line="400" w:lineRule="exact"/>
        <w:ind w:left="1051" w:hanging="245"/>
        <w:jc w:val="both"/>
        <w:rPr>
          <w:rFonts w:ascii="標楷體" w:eastAsia="標楷體" w:hAnsi="標楷體"/>
          <w:szCs w:val="28"/>
        </w:rPr>
      </w:pPr>
      <w:r>
        <w:rPr>
          <w:rFonts w:ascii="標楷體" w:eastAsia="標楷體" w:hAnsi="標楷體"/>
          <w:szCs w:val="28"/>
        </w:rPr>
        <w:t>(1)病人身體狀況良好（ECOG≦1）。</w:t>
      </w:r>
    </w:p>
    <w:p w:rsidR="00B96EA0" w:rsidRDefault="007D66B8" w:rsidP="005142EB">
      <w:pPr>
        <w:tabs>
          <w:tab w:val="left" w:pos="1185"/>
        </w:tabs>
        <w:spacing w:line="400" w:lineRule="exact"/>
        <w:ind w:left="1051" w:hanging="245"/>
        <w:jc w:val="both"/>
        <w:rPr>
          <w:rFonts w:ascii="標楷體" w:eastAsia="標楷體" w:hAnsi="標楷體"/>
          <w:szCs w:val="28"/>
        </w:rPr>
      </w:pPr>
      <w:r>
        <w:rPr>
          <w:rFonts w:ascii="標楷體" w:eastAsia="標楷體" w:hAnsi="標楷體"/>
          <w:szCs w:val="28"/>
        </w:rPr>
        <w:t>(2)須接受過至少一種化學療法治療。</w:t>
      </w:r>
    </w:p>
    <w:p w:rsidR="00B96EA0" w:rsidRDefault="007D66B8" w:rsidP="005142EB">
      <w:pPr>
        <w:tabs>
          <w:tab w:val="left" w:pos="1185"/>
        </w:tabs>
        <w:spacing w:line="400" w:lineRule="exact"/>
        <w:ind w:left="1051" w:hanging="245"/>
        <w:jc w:val="both"/>
        <w:rPr>
          <w:rFonts w:ascii="標楷體" w:eastAsia="標楷體" w:hAnsi="標楷體"/>
          <w:szCs w:val="28"/>
        </w:rPr>
      </w:pPr>
      <w:r>
        <w:rPr>
          <w:rFonts w:ascii="標楷體" w:eastAsia="標楷體" w:hAnsi="標楷體"/>
          <w:szCs w:val="28"/>
        </w:rPr>
        <w:t>(3)須經事前審查核准後使用，每次申請之療程以12週為限，初次申請時需檢附ER、PR皆為陰性且HER2弱陽性(IHC1+或IHC2+/ISH-)之檢測報告。</w:t>
      </w:r>
    </w:p>
    <w:p w:rsidR="00B96EA0" w:rsidRDefault="007D66B8" w:rsidP="005142EB">
      <w:pPr>
        <w:tabs>
          <w:tab w:val="left" w:pos="1185"/>
        </w:tabs>
        <w:spacing w:line="400" w:lineRule="exact"/>
        <w:ind w:left="1051" w:hanging="245"/>
        <w:jc w:val="both"/>
        <w:rPr>
          <w:rFonts w:ascii="標楷體" w:eastAsia="標楷體" w:hAnsi="標楷體"/>
          <w:szCs w:val="28"/>
        </w:rPr>
      </w:pPr>
      <w:r>
        <w:rPr>
          <w:rFonts w:ascii="標楷體" w:eastAsia="標楷體" w:hAnsi="標楷體"/>
          <w:szCs w:val="28"/>
        </w:rPr>
        <w:lastRenderedPageBreak/>
        <w:t>(4)再次申請必須提出客觀證據（如：影像學）證實無惡化，才可繼續使用。</w:t>
      </w:r>
    </w:p>
    <w:p w:rsidR="00B96EA0" w:rsidRDefault="007D66B8" w:rsidP="005142EB">
      <w:pPr>
        <w:tabs>
          <w:tab w:val="left" w:pos="1185"/>
        </w:tabs>
        <w:spacing w:line="400" w:lineRule="exact"/>
        <w:ind w:left="1051" w:hanging="245"/>
        <w:jc w:val="both"/>
        <w:rPr>
          <w:rFonts w:ascii="標楷體" w:eastAsia="標楷體" w:hAnsi="標楷體"/>
          <w:szCs w:val="28"/>
        </w:rPr>
      </w:pPr>
      <w:r>
        <w:rPr>
          <w:rFonts w:ascii="標楷體" w:eastAsia="標楷體" w:hAnsi="標楷體"/>
          <w:szCs w:val="28"/>
        </w:rPr>
        <w:t>(5)Trastuzumab deruxtecan和sacituzumab govitecan僅能擇一給付，不得互換。</w:t>
      </w:r>
    </w:p>
    <w:p w:rsidR="00B96EA0" w:rsidRDefault="007D66B8" w:rsidP="005142EB">
      <w:pPr>
        <w:tabs>
          <w:tab w:val="left" w:pos="1418"/>
        </w:tabs>
        <w:spacing w:line="400" w:lineRule="exact"/>
        <w:ind w:left="811" w:hanging="245"/>
        <w:jc w:val="both"/>
        <w:rPr>
          <w:rFonts w:ascii="標楷體" w:eastAsia="標楷體" w:hAnsi="標楷體"/>
          <w:szCs w:val="28"/>
        </w:rPr>
      </w:pPr>
      <w:r>
        <w:rPr>
          <w:rFonts w:ascii="標楷體" w:eastAsia="標楷體" w:hAnsi="標楷體"/>
          <w:szCs w:val="28"/>
        </w:rPr>
        <w:t>3.申報醫療費用時「總量」應依實際使用量申報，取至小數點第一位，第二位四捨五入。</w:t>
      </w:r>
    </w:p>
    <w:p w:rsidR="00B96EA0" w:rsidRDefault="007D66B8" w:rsidP="005142EB">
      <w:pPr>
        <w:spacing w:line="400" w:lineRule="exact"/>
      </w:pPr>
      <w:r>
        <w:rPr>
          <w:rFonts w:ascii="標楷體" w:eastAsia="標楷體" w:hAnsi="標楷體"/>
          <w:szCs w:val="28"/>
        </w:rPr>
        <w:t>9.116.Selumetinib (如Koselugo)：(114/2/1)</w:t>
      </w:r>
    </w:p>
    <w:p w:rsidR="00B96EA0" w:rsidRDefault="007D66B8" w:rsidP="005142EB">
      <w:pPr>
        <w:tabs>
          <w:tab w:val="left" w:pos="1418"/>
        </w:tabs>
        <w:spacing w:line="400" w:lineRule="exact"/>
        <w:ind w:left="811" w:hanging="245"/>
        <w:jc w:val="both"/>
      </w:pPr>
      <w:r>
        <w:rPr>
          <w:rFonts w:ascii="標楷體" w:eastAsia="標楷體" w:hAnsi="標楷體"/>
          <w:szCs w:val="24"/>
        </w:rPr>
        <w:t>1.</w:t>
      </w:r>
      <w:r>
        <w:rPr>
          <w:rFonts w:ascii="標楷體" w:eastAsia="標楷體" w:hAnsi="標楷體"/>
          <w:szCs w:val="28"/>
        </w:rPr>
        <w:t>治療</w:t>
      </w:r>
      <w:r>
        <w:rPr>
          <w:rFonts w:ascii="標楷體" w:eastAsia="標楷體" w:hAnsi="標楷體"/>
          <w:szCs w:val="24"/>
        </w:rPr>
        <w:t>3歲以上至未滿18歲第1型神經纖維瘤(neurofibromatosis type1，NF1) 合併有叢狀神經纖維瘤（plexiform neurofibroma，PN）之兒童病人，且同時符合下列情形：</w:t>
      </w:r>
    </w:p>
    <w:p w:rsidR="00B96EA0" w:rsidRDefault="007D66B8" w:rsidP="005142EB">
      <w:pPr>
        <w:tabs>
          <w:tab w:val="left" w:pos="1185"/>
        </w:tabs>
        <w:spacing w:line="400" w:lineRule="exact"/>
        <w:ind w:left="1051" w:hanging="245"/>
        <w:jc w:val="both"/>
      </w:pPr>
      <w:r>
        <w:rPr>
          <w:rFonts w:ascii="標楷體" w:eastAsia="標楷體" w:hAnsi="標楷體"/>
          <w:szCs w:val="24"/>
        </w:rPr>
        <w:t>(1)無法以</w:t>
      </w:r>
      <w:r>
        <w:rPr>
          <w:rFonts w:ascii="標楷體" w:eastAsia="標楷體" w:hAnsi="標楷體"/>
          <w:szCs w:val="28"/>
        </w:rPr>
        <w:t>手術切除。</w:t>
      </w:r>
    </w:p>
    <w:p w:rsidR="00B96EA0" w:rsidRDefault="007D66B8" w:rsidP="005142EB">
      <w:pPr>
        <w:tabs>
          <w:tab w:val="left" w:pos="1185"/>
        </w:tabs>
        <w:spacing w:line="400" w:lineRule="exact"/>
        <w:ind w:left="1051" w:hanging="245"/>
        <w:jc w:val="both"/>
      </w:pPr>
      <w:r>
        <w:rPr>
          <w:rFonts w:ascii="標楷體" w:eastAsia="標楷體" w:hAnsi="標楷體"/>
          <w:szCs w:val="28"/>
        </w:rPr>
        <w:t>(2)具有症狀</w:t>
      </w:r>
      <w:r>
        <w:rPr>
          <w:rFonts w:ascii="標楷體" w:eastAsia="標楷體" w:hAnsi="標楷體"/>
          <w:szCs w:val="24"/>
        </w:rPr>
        <w:t>且嚴重的PN。</w:t>
      </w:r>
    </w:p>
    <w:p w:rsidR="00B96EA0" w:rsidRDefault="007D66B8" w:rsidP="005142EB">
      <w:pPr>
        <w:tabs>
          <w:tab w:val="left" w:pos="1418"/>
        </w:tabs>
        <w:spacing w:line="400" w:lineRule="exact"/>
        <w:ind w:left="811" w:hanging="245"/>
        <w:jc w:val="both"/>
        <w:rPr>
          <w:rFonts w:ascii="標楷體" w:eastAsia="標楷體" w:hAnsi="標楷體"/>
          <w:szCs w:val="24"/>
        </w:rPr>
      </w:pPr>
      <w:r>
        <w:rPr>
          <w:rFonts w:ascii="標楷體" w:eastAsia="標楷體" w:hAnsi="標楷體"/>
          <w:szCs w:val="24"/>
        </w:rPr>
        <w:t>2.無法以手術切除的定義為：</w:t>
      </w:r>
    </w:p>
    <w:p w:rsidR="00B96EA0" w:rsidRDefault="007D66B8" w:rsidP="005142EB">
      <w:pPr>
        <w:tabs>
          <w:tab w:val="left" w:pos="1185"/>
        </w:tabs>
        <w:spacing w:line="400" w:lineRule="exact"/>
        <w:ind w:left="1051" w:hanging="245"/>
        <w:jc w:val="both"/>
      </w:pPr>
      <w:r>
        <w:rPr>
          <w:rFonts w:ascii="標楷體" w:eastAsia="標楷體" w:hAnsi="標楷體"/>
          <w:szCs w:val="24"/>
        </w:rPr>
        <w:t>(1)經專科醫師</w:t>
      </w:r>
      <w:r>
        <w:rPr>
          <w:rFonts w:ascii="標楷體" w:eastAsia="標楷體" w:hAnsi="標楷體"/>
          <w:szCs w:val="28"/>
        </w:rPr>
        <w:t>評估</w:t>
      </w:r>
      <w:r>
        <w:rPr>
          <w:rFonts w:ascii="標楷體" w:eastAsia="標楷體" w:hAnsi="標楷體"/>
          <w:szCs w:val="24"/>
        </w:rPr>
        <w:t>無法以外科手術治療或手術切除者，須包含下列情形其中之一：</w:t>
      </w:r>
    </w:p>
    <w:p w:rsidR="00B96EA0" w:rsidRDefault="007D66B8" w:rsidP="005142EB">
      <w:pPr>
        <w:tabs>
          <w:tab w:val="left" w:pos="1418"/>
        </w:tabs>
        <w:spacing w:line="400" w:lineRule="exact"/>
        <w:ind w:left="1291" w:hanging="245"/>
        <w:jc w:val="both"/>
      </w:pPr>
      <w:r>
        <w:rPr>
          <w:rFonts w:ascii="標楷體" w:eastAsia="標楷體" w:hAnsi="標楷體"/>
          <w:szCs w:val="24"/>
        </w:rPr>
        <w:t>I.PN包</w:t>
      </w:r>
      <w:r>
        <w:rPr>
          <w:rFonts w:ascii="標楷體" w:eastAsia="標楷體" w:hAnsi="標楷體"/>
          <w:color w:val="000000"/>
        </w:rPr>
        <w:t>裹住或靠近重要器官。</w:t>
      </w:r>
    </w:p>
    <w:p w:rsidR="00B96EA0" w:rsidRDefault="007D66B8" w:rsidP="005142EB">
      <w:pPr>
        <w:tabs>
          <w:tab w:val="left" w:pos="1418"/>
        </w:tabs>
        <w:spacing w:line="400" w:lineRule="exact"/>
        <w:ind w:left="1291" w:hanging="245"/>
        <w:jc w:val="both"/>
      </w:pPr>
      <w:r>
        <w:rPr>
          <w:rFonts w:ascii="標楷體" w:eastAsia="標楷體" w:hAnsi="標楷體"/>
          <w:color w:val="000000"/>
        </w:rPr>
        <w:t>II.PN具</w:t>
      </w:r>
      <w:r>
        <w:rPr>
          <w:rFonts w:ascii="標楷體" w:eastAsia="標楷體" w:hAnsi="標楷體"/>
          <w:szCs w:val="24"/>
        </w:rPr>
        <w:t>侵襲性，或具高度血管分布，易導致術後大量出血、神經損傷或其他嚴重併發症者。</w:t>
      </w:r>
    </w:p>
    <w:p w:rsidR="00B96EA0" w:rsidRDefault="007D66B8" w:rsidP="005142EB">
      <w:pPr>
        <w:tabs>
          <w:tab w:val="left" w:pos="1185"/>
        </w:tabs>
        <w:spacing w:line="400" w:lineRule="exact"/>
        <w:ind w:left="1051" w:hanging="245"/>
        <w:jc w:val="both"/>
      </w:pPr>
      <w:r>
        <w:rPr>
          <w:rFonts w:ascii="標楷體" w:eastAsia="標楷體" w:hAnsi="標楷體"/>
          <w:szCs w:val="24"/>
        </w:rPr>
        <w:t>(2)需</w:t>
      </w:r>
      <w:r>
        <w:rPr>
          <w:rFonts w:ascii="標楷體" w:eastAsia="標楷體" w:hAnsi="標楷體"/>
          <w:szCs w:val="28"/>
        </w:rPr>
        <w:t>檢附經專科醫師評估後具名之手術風險評估報告。</w:t>
      </w:r>
    </w:p>
    <w:p w:rsidR="00B96EA0" w:rsidRDefault="007D66B8" w:rsidP="005142EB">
      <w:pPr>
        <w:tabs>
          <w:tab w:val="left" w:pos="1185"/>
        </w:tabs>
        <w:spacing w:line="400" w:lineRule="exact"/>
        <w:ind w:left="1051" w:hanging="245"/>
        <w:jc w:val="both"/>
      </w:pPr>
      <w:r>
        <w:rPr>
          <w:rFonts w:ascii="標楷體" w:eastAsia="標楷體" w:hAnsi="標楷體"/>
          <w:szCs w:val="28"/>
        </w:rPr>
        <w:t>(3)上</w:t>
      </w:r>
      <w:r>
        <w:rPr>
          <w:rFonts w:ascii="標楷體" w:eastAsia="標楷體" w:hAnsi="標楷體"/>
          <w:szCs w:val="24"/>
        </w:rPr>
        <w:t>述專科醫師包括：神經內科、神經外科、血液腫瘤科、整形外科、耳鼻喉科、一般外科、泌尿科、眼科、皮膚科、小兒神經科、小兒遺傳科或小兒血液腫瘤科。</w:t>
      </w:r>
    </w:p>
    <w:p w:rsidR="00B96EA0" w:rsidRDefault="007D66B8" w:rsidP="005142EB">
      <w:pPr>
        <w:tabs>
          <w:tab w:val="left" w:pos="1418"/>
        </w:tabs>
        <w:spacing w:line="400" w:lineRule="exact"/>
        <w:ind w:left="811" w:hanging="245"/>
        <w:jc w:val="both"/>
        <w:rPr>
          <w:rFonts w:ascii="標楷體" w:eastAsia="標楷體" w:hAnsi="標楷體"/>
          <w:szCs w:val="24"/>
        </w:rPr>
      </w:pPr>
      <w:r>
        <w:rPr>
          <w:rFonts w:ascii="標楷體" w:eastAsia="標楷體" w:hAnsi="標楷體"/>
          <w:szCs w:val="24"/>
        </w:rPr>
        <w:t>3.具有症狀且嚴重的PN定義為因PN引起的嚴重症狀，且符合下列情況之一者：</w:t>
      </w:r>
    </w:p>
    <w:p w:rsidR="00B96EA0" w:rsidRDefault="007D66B8" w:rsidP="005142EB">
      <w:pPr>
        <w:tabs>
          <w:tab w:val="left" w:pos="1185"/>
        </w:tabs>
        <w:spacing w:line="400" w:lineRule="exact"/>
        <w:ind w:left="1051" w:hanging="245"/>
        <w:jc w:val="both"/>
      </w:pPr>
      <w:r>
        <w:rPr>
          <w:rFonts w:ascii="標楷體" w:eastAsia="標楷體" w:hAnsi="標楷體"/>
          <w:szCs w:val="24"/>
        </w:rPr>
        <w:t>(1) 因</w:t>
      </w:r>
      <w:r>
        <w:rPr>
          <w:rFonts w:ascii="標楷體" w:eastAsia="標楷體" w:hAnsi="標楷體"/>
          <w:szCs w:val="28"/>
        </w:rPr>
        <w:t>腫瘤</w:t>
      </w:r>
      <w:r>
        <w:rPr>
          <w:rFonts w:ascii="標楷體" w:eastAsia="標楷體" w:hAnsi="標楷體"/>
          <w:szCs w:val="24"/>
        </w:rPr>
        <w:t>壓迫導致之中度至嚴重的疼痛，需檢附疼痛評估報告(pain scale score需</w:t>
      </w:r>
      <w:r>
        <w:rPr>
          <w:rFonts w:ascii="標楷體" w:eastAsia="標楷體" w:hAnsi="標楷體" w:cs="新細明體"/>
          <w:szCs w:val="24"/>
        </w:rPr>
        <w:t>≧</w:t>
      </w:r>
      <w:r>
        <w:rPr>
          <w:rFonts w:ascii="標楷體" w:eastAsia="標楷體" w:hAnsi="標楷體"/>
          <w:szCs w:val="24"/>
        </w:rPr>
        <w:t>7)。</w:t>
      </w:r>
    </w:p>
    <w:p w:rsidR="00B96EA0" w:rsidRDefault="007D66B8" w:rsidP="005142EB">
      <w:pPr>
        <w:tabs>
          <w:tab w:val="left" w:pos="1185"/>
        </w:tabs>
        <w:spacing w:line="400" w:lineRule="exact"/>
        <w:ind w:left="1051" w:hanging="245"/>
        <w:jc w:val="both"/>
      </w:pPr>
      <w:r>
        <w:rPr>
          <w:rFonts w:ascii="標楷體" w:eastAsia="標楷體" w:hAnsi="標楷體"/>
          <w:szCs w:val="24"/>
        </w:rPr>
        <w:t>(2)PN</w:t>
      </w:r>
      <w:r>
        <w:rPr>
          <w:rFonts w:ascii="標楷體" w:eastAsia="標楷體" w:hAnsi="標楷體"/>
          <w:szCs w:val="28"/>
        </w:rPr>
        <w:t>壓迫</w:t>
      </w:r>
      <w:r>
        <w:rPr>
          <w:rFonts w:ascii="標楷體" w:eastAsia="標楷體" w:hAnsi="標楷體"/>
          <w:szCs w:val="24"/>
        </w:rPr>
        <w:t>臟器、呼吸道、大血管或顱、脊椎、臂叢、腰叢區域神經等部位，以致影響器官功能或功能受損（如視力受損、聽力受損、下半身偏癱、大小便失禁等）。需檢附相關功能受損之評估檢驗報告。</w:t>
      </w:r>
    </w:p>
    <w:p w:rsidR="00B96EA0" w:rsidRDefault="007D66B8" w:rsidP="005142EB">
      <w:pPr>
        <w:tabs>
          <w:tab w:val="left" w:pos="1418"/>
        </w:tabs>
        <w:spacing w:line="400" w:lineRule="exact"/>
        <w:ind w:left="811" w:hanging="245"/>
        <w:jc w:val="both"/>
      </w:pPr>
      <w:r>
        <w:rPr>
          <w:rFonts w:ascii="標楷體" w:eastAsia="標楷體" w:hAnsi="標楷體"/>
          <w:szCs w:val="28"/>
        </w:rPr>
        <w:t>4.需經事前審查核准後使用，每次申請以6</w:t>
      </w:r>
      <w:r>
        <w:rPr>
          <w:rFonts w:ascii="標楷體" w:eastAsia="標楷體" w:hAnsi="標楷體"/>
          <w:szCs w:val="24"/>
        </w:rPr>
        <w:t>個月為</w:t>
      </w:r>
      <w:r>
        <w:rPr>
          <w:rFonts w:ascii="標楷體" w:eastAsia="標楷體" w:hAnsi="標楷體"/>
          <w:szCs w:val="28"/>
        </w:rPr>
        <w:t>限，初次申請時須提供疾病相關檢驗及症狀證據，如照片、檢查影像、病理報告或評估報告；再次申請時應檢附前次治療結果評估資料，以RECIST標準評定藥物療效反應，</w:t>
      </w:r>
      <w:r>
        <w:rPr>
          <w:rFonts w:ascii="標楷體" w:eastAsia="標楷體" w:hAnsi="標楷體"/>
          <w:szCs w:val="24"/>
        </w:rPr>
        <w:t>如有下列情況之一，應停止使用</w:t>
      </w:r>
      <w:r>
        <w:rPr>
          <w:rFonts w:ascii="標楷體" w:eastAsia="標楷體" w:hAnsi="標楷體"/>
          <w:szCs w:val="28"/>
        </w:rPr>
        <w:t>：</w:t>
      </w:r>
    </w:p>
    <w:p w:rsidR="00B96EA0" w:rsidRDefault="007D66B8" w:rsidP="005142EB">
      <w:pPr>
        <w:tabs>
          <w:tab w:val="left" w:pos="1185"/>
        </w:tabs>
        <w:spacing w:line="400" w:lineRule="exact"/>
        <w:ind w:left="1051" w:hanging="245"/>
        <w:jc w:val="both"/>
      </w:pPr>
      <w:r>
        <w:rPr>
          <w:rFonts w:ascii="標楷體" w:eastAsia="標楷體" w:hAnsi="標楷體"/>
          <w:szCs w:val="24"/>
        </w:rPr>
        <w:t>(1)病情惡化</w:t>
      </w:r>
      <w:r>
        <w:rPr>
          <w:rFonts w:ascii="標楷體" w:eastAsia="標楷體" w:hAnsi="標楷體"/>
          <w:szCs w:val="28"/>
        </w:rPr>
        <w:t>(PD，指與基準點或用藥後的最佳反應時相比時，目標PN最大直徑總和增加</w:t>
      </w:r>
      <w:r>
        <w:rPr>
          <w:rFonts w:ascii="Times New Roman" w:eastAsia="標楷體" w:hAnsi="Times New Roman"/>
          <w:szCs w:val="28"/>
        </w:rPr>
        <w:t>≥</w:t>
      </w:r>
      <w:r>
        <w:rPr>
          <w:rFonts w:ascii="標楷體" w:eastAsia="標楷體" w:hAnsi="標楷體"/>
          <w:szCs w:val="28"/>
        </w:rPr>
        <w:t>20%，或有新PN出現)。</w:t>
      </w:r>
    </w:p>
    <w:p w:rsidR="00B96EA0" w:rsidRDefault="007D66B8" w:rsidP="005142EB">
      <w:pPr>
        <w:tabs>
          <w:tab w:val="left" w:pos="1185"/>
        </w:tabs>
        <w:spacing w:line="400" w:lineRule="exact"/>
        <w:ind w:left="1051" w:hanging="245"/>
        <w:jc w:val="both"/>
        <w:rPr>
          <w:rFonts w:ascii="標楷體" w:eastAsia="標楷體" w:hAnsi="標楷體"/>
          <w:szCs w:val="28"/>
        </w:rPr>
      </w:pPr>
      <w:r>
        <w:rPr>
          <w:rFonts w:ascii="標楷體" w:eastAsia="標楷體" w:hAnsi="標楷體"/>
          <w:szCs w:val="28"/>
        </w:rPr>
        <w:t>(2)無法耐受藥品副作用。</w:t>
      </w:r>
    </w:p>
    <w:p w:rsidR="00B96EA0" w:rsidRDefault="007D66B8" w:rsidP="005142EB">
      <w:pPr>
        <w:tabs>
          <w:tab w:val="left" w:pos="1185"/>
        </w:tabs>
        <w:spacing w:line="400" w:lineRule="exact"/>
        <w:ind w:left="1051" w:hanging="245"/>
        <w:jc w:val="both"/>
        <w:rPr>
          <w:rFonts w:ascii="標楷體" w:eastAsia="標楷體" w:hAnsi="標楷體"/>
          <w:szCs w:val="28"/>
        </w:rPr>
      </w:pPr>
      <w:r>
        <w:rPr>
          <w:rFonts w:ascii="標楷體" w:eastAsia="標楷體" w:hAnsi="標楷體"/>
          <w:szCs w:val="28"/>
        </w:rPr>
        <w:t>(3)原無法手術切除的PN得以接受完整手術切除。</w:t>
      </w:r>
    </w:p>
    <w:p w:rsidR="00B96EA0" w:rsidRDefault="007D66B8" w:rsidP="005142EB">
      <w:pPr>
        <w:tabs>
          <w:tab w:val="left" w:pos="1185"/>
        </w:tabs>
        <w:spacing w:line="400" w:lineRule="exact"/>
        <w:ind w:left="1051" w:hanging="245"/>
        <w:jc w:val="both"/>
      </w:pPr>
      <w:r>
        <w:rPr>
          <w:rFonts w:ascii="標楷體" w:eastAsia="標楷體" w:hAnsi="標楷體"/>
          <w:szCs w:val="28"/>
        </w:rPr>
        <w:t>(4)經治療18個月後，初次申請之目標PN引起之症狀未改善且PN惡化。</w:t>
      </w:r>
    </w:p>
    <w:p w:rsidR="00B96EA0" w:rsidRDefault="007D66B8" w:rsidP="005142EB">
      <w:pPr>
        <w:tabs>
          <w:tab w:val="left" w:pos="1418"/>
        </w:tabs>
        <w:spacing w:line="400" w:lineRule="exact"/>
        <w:ind w:left="811" w:hanging="245"/>
        <w:jc w:val="both"/>
        <w:rPr>
          <w:rFonts w:ascii="標楷體" w:eastAsia="標楷體" w:hAnsi="標楷體"/>
          <w:szCs w:val="28"/>
        </w:rPr>
      </w:pPr>
      <w:r>
        <w:rPr>
          <w:rFonts w:ascii="標楷體" w:eastAsia="標楷體" w:hAnsi="標楷體"/>
          <w:szCs w:val="28"/>
        </w:rPr>
        <w:t>5.每日最高劑量為100 mg。</w:t>
      </w:r>
    </w:p>
    <w:p w:rsidR="00B96EA0" w:rsidRDefault="007D66B8" w:rsidP="005142EB">
      <w:pPr>
        <w:spacing w:line="400" w:lineRule="exact"/>
        <w:rPr>
          <w:rFonts w:ascii="標楷體" w:eastAsia="標楷體" w:hAnsi="標楷體"/>
          <w:color w:val="000000"/>
        </w:rPr>
      </w:pPr>
      <w:r>
        <w:rPr>
          <w:rFonts w:ascii="標楷體" w:eastAsia="標楷體" w:hAnsi="標楷體"/>
          <w:color w:val="000000"/>
        </w:rPr>
        <w:t>9.117.Selinexor(如Xpovio)：(114/3/1)</w:t>
      </w:r>
    </w:p>
    <w:p w:rsidR="00B96EA0" w:rsidRDefault="007D66B8" w:rsidP="005142EB">
      <w:pPr>
        <w:tabs>
          <w:tab w:val="left" w:pos="1418"/>
        </w:tabs>
        <w:spacing w:line="400" w:lineRule="exact"/>
        <w:ind w:left="811" w:hanging="245"/>
        <w:jc w:val="both"/>
      </w:pPr>
      <w:r>
        <w:rPr>
          <w:rFonts w:ascii="標楷體" w:eastAsia="標楷體" w:hAnsi="標楷體"/>
          <w:color w:val="000000"/>
        </w:rPr>
        <w:t>1.</w:t>
      </w:r>
      <w:r>
        <w:rPr>
          <w:rFonts w:ascii="標楷體" w:eastAsia="標楷體" w:hAnsi="標楷體"/>
          <w:szCs w:val="28"/>
        </w:rPr>
        <w:t>與bortezomib及dexamethasone合併使用於先前已接受至少2種治療失敗之多發性骨</w:t>
      </w:r>
      <w:r>
        <w:rPr>
          <w:rFonts w:ascii="標楷體" w:eastAsia="標楷體" w:hAnsi="標楷體"/>
          <w:szCs w:val="28"/>
        </w:rPr>
        <w:lastRenderedPageBreak/>
        <w:t>髓瘤病人，且須具有良好日常體能狀態(ECOG&lt;2)者。</w:t>
      </w:r>
    </w:p>
    <w:p w:rsidR="00B96EA0" w:rsidRDefault="007D66B8" w:rsidP="005142EB">
      <w:pPr>
        <w:tabs>
          <w:tab w:val="left" w:pos="1418"/>
        </w:tabs>
        <w:spacing w:line="400" w:lineRule="exact"/>
        <w:ind w:left="811" w:hanging="245"/>
        <w:jc w:val="both"/>
      </w:pPr>
      <w:r>
        <w:rPr>
          <w:rFonts w:ascii="標楷體" w:eastAsia="標楷體" w:hAnsi="標楷體"/>
          <w:szCs w:val="28"/>
        </w:rPr>
        <w:t>2.須</w:t>
      </w:r>
      <w:r>
        <w:rPr>
          <w:rFonts w:ascii="標楷體" w:eastAsia="標楷體" w:hAnsi="標楷體"/>
          <w:color w:val="000000"/>
        </w:rPr>
        <w:t>經事前審查核准後使用：</w:t>
      </w:r>
    </w:p>
    <w:p w:rsidR="00B96EA0" w:rsidRDefault="007D66B8" w:rsidP="000C7C60">
      <w:pPr>
        <w:tabs>
          <w:tab w:val="left" w:pos="1185"/>
        </w:tabs>
        <w:spacing w:line="400" w:lineRule="exact"/>
        <w:ind w:left="993" w:hanging="245"/>
        <w:jc w:val="both"/>
      </w:pPr>
      <w:r>
        <w:rPr>
          <w:rFonts w:ascii="標楷體" w:eastAsia="標楷體" w:hAnsi="標楷體"/>
          <w:color w:val="000000"/>
        </w:rPr>
        <w:t>(1)</w:t>
      </w:r>
      <w:r w:rsidRPr="000C7C60">
        <w:rPr>
          <w:rFonts w:ascii="標楷體" w:eastAsia="標楷體" w:hAnsi="標楷體"/>
          <w:color w:val="000000"/>
        </w:rPr>
        <w:t>初次</w:t>
      </w:r>
      <w:r>
        <w:rPr>
          <w:rFonts w:ascii="標楷體" w:eastAsia="標楷體" w:hAnsi="標楷體"/>
          <w:color w:val="000000"/>
        </w:rPr>
        <w:t>申請以4個療程(每療程為5週)為限，且需同時符合下列Ⅰ.與Ⅱ.的條件：</w:t>
      </w:r>
    </w:p>
    <w:p w:rsidR="00B96EA0" w:rsidRDefault="007D66B8" w:rsidP="005142EB">
      <w:pPr>
        <w:tabs>
          <w:tab w:val="left" w:pos="1418"/>
        </w:tabs>
        <w:spacing w:line="400" w:lineRule="exact"/>
        <w:ind w:left="1291" w:hanging="245"/>
        <w:jc w:val="both"/>
      </w:pPr>
      <w:r>
        <w:rPr>
          <w:rFonts w:ascii="標楷體" w:eastAsia="標楷體" w:hAnsi="標楷體"/>
          <w:color w:val="000000"/>
        </w:rPr>
        <w:t>I.</w:t>
      </w:r>
      <w:r>
        <w:rPr>
          <w:rFonts w:ascii="標楷體" w:eastAsia="標楷體" w:hAnsi="標楷體"/>
          <w:szCs w:val="24"/>
        </w:rPr>
        <w:t>具有</w:t>
      </w:r>
      <w:r>
        <w:rPr>
          <w:rFonts w:ascii="標楷體" w:eastAsia="標楷體" w:hAnsi="標楷體"/>
          <w:color w:val="000000"/>
        </w:rPr>
        <w:t>下列任一疾病惡化的指標：病患開始治療前須在連續2次評估中均符合同一指標(但若為plamacytoma體積增加，或是新產生的bone lesion(s)或新plasmacytoma，則僅需1次評估)：</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i.若前一線治療中M component最低值≧5g/dL，血清M蛋白需增加≧1g/dL；若前一線治療中M component最低值＜5g/dL，血清M蛋白需增加≧0.5g/dL。</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ii.Urine M-protein需增加≧0.2gm/24Hr，且需較前一線治療中的最低值增加≧25%。</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iii.在non-secretary myeloma病患，骨髓漿細胞(plasmacells)之比例絕對值增加≧10%，且需較前一線治療中的最低值增加≧25%。</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iv.新產生的bone lesion(s)或plasmacytoma；且須經病理切片證實。</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v.Plasmacytoma體積增加≧50%。</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vi.周邊血液中漿細胞比例≧20%或漿細胞絕對值≧2000 cells/μL。</w:t>
      </w:r>
    </w:p>
    <w:p w:rsidR="00B96EA0" w:rsidRDefault="007D66B8" w:rsidP="005142EB">
      <w:pPr>
        <w:tabs>
          <w:tab w:val="left" w:pos="1418"/>
        </w:tabs>
        <w:spacing w:line="400" w:lineRule="exact"/>
        <w:ind w:left="1291" w:hanging="245"/>
        <w:jc w:val="both"/>
        <w:rPr>
          <w:rFonts w:ascii="標楷體" w:eastAsia="標楷體" w:hAnsi="標楷體"/>
          <w:color w:val="000000"/>
        </w:rPr>
      </w:pPr>
      <w:r>
        <w:rPr>
          <w:rFonts w:ascii="標楷體" w:eastAsia="標楷體" w:hAnsi="標楷體"/>
          <w:color w:val="000000"/>
        </w:rPr>
        <w:t>II.出現下列任一臨床症狀：</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i.新產生的bone lesion(s)或plasmacytoma；且須經病理切片證實。</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ii.Plasmacytoma體積增加≧50%。</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iii.高血鈣(corrected serumcalcium＞11.0mg/dL或2.75mmol/L)。</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iv.貧血(Hemoglobin下降幅度≧2gm/dL且無其他原因可以解釋)。</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v.腎功能惡化(eGFR需下降幅度≧25%)，且無其他原因可以解釋。</w:t>
      </w:r>
    </w:p>
    <w:p w:rsidR="00B96EA0" w:rsidRDefault="007D66B8" w:rsidP="005142EB">
      <w:pPr>
        <w:spacing w:line="400" w:lineRule="exact"/>
        <w:ind w:left="1800" w:hanging="360"/>
        <w:rPr>
          <w:rFonts w:ascii="標楷體" w:eastAsia="標楷體" w:hAnsi="標楷體"/>
          <w:color w:val="000000"/>
        </w:rPr>
      </w:pPr>
      <w:r>
        <w:rPr>
          <w:rFonts w:ascii="標楷體" w:eastAsia="標楷體" w:hAnsi="標楷體"/>
          <w:color w:val="000000"/>
        </w:rPr>
        <w:t>vi.出現其他end-organ dysfunctions。</w:t>
      </w:r>
    </w:p>
    <w:p w:rsidR="00B96EA0" w:rsidRDefault="007D66B8" w:rsidP="000C7C60">
      <w:pPr>
        <w:tabs>
          <w:tab w:val="left" w:pos="1185"/>
        </w:tabs>
        <w:spacing w:line="400" w:lineRule="exact"/>
        <w:ind w:left="993" w:hanging="245"/>
        <w:jc w:val="both"/>
      </w:pPr>
      <w:r>
        <w:rPr>
          <w:rFonts w:ascii="標楷體" w:eastAsia="標楷體" w:hAnsi="標楷體"/>
          <w:color w:val="000000"/>
        </w:rPr>
        <w:t>(2)</w:t>
      </w:r>
      <w:r w:rsidRPr="000C7C60">
        <w:rPr>
          <w:rFonts w:ascii="標楷體" w:eastAsia="標楷體" w:hAnsi="標楷體"/>
          <w:color w:val="000000"/>
        </w:rPr>
        <w:t>再次</w:t>
      </w:r>
      <w:r>
        <w:rPr>
          <w:rFonts w:ascii="標楷體" w:eastAsia="標楷體" w:hAnsi="標楷體"/>
          <w:color w:val="000000"/>
        </w:rPr>
        <w:t>申請時必須確定paraprotein(M-protein)未上升(即表示對藥物有反應或為穩定狀態)；或對部分non-secretory type MM病人以骨髓檢查plasma cell為療效依據，證明為對藥物有反應或為穩定狀態，方可繼續使用。續用時的申請每次以4個療程為限。</w:t>
      </w:r>
    </w:p>
    <w:p w:rsidR="00B96EA0" w:rsidRDefault="007D66B8" w:rsidP="000C7C60">
      <w:pPr>
        <w:tabs>
          <w:tab w:val="left" w:pos="1185"/>
        </w:tabs>
        <w:spacing w:line="400" w:lineRule="exact"/>
        <w:ind w:left="993" w:hanging="245"/>
        <w:jc w:val="both"/>
        <w:rPr>
          <w:rFonts w:ascii="標楷體" w:eastAsia="標楷體" w:hAnsi="標楷體"/>
          <w:color w:val="000000"/>
        </w:rPr>
      </w:pPr>
      <w:r>
        <w:rPr>
          <w:rFonts w:ascii="標楷體" w:eastAsia="標楷體" w:hAnsi="標楷體"/>
          <w:color w:val="000000"/>
        </w:rPr>
        <w:t>(3)每人終生以8個療程為上限。</w:t>
      </w:r>
    </w:p>
    <w:p w:rsidR="000C7C60" w:rsidRDefault="000C7C60" w:rsidP="000C7C60">
      <w:pPr>
        <w:spacing w:line="400" w:lineRule="exact"/>
        <w:ind w:left="280" w:hanging="280"/>
        <w:rPr>
          <w:rFonts w:ascii="標楷體" w:eastAsia="標楷體" w:hAnsi="標楷體"/>
          <w:szCs w:val="24"/>
        </w:rPr>
      </w:pPr>
      <w:bookmarkStart w:id="46" w:name="_Hlk204088647"/>
      <w:r w:rsidRPr="000C7C60">
        <w:rPr>
          <w:rFonts w:ascii="標楷體" w:eastAsia="標楷體" w:hAnsi="標楷體"/>
          <w:szCs w:val="24"/>
        </w:rPr>
        <w:t>9.</w:t>
      </w:r>
      <w:r>
        <w:rPr>
          <w:rFonts w:ascii="標楷體" w:eastAsia="標楷體" w:hAnsi="標楷體" w:hint="eastAsia"/>
          <w:szCs w:val="24"/>
        </w:rPr>
        <w:t>118</w:t>
      </w:r>
      <w:r w:rsidRPr="000C7C60">
        <w:rPr>
          <w:rFonts w:ascii="標楷體" w:eastAsia="標楷體" w:hAnsi="標楷體"/>
          <w:szCs w:val="24"/>
        </w:rPr>
        <w:t>.Elranatamab (如Elrexfio)：(114/5/1</w:t>
      </w:r>
      <w:r w:rsidRPr="000C7C60">
        <w:rPr>
          <w:rFonts w:ascii="標楷體" w:eastAsia="標楷體" w:hAnsi="標楷體" w:hint="eastAsia"/>
          <w:szCs w:val="24"/>
        </w:rPr>
        <w:t>、114/8/1</w:t>
      </w:r>
      <w:r w:rsidRPr="000C7C60">
        <w:rPr>
          <w:rFonts w:ascii="標楷體" w:eastAsia="標楷體" w:hAnsi="標楷體"/>
          <w:szCs w:val="24"/>
        </w:rPr>
        <w:t>)</w:t>
      </w:r>
    </w:p>
    <w:p w:rsidR="000C7C60" w:rsidRPr="000C7C60" w:rsidRDefault="000C7C60" w:rsidP="00617D60">
      <w:pPr>
        <w:spacing w:line="400" w:lineRule="exact"/>
        <w:ind w:left="567" w:hanging="283"/>
        <w:rPr>
          <w:rFonts w:ascii="標楷體" w:eastAsia="標楷體" w:hAnsi="標楷體"/>
          <w:szCs w:val="24"/>
        </w:rPr>
      </w:pPr>
      <w:r>
        <w:rPr>
          <w:rFonts w:ascii="標楷體" w:eastAsia="標楷體" w:hAnsi="標楷體" w:hint="eastAsia"/>
          <w:szCs w:val="24"/>
        </w:rPr>
        <w:t>1.</w:t>
      </w:r>
      <w:r w:rsidRPr="000C7C60">
        <w:rPr>
          <w:rFonts w:ascii="標楷體" w:eastAsia="標楷體" w:hAnsi="標楷體"/>
          <w:szCs w:val="24"/>
        </w:rPr>
        <w:t>適用於治療先前曾接受至少四線療法(包括一種蛋白酶體抑制劑、一種免疫調節劑和一種抗CD38單株抗體)並在最近治療後顯示為疾病惡化的復發性或難治性多發性骨髓瘤成人病人，且須具有良好日常體能狀態(ECOG</w:t>
      </w:r>
      <w:r w:rsidRPr="000C7C60">
        <w:rPr>
          <w:rFonts w:ascii="Times New Roman" w:eastAsia="標楷體" w:hAnsi="Times New Roman"/>
          <w:szCs w:val="24"/>
        </w:rPr>
        <w:t>≤</w:t>
      </w:r>
      <w:r w:rsidRPr="000C7C60">
        <w:rPr>
          <w:rFonts w:ascii="標楷體" w:eastAsia="標楷體" w:hAnsi="標楷體"/>
          <w:szCs w:val="24"/>
        </w:rPr>
        <w:t>2)。</w:t>
      </w:r>
    </w:p>
    <w:p w:rsidR="000C7C60" w:rsidRPr="000C7C60" w:rsidRDefault="000C7C60" w:rsidP="00617D60">
      <w:pPr>
        <w:spacing w:line="400" w:lineRule="exact"/>
        <w:ind w:left="567" w:hanging="283"/>
        <w:rPr>
          <w:rFonts w:ascii="標楷體" w:eastAsia="標楷體" w:hAnsi="標楷體"/>
          <w:szCs w:val="24"/>
        </w:rPr>
      </w:pPr>
      <w:r w:rsidRPr="000C7C60">
        <w:rPr>
          <w:rFonts w:ascii="標楷體" w:eastAsia="標楷體" w:hAnsi="標楷體"/>
          <w:szCs w:val="24"/>
        </w:rPr>
        <w:t>2.須經事前審查核准後使用：</w:t>
      </w:r>
    </w:p>
    <w:p w:rsidR="000C7C60" w:rsidRPr="000C7C60" w:rsidRDefault="000C7C60" w:rsidP="000C7C60">
      <w:pPr>
        <w:spacing w:line="400" w:lineRule="exact"/>
        <w:ind w:left="567" w:firstLine="167"/>
        <w:rPr>
          <w:rFonts w:ascii="標楷體" w:eastAsia="標楷體" w:hAnsi="標楷體"/>
          <w:szCs w:val="24"/>
        </w:rPr>
      </w:pPr>
      <w:r w:rsidRPr="000C7C60">
        <w:rPr>
          <w:rFonts w:ascii="標楷體" w:eastAsia="標楷體" w:hAnsi="標楷體"/>
          <w:szCs w:val="24"/>
        </w:rPr>
        <w:t>(1)首次申請為13次輸注，且需同時符合下列Ⅰ.與Ⅱ.的條件：</w:t>
      </w:r>
    </w:p>
    <w:p w:rsidR="000C7C60" w:rsidRPr="000C7C60" w:rsidRDefault="000C7C60" w:rsidP="000C7C60">
      <w:pPr>
        <w:spacing w:line="400" w:lineRule="exact"/>
        <w:ind w:left="1418" w:hanging="284"/>
        <w:rPr>
          <w:rFonts w:ascii="標楷體" w:eastAsia="標楷體" w:hAnsi="標楷體"/>
          <w:szCs w:val="24"/>
        </w:rPr>
      </w:pPr>
      <w:r w:rsidRPr="000C7C60">
        <w:rPr>
          <w:rFonts w:ascii="標楷體" w:eastAsia="標楷體" w:hAnsi="標楷體"/>
          <w:szCs w:val="24"/>
        </w:rPr>
        <w:t>I.具有下列任一疾病惡化的指標：病人開始治療前須在連續2次評估中均符合同一指標 (但若為plamacytoma 體積增加，或是新產生的bone lesion(s)或新</w:t>
      </w:r>
      <w:r w:rsidRPr="000C7C60">
        <w:rPr>
          <w:rFonts w:ascii="標楷體" w:eastAsia="標楷體" w:hAnsi="標楷體"/>
          <w:szCs w:val="24"/>
        </w:rPr>
        <w:lastRenderedPageBreak/>
        <w:t>plasmacytoma，則僅需1次評估)：</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i.若前一線治療中M component 最低值≧5 g/dL，血清M蛋白需增加≧1 g/dL；若前一線治療中M component 最低值＜5 g/dL，血清M蛋白需增加≧0.5g/dL。</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ii.Urine M-protein需增加≧0.2 gm/24Hr，且需較前一線治療中的最低值增加≧25%。</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iii.在non-secretary myeloma病人，骨髓漿細胞 (plasma cells)之比例絕對值增加≧10%，且需較前一線治療中的最低值增加≧25%。</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iv.新產生的bone lesion(s)或plasmacytoma，且須經病理切片證實。</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v.Plasmacytoma體積增加≧50%。</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vi.周邊血液中漿細胞比例≧20%或漿細胞絕對值≧2000 cells/μL。</w:t>
      </w:r>
    </w:p>
    <w:p w:rsidR="000C7C60" w:rsidRPr="000C7C60" w:rsidRDefault="000C7C60" w:rsidP="000C7C60">
      <w:pPr>
        <w:spacing w:line="400" w:lineRule="exact"/>
        <w:ind w:left="1418" w:hanging="284"/>
        <w:rPr>
          <w:rFonts w:ascii="標楷體" w:eastAsia="標楷體" w:hAnsi="標楷體"/>
          <w:szCs w:val="24"/>
        </w:rPr>
      </w:pPr>
      <w:r w:rsidRPr="000C7C60">
        <w:rPr>
          <w:rFonts w:ascii="標楷體" w:eastAsia="標楷體" w:hAnsi="標楷體"/>
          <w:szCs w:val="24"/>
        </w:rPr>
        <w:t>II.出現下列任一臨床症狀：</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i.新產生的bone lesion(s)或plasmacytoma，且須經病理切片證實。</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ii.Plasmacytoma 體積增加≧50%。</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iii.高血鈣(corrected serum calcium＞11.0 mg/dL或2.75 mmol/L)。</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iv.貧血(Hemoglobin 下降幅度≧ 2gm/dL 且無其他原因可以解釋)。</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v.腎功能惡化(eGFR下降幅度≧25%)，且無其他原因可以解釋。</w:t>
      </w:r>
    </w:p>
    <w:p w:rsidR="000C7C60" w:rsidRPr="000C7C60" w:rsidRDefault="000C7C60" w:rsidP="000C7C60">
      <w:pPr>
        <w:spacing w:line="400" w:lineRule="exact"/>
        <w:ind w:left="1701" w:hanging="280"/>
        <w:rPr>
          <w:rFonts w:ascii="標楷體" w:eastAsia="標楷體" w:hAnsi="標楷體"/>
          <w:szCs w:val="24"/>
        </w:rPr>
      </w:pPr>
      <w:r w:rsidRPr="000C7C60">
        <w:rPr>
          <w:rFonts w:ascii="標楷體" w:eastAsia="標楷體" w:hAnsi="標楷體"/>
          <w:szCs w:val="24"/>
        </w:rPr>
        <w:t>vi.出現其他end-organ dysfunctions。</w:t>
      </w:r>
    </w:p>
    <w:p w:rsidR="000C7C60" w:rsidRPr="000C7C60" w:rsidRDefault="000C7C60" w:rsidP="000C7C60">
      <w:pPr>
        <w:spacing w:line="400" w:lineRule="exact"/>
        <w:ind w:left="1276" w:hanging="425"/>
        <w:rPr>
          <w:rFonts w:ascii="標楷體" w:eastAsia="標楷體" w:hAnsi="標楷體"/>
          <w:szCs w:val="24"/>
        </w:rPr>
      </w:pPr>
      <w:r w:rsidRPr="000C7C60">
        <w:rPr>
          <w:rFonts w:ascii="標楷體" w:eastAsia="標楷體" w:hAnsi="標楷體"/>
          <w:szCs w:val="24"/>
        </w:rPr>
        <w:t>(2)再次申請時必須確定paraprotein (M-protein)未上升(即表示對藥物有反應或為穩定狀態)，或對部分non-secretory type MM 病人以骨髓檢查plasma cell 為療效依據，方可繼續使用。續用申請每次以13次輸注為限。</w:t>
      </w:r>
    </w:p>
    <w:p w:rsidR="000C7C60" w:rsidRPr="000C7C60" w:rsidRDefault="000C7C60" w:rsidP="00617D60">
      <w:pPr>
        <w:spacing w:line="400" w:lineRule="exact"/>
        <w:ind w:left="567" w:hanging="283"/>
        <w:rPr>
          <w:rFonts w:ascii="標楷體" w:eastAsia="標楷體" w:hAnsi="標楷體"/>
          <w:szCs w:val="24"/>
        </w:rPr>
      </w:pPr>
      <w:r w:rsidRPr="000C7C60">
        <w:rPr>
          <w:rFonts w:ascii="標楷體" w:eastAsia="標楷體" w:hAnsi="標楷體"/>
          <w:szCs w:val="24"/>
        </w:rPr>
        <w:t>3.每位病人終生限給付39次輸注。</w:t>
      </w:r>
    </w:p>
    <w:p w:rsidR="000C7C60" w:rsidRPr="000C7C60" w:rsidRDefault="000C7C60" w:rsidP="00617D60">
      <w:pPr>
        <w:spacing w:line="400" w:lineRule="exact"/>
        <w:ind w:left="567" w:hanging="283"/>
        <w:rPr>
          <w:rFonts w:ascii="標楷體" w:eastAsia="標楷體" w:hAnsi="標楷體"/>
          <w:szCs w:val="24"/>
        </w:rPr>
      </w:pPr>
      <w:r w:rsidRPr="000C7C60">
        <w:rPr>
          <w:rFonts w:ascii="標楷體" w:eastAsia="標楷體" w:hAnsi="標楷體"/>
          <w:szCs w:val="24"/>
        </w:rPr>
        <w:t>4.執行醫師須完全符合下列資格：</w:t>
      </w:r>
    </w:p>
    <w:p w:rsidR="000C7C60" w:rsidRPr="000C7C60" w:rsidRDefault="000C7C60" w:rsidP="000C7C60">
      <w:pPr>
        <w:spacing w:line="400" w:lineRule="exact"/>
        <w:ind w:left="1276" w:hanging="425"/>
        <w:rPr>
          <w:rFonts w:ascii="標楷體" w:eastAsia="標楷體" w:hAnsi="標楷體"/>
          <w:szCs w:val="24"/>
        </w:rPr>
      </w:pPr>
      <w:r w:rsidRPr="000C7C60">
        <w:rPr>
          <w:rFonts w:ascii="標楷體" w:eastAsia="標楷體" w:hAnsi="標楷體"/>
          <w:szCs w:val="24"/>
        </w:rPr>
        <w:t>(1)</w:t>
      </w:r>
      <w:r w:rsidRPr="000C7C60">
        <w:rPr>
          <w:rFonts w:ascii="標楷體" w:eastAsia="標楷體" w:hAnsi="標楷體" w:hint="eastAsia"/>
          <w:szCs w:val="24"/>
        </w:rPr>
        <w:t>醫師必須為血液病或造血幹細胞移植專科醫師且須完成血液病和造血幹細胞移植的相關照護訓練。</w:t>
      </w:r>
      <w:r w:rsidRPr="000C7C60">
        <w:rPr>
          <w:rFonts w:ascii="標楷體" w:eastAsia="標楷體" w:hAnsi="標楷體"/>
          <w:szCs w:val="24"/>
        </w:rPr>
        <w:t>(114/5/1</w:t>
      </w:r>
      <w:r w:rsidRPr="000C7C60">
        <w:rPr>
          <w:rFonts w:ascii="標楷體" w:eastAsia="標楷體" w:hAnsi="標楷體" w:hint="eastAsia"/>
          <w:szCs w:val="24"/>
        </w:rPr>
        <w:t>、</w:t>
      </w:r>
      <w:r w:rsidRPr="000C7C60">
        <w:rPr>
          <w:rFonts w:ascii="標楷體" w:eastAsia="標楷體" w:hAnsi="標楷體"/>
          <w:szCs w:val="24"/>
        </w:rPr>
        <w:t>114/8/1)</w:t>
      </w:r>
    </w:p>
    <w:p w:rsidR="000C7C60" w:rsidRPr="000C7C60" w:rsidRDefault="000C7C60" w:rsidP="000C7C60">
      <w:pPr>
        <w:spacing w:line="400" w:lineRule="exact"/>
        <w:ind w:left="1276" w:hanging="425"/>
        <w:rPr>
          <w:rFonts w:ascii="標楷體" w:eastAsia="標楷體" w:hAnsi="標楷體"/>
          <w:szCs w:val="24"/>
        </w:rPr>
      </w:pPr>
      <w:r w:rsidRPr="000C7C60">
        <w:rPr>
          <w:rFonts w:ascii="標楷體" w:eastAsia="標楷體" w:hAnsi="標楷體"/>
          <w:szCs w:val="24"/>
        </w:rPr>
        <w:t>(2)每兩年接受至少6小時中華民國血液及骨髓移植學會或中華民國血液病學會舉辦之雙特異性抗體相關治療教育訓練。</w:t>
      </w:r>
    </w:p>
    <w:p w:rsidR="00B96EA0" w:rsidRDefault="000C7C60" w:rsidP="00617D60">
      <w:pPr>
        <w:spacing w:line="400" w:lineRule="exact"/>
        <w:ind w:left="567" w:hanging="283"/>
      </w:pPr>
      <w:r w:rsidRPr="000C7C60">
        <w:rPr>
          <w:rFonts w:ascii="標楷體" w:eastAsia="標楷體" w:hAnsi="標楷體"/>
          <w:szCs w:val="24"/>
        </w:rPr>
        <w:t>5.Elranatamab與teclistamab僅能擇一給付，除因耐受性不良，不得互換。二者使用總療程合併計算，以全部39次輸注為上限。</w:t>
      </w:r>
    </w:p>
    <w:bookmarkEnd w:id="46"/>
    <w:p w:rsidR="00EA4516" w:rsidRPr="00EA4516" w:rsidRDefault="00EA4516" w:rsidP="00EA4516">
      <w:pPr>
        <w:snapToGrid w:val="0"/>
        <w:spacing w:line="400" w:lineRule="exact"/>
        <w:rPr>
          <w:rFonts w:ascii="標楷體" w:eastAsia="標楷體" w:hAnsi="標楷體"/>
          <w:szCs w:val="24"/>
        </w:rPr>
      </w:pPr>
      <w:r w:rsidRPr="00EA4516">
        <w:rPr>
          <w:rFonts w:ascii="標楷體" w:eastAsia="標楷體" w:hAnsi="標楷體"/>
          <w:szCs w:val="24"/>
        </w:rPr>
        <w:t>9.119. Teclistamab (如Tecvayli) ：(114/5/1</w:t>
      </w:r>
      <w:r w:rsidRPr="00EA4516">
        <w:rPr>
          <w:rFonts w:ascii="標楷體" w:eastAsia="標楷體" w:hAnsi="標楷體" w:hint="eastAsia"/>
          <w:szCs w:val="24"/>
        </w:rPr>
        <w:t>、114/8/1</w:t>
      </w:r>
      <w:r w:rsidRPr="00EA4516">
        <w:rPr>
          <w:rFonts w:ascii="標楷體" w:eastAsia="標楷體" w:hAnsi="標楷體"/>
          <w:szCs w:val="24"/>
        </w:rPr>
        <w:t>)</w:t>
      </w:r>
    </w:p>
    <w:p w:rsidR="00EA4516" w:rsidRPr="00EA4516" w:rsidRDefault="00EA4516" w:rsidP="00A33F1B">
      <w:pPr>
        <w:numPr>
          <w:ilvl w:val="0"/>
          <w:numId w:val="33"/>
        </w:numPr>
        <w:suppressAutoHyphens w:val="0"/>
        <w:snapToGrid w:val="0"/>
        <w:spacing w:line="400" w:lineRule="exact"/>
        <w:ind w:leftChars="119" w:left="567" w:hangingChars="117" w:hanging="281"/>
        <w:textAlignment w:val="auto"/>
        <w:rPr>
          <w:rFonts w:ascii="標楷體" w:eastAsia="標楷體" w:hAnsi="標楷體"/>
        </w:rPr>
      </w:pPr>
      <w:r w:rsidRPr="00EA4516">
        <w:rPr>
          <w:rFonts w:ascii="標楷體" w:eastAsia="標楷體" w:hAnsi="標楷體"/>
          <w:szCs w:val="24"/>
        </w:rPr>
        <w:t xml:space="preserve">適用於治療先前曾接受至少四線療法(包括一種蛋白酶體抑制劑、一種免疫調節劑和一種抗CD38單株抗體)並在最近治療後顯示疾病惡化的復發性或難治性多發性骨髓瘤成人病人，且須具有良好日常體能狀態(ECOG </w:t>
      </w:r>
      <w:r w:rsidRPr="00EA4516">
        <w:rPr>
          <w:rFonts w:ascii="Times New Roman" w:eastAsia="標楷體" w:hAnsi="Times New Roman"/>
          <w:szCs w:val="24"/>
        </w:rPr>
        <w:t>≤</w:t>
      </w:r>
      <w:r w:rsidRPr="00EA4516">
        <w:rPr>
          <w:rFonts w:ascii="標楷體" w:eastAsia="標楷體" w:hAnsi="標楷體"/>
          <w:szCs w:val="24"/>
        </w:rPr>
        <w:t xml:space="preserve"> 2)。 </w:t>
      </w:r>
    </w:p>
    <w:p w:rsidR="00EA4516" w:rsidRPr="00EA4516" w:rsidRDefault="00EA4516" w:rsidP="00A33F1B">
      <w:pPr>
        <w:numPr>
          <w:ilvl w:val="0"/>
          <w:numId w:val="33"/>
        </w:numPr>
        <w:suppressAutoHyphens w:val="0"/>
        <w:snapToGrid w:val="0"/>
        <w:spacing w:line="400" w:lineRule="exact"/>
        <w:ind w:leftChars="119" w:left="567" w:hangingChars="117" w:hanging="281"/>
        <w:textAlignment w:val="auto"/>
        <w:rPr>
          <w:rFonts w:ascii="標楷體" w:eastAsia="標楷體" w:hAnsi="標楷體"/>
          <w:szCs w:val="24"/>
        </w:rPr>
      </w:pPr>
      <w:r w:rsidRPr="00EA4516">
        <w:rPr>
          <w:rFonts w:ascii="標楷體" w:eastAsia="標楷體" w:hAnsi="標楷體"/>
          <w:szCs w:val="24"/>
        </w:rPr>
        <w:t>須經事前審查核准後使用：</w:t>
      </w:r>
    </w:p>
    <w:p w:rsidR="00EA4516" w:rsidRPr="00EA4516" w:rsidRDefault="00EA4516" w:rsidP="00EA4516">
      <w:pPr>
        <w:numPr>
          <w:ilvl w:val="1"/>
          <w:numId w:val="33"/>
        </w:numPr>
        <w:suppressAutoHyphens w:val="0"/>
        <w:snapToGrid w:val="0"/>
        <w:spacing w:line="400" w:lineRule="exact"/>
        <w:ind w:left="1276" w:hanging="425"/>
        <w:textAlignment w:val="auto"/>
        <w:rPr>
          <w:rFonts w:ascii="標楷體" w:eastAsia="標楷體" w:hAnsi="標楷體"/>
          <w:szCs w:val="24"/>
        </w:rPr>
      </w:pPr>
      <w:r w:rsidRPr="00EA4516">
        <w:rPr>
          <w:rFonts w:ascii="標楷體" w:eastAsia="標楷體" w:hAnsi="標楷體"/>
          <w:szCs w:val="24"/>
        </w:rPr>
        <w:t>首次申請為30mg/3ml規格2次輸注與153mg/1.7ml規格11次輸注，且需同時符合下列Ⅰ.與Ⅱ.的條件：</w:t>
      </w:r>
    </w:p>
    <w:p w:rsidR="00EA4516" w:rsidRPr="00EA4516" w:rsidRDefault="00EA4516" w:rsidP="00EA4516">
      <w:pPr>
        <w:suppressAutoHyphens w:val="0"/>
        <w:snapToGrid w:val="0"/>
        <w:spacing w:line="400" w:lineRule="exact"/>
        <w:ind w:leftChars="508" w:left="1699" w:hangingChars="200" w:hanging="480"/>
        <w:textAlignment w:val="auto"/>
        <w:rPr>
          <w:rFonts w:ascii="標楷體" w:eastAsia="標楷體" w:hAnsi="標楷體"/>
          <w:szCs w:val="24"/>
        </w:rPr>
      </w:pPr>
      <w:r w:rsidRPr="00EA4516">
        <w:rPr>
          <w:rFonts w:ascii="標楷體" w:eastAsia="標楷體" w:hAnsi="標楷體" w:hint="eastAsia"/>
          <w:szCs w:val="24"/>
        </w:rPr>
        <w:lastRenderedPageBreak/>
        <w:t>Ⅰ.</w:t>
      </w:r>
      <w:r w:rsidRPr="00EA4516">
        <w:rPr>
          <w:rFonts w:ascii="標楷體" w:eastAsia="標楷體" w:hAnsi="標楷體"/>
          <w:szCs w:val="24"/>
        </w:rPr>
        <w:t>具有下列任一疾病惡化的指標：病人開始治療前須在連續2次評估中均符合同一指標 (但若為plamacytoma 體積增加，或是新產生的bone lesion(s)或新plasmacytoma，則僅需1次評估)：</w:t>
      </w:r>
    </w:p>
    <w:p w:rsidR="00EA4516" w:rsidRPr="00EA4516" w:rsidRDefault="00EA4516" w:rsidP="00EA4516">
      <w:pPr>
        <w:numPr>
          <w:ilvl w:val="3"/>
          <w:numId w:val="33"/>
        </w:numPr>
        <w:suppressAutoHyphens w:val="0"/>
        <w:snapToGrid w:val="0"/>
        <w:spacing w:line="400" w:lineRule="exact"/>
        <w:ind w:leftChars="710" w:left="1985" w:hangingChars="117" w:hanging="281"/>
        <w:textAlignment w:val="auto"/>
        <w:rPr>
          <w:rFonts w:ascii="標楷體" w:eastAsia="標楷體" w:hAnsi="標楷體"/>
        </w:rPr>
      </w:pPr>
      <w:r w:rsidRPr="00EA4516">
        <w:rPr>
          <w:rFonts w:ascii="標楷體" w:eastAsia="標楷體" w:hAnsi="標楷體"/>
        </w:rPr>
        <w:t>若前一線治療中M component 最低值</w:t>
      </w:r>
      <w:r w:rsidRPr="00EA4516">
        <w:rPr>
          <w:rFonts w:ascii="標楷體" w:eastAsia="標楷體" w:hAnsi="標楷體" w:cs="新細明體"/>
        </w:rPr>
        <w:t>≧</w:t>
      </w:r>
      <w:r w:rsidRPr="00EA4516">
        <w:rPr>
          <w:rFonts w:ascii="標楷體" w:eastAsia="標楷體" w:hAnsi="標楷體"/>
        </w:rPr>
        <w:t>5 g/dL，血清M蛋白需增加</w:t>
      </w:r>
      <w:r w:rsidRPr="00EA4516">
        <w:rPr>
          <w:rFonts w:ascii="標楷體" w:eastAsia="標楷體" w:hAnsi="標楷體" w:cs="新細明體"/>
        </w:rPr>
        <w:t>≧</w:t>
      </w:r>
      <w:r w:rsidRPr="00EA4516">
        <w:rPr>
          <w:rFonts w:ascii="標楷體" w:eastAsia="標楷體" w:hAnsi="標楷體"/>
        </w:rPr>
        <w:t>1 g/dL；若前一線治療中M component 最低值＜5 g/dL，血清M蛋白需增加</w:t>
      </w:r>
      <w:r w:rsidRPr="00EA4516">
        <w:rPr>
          <w:rFonts w:ascii="標楷體" w:eastAsia="標楷體" w:hAnsi="標楷體" w:cs="新細明體"/>
        </w:rPr>
        <w:t>≧</w:t>
      </w:r>
      <w:r w:rsidRPr="00EA4516">
        <w:rPr>
          <w:rFonts w:ascii="標楷體" w:eastAsia="標楷體" w:hAnsi="標楷體"/>
        </w:rPr>
        <w:t>0.5g/dL。</w:t>
      </w:r>
    </w:p>
    <w:p w:rsidR="00EA4516" w:rsidRPr="00EA4516" w:rsidRDefault="00EA4516" w:rsidP="00EA4516">
      <w:pPr>
        <w:numPr>
          <w:ilvl w:val="3"/>
          <w:numId w:val="33"/>
        </w:numPr>
        <w:suppressAutoHyphens w:val="0"/>
        <w:snapToGrid w:val="0"/>
        <w:spacing w:line="400" w:lineRule="exact"/>
        <w:ind w:leftChars="710" w:left="2126" w:hangingChars="176" w:hanging="422"/>
        <w:textAlignment w:val="auto"/>
        <w:rPr>
          <w:rFonts w:ascii="標楷體" w:eastAsia="標楷體" w:hAnsi="標楷體"/>
        </w:rPr>
      </w:pPr>
      <w:r w:rsidRPr="00EA4516">
        <w:rPr>
          <w:rFonts w:ascii="標楷體" w:eastAsia="標楷體" w:hAnsi="標楷體"/>
        </w:rPr>
        <w:t>Urine M-protein需增加</w:t>
      </w:r>
      <w:r w:rsidRPr="00EA4516">
        <w:rPr>
          <w:rFonts w:ascii="標楷體" w:eastAsia="標楷體" w:hAnsi="標楷體" w:cs="新細明體"/>
        </w:rPr>
        <w:t>≧</w:t>
      </w:r>
      <w:r w:rsidRPr="00EA4516">
        <w:rPr>
          <w:rFonts w:ascii="標楷體" w:eastAsia="標楷體" w:hAnsi="標楷體"/>
        </w:rPr>
        <w:t>0.2 gm/24Hr，且需較前一線治療中的最低值增加</w:t>
      </w:r>
      <w:r w:rsidRPr="00EA4516">
        <w:rPr>
          <w:rFonts w:ascii="標楷體" w:eastAsia="標楷體" w:hAnsi="標楷體" w:cs="新細明體"/>
        </w:rPr>
        <w:t>≧</w:t>
      </w:r>
      <w:r w:rsidRPr="00EA4516">
        <w:rPr>
          <w:rFonts w:ascii="標楷體" w:eastAsia="標楷體" w:hAnsi="標楷體"/>
        </w:rPr>
        <w:t>25%。</w:t>
      </w:r>
    </w:p>
    <w:p w:rsidR="00EA4516" w:rsidRPr="00EA4516" w:rsidRDefault="00EA4516" w:rsidP="00EA4516">
      <w:pPr>
        <w:numPr>
          <w:ilvl w:val="3"/>
          <w:numId w:val="33"/>
        </w:numPr>
        <w:suppressAutoHyphens w:val="0"/>
        <w:snapToGrid w:val="0"/>
        <w:spacing w:line="400" w:lineRule="exact"/>
        <w:ind w:leftChars="709" w:left="2268" w:hangingChars="236" w:hanging="566"/>
        <w:textAlignment w:val="auto"/>
        <w:rPr>
          <w:rFonts w:ascii="標楷體" w:eastAsia="標楷體" w:hAnsi="標楷體"/>
        </w:rPr>
      </w:pPr>
      <w:r w:rsidRPr="00EA4516">
        <w:rPr>
          <w:rFonts w:ascii="標楷體" w:eastAsia="標楷體" w:hAnsi="標楷體"/>
        </w:rPr>
        <w:t>在non-secretary myeloma病人，骨髓漿細胞 (plasma cells)之比例絕對值增加≧10%，且需較前一線治療中的最低值增加≧25%。</w:t>
      </w:r>
    </w:p>
    <w:p w:rsidR="00EA4516" w:rsidRPr="00EA4516" w:rsidRDefault="00EA4516" w:rsidP="00EA4516">
      <w:pPr>
        <w:numPr>
          <w:ilvl w:val="3"/>
          <w:numId w:val="33"/>
        </w:numPr>
        <w:tabs>
          <w:tab w:val="left" w:pos="2127"/>
        </w:tabs>
        <w:suppressAutoHyphens w:val="0"/>
        <w:snapToGrid w:val="0"/>
        <w:spacing w:line="400" w:lineRule="exact"/>
        <w:ind w:leftChars="708" w:left="1699" w:firstLine="2"/>
        <w:textAlignment w:val="auto"/>
        <w:rPr>
          <w:rFonts w:ascii="標楷體" w:eastAsia="標楷體" w:hAnsi="標楷體"/>
        </w:rPr>
      </w:pPr>
      <w:r w:rsidRPr="00EA4516">
        <w:rPr>
          <w:rFonts w:ascii="標楷體" w:eastAsia="標楷體" w:hAnsi="標楷體"/>
        </w:rPr>
        <w:t>新產生的bone lesion(s)或plasmacytoma，且須經病理切片證實。</w:t>
      </w:r>
    </w:p>
    <w:p w:rsidR="00EA4516" w:rsidRPr="00EA4516" w:rsidRDefault="00EA4516" w:rsidP="00EA4516">
      <w:pPr>
        <w:numPr>
          <w:ilvl w:val="3"/>
          <w:numId w:val="33"/>
        </w:numPr>
        <w:suppressAutoHyphens w:val="0"/>
        <w:snapToGrid w:val="0"/>
        <w:spacing w:line="400" w:lineRule="exact"/>
        <w:ind w:leftChars="769" w:left="2127" w:hangingChars="117" w:hanging="281"/>
        <w:textAlignment w:val="auto"/>
        <w:rPr>
          <w:rFonts w:ascii="標楷體" w:eastAsia="標楷體" w:hAnsi="標楷體"/>
        </w:rPr>
      </w:pPr>
      <w:r w:rsidRPr="00EA4516">
        <w:rPr>
          <w:rFonts w:ascii="標楷體" w:eastAsia="標楷體" w:hAnsi="標楷體"/>
        </w:rPr>
        <w:t>Plasmacytoma體積增加≧50%。</w:t>
      </w:r>
    </w:p>
    <w:p w:rsidR="00EA4516" w:rsidRDefault="00EA4516" w:rsidP="00EA4516">
      <w:pPr>
        <w:numPr>
          <w:ilvl w:val="3"/>
          <w:numId w:val="33"/>
        </w:numPr>
        <w:suppressAutoHyphens w:val="0"/>
        <w:snapToGrid w:val="0"/>
        <w:spacing w:line="400" w:lineRule="exact"/>
        <w:ind w:leftChars="768" w:left="2265" w:hangingChars="176" w:hanging="422"/>
        <w:textAlignment w:val="auto"/>
        <w:rPr>
          <w:rFonts w:ascii="標楷體" w:eastAsia="標楷體" w:hAnsi="標楷體"/>
        </w:rPr>
      </w:pPr>
      <w:r w:rsidRPr="00EA4516">
        <w:rPr>
          <w:rFonts w:ascii="標楷體" w:eastAsia="標楷體" w:hAnsi="標楷體"/>
        </w:rPr>
        <w:t>周邊血液中漿細胞比例</w:t>
      </w:r>
      <w:r w:rsidRPr="00EA4516">
        <w:rPr>
          <w:rFonts w:ascii="標楷體" w:eastAsia="標楷體" w:hAnsi="標楷體" w:cs="新細明體"/>
        </w:rPr>
        <w:t>≧</w:t>
      </w:r>
      <w:r w:rsidRPr="00EA4516">
        <w:rPr>
          <w:rFonts w:ascii="標楷體" w:eastAsia="標楷體" w:hAnsi="標楷體"/>
        </w:rPr>
        <w:t>20%或漿細胞絕對值</w:t>
      </w:r>
      <w:r w:rsidRPr="00EA4516">
        <w:rPr>
          <w:rFonts w:ascii="標楷體" w:eastAsia="標楷體" w:hAnsi="標楷體" w:cs="新細明體"/>
        </w:rPr>
        <w:t>≧</w:t>
      </w:r>
      <w:r w:rsidRPr="00EA4516">
        <w:rPr>
          <w:rFonts w:ascii="標楷體" w:eastAsia="標楷體" w:hAnsi="標楷體"/>
        </w:rPr>
        <w:t>2000 cells/μL。</w:t>
      </w:r>
    </w:p>
    <w:p w:rsidR="00EA4516" w:rsidRPr="00EA4516" w:rsidRDefault="00EA4516" w:rsidP="00EA4516">
      <w:pPr>
        <w:suppressAutoHyphens w:val="0"/>
        <w:snapToGrid w:val="0"/>
        <w:spacing w:line="400" w:lineRule="exact"/>
        <w:ind w:left="1134"/>
        <w:textAlignment w:val="auto"/>
        <w:rPr>
          <w:rFonts w:ascii="標楷體" w:eastAsia="標楷體" w:hAnsi="標楷體"/>
        </w:rPr>
      </w:pPr>
      <w:r>
        <w:rPr>
          <w:rFonts w:ascii="標楷體" w:eastAsia="標楷體" w:hAnsi="標楷體" w:hint="eastAsia"/>
          <w:szCs w:val="24"/>
        </w:rPr>
        <w:t>Ⅱ.</w:t>
      </w:r>
      <w:r w:rsidRPr="00EA4516">
        <w:rPr>
          <w:rFonts w:ascii="標楷體" w:eastAsia="標楷體" w:hAnsi="標楷體"/>
          <w:szCs w:val="24"/>
        </w:rPr>
        <w:t>出現下列任一臨床症狀：</w:t>
      </w:r>
    </w:p>
    <w:p w:rsidR="00EA4516" w:rsidRPr="00EA4516" w:rsidRDefault="00EA4516" w:rsidP="00020935">
      <w:pPr>
        <w:numPr>
          <w:ilvl w:val="3"/>
          <w:numId w:val="38"/>
        </w:numPr>
        <w:tabs>
          <w:tab w:val="left" w:pos="2127"/>
        </w:tabs>
        <w:suppressAutoHyphens w:val="0"/>
        <w:snapToGrid w:val="0"/>
        <w:spacing w:line="400" w:lineRule="exact"/>
        <w:ind w:leftChars="700" w:left="2160" w:hangingChars="200" w:hanging="480"/>
        <w:textAlignment w:val="auto"/>
        <w:rPr>
          <w:rFonts w:ascii="標楷體" w:eastAsia="標楷體" w:hAnsi="標楷體"/>
        </w:rPr>
      </w:pPr>
      <w:r w:rsidRPr="00EA4516">
        <w:rPr>
          <w:rFonts w:ascii="標楷體" w:eastAsia="標楷體" w:hAnsi="標楷體"/>
        </w:rPr>
        <w:t>新產生的bone lesion(s)或plasmacytoma，且須經病理切片證實。</w:t>
      </w:r>
    </w:p>
    <w:p w:rsidR="00EA4516" w:rsidRPr="00EA4516" w:rsidRDefault="00EA4516" w:rsidP="00020935">
      <w:pPr>
        <w:numPr>
          <w:ilvl w:val="3"/>
          <w:numId w:val="38"/>
        </w:numPr>
        <w:tabs>
          <w:tab w:val="left" w:pos="2127"/>
        </w:tabs>
        <w:suppressAutoHyphens w:val="0"/>
        <w:snapToGrid w:val="0"/>
        <w:spacing w:line="400" w:lineRule="exact"/>
        <w:ind w:leftChars="700" w:left="2160" w:hangingChars="200" w:hanging="480"/>
        <w:textAlignment w:val="auto"/>
        <w:rPr>
          <w:rFonts w:ascii="標楷體" w:eastAsia="標楷體" w:hAnsi="標楷體"/>
        </w:rPr>
      </w:pPr>
      <w:r w:rsidRPr="00EA4516">
        <w:rPr>
          <w:rFonts w:ascii="標楷體" w:eastAsia="標楷體" w:hAnsi="標楷體"/>
        </w:rPr>
        <w:t>Plasmacytoma 體積增加≧50%。</w:t>
      </w:r>
    </w:p>
    <w:p w:rsidR="00EA4516" w:rsidRPr="00EA4516" w:rsidRDefault="00EA4516" w:rsidP="00020935">
      <w:pPr>
        <w:numPr>
          <w:ilvl w:val="3"/>
          <w:numId w:val="38"/>
        </w:numPr>
        <w:tabs>
          <w:tab w:val="left" w:pos="2127"/>
        </w:tabs>
        <w:suppressAutoHyphens w:val="0"/>
        <w:snapToGrid w:val="0"/>
        <w:spacing w:line="400" w:lineRule="exact"/>
        <w:ind w:leftChars="700" w:left="2160" w:hangingChars="200" w:hanging="480"/>
        <w:textAlignment w:val="auto"/>
        <w:rPr>
          <w:rFonts w:ascii="標楷體" w:eastAsia="標楷體" w:hAnsi="標楷體"/>
        </w:rPr>
      </w:pPr>
      <w:r w:rsidRPr="00EA4516">
        <w:rPr>
          <w:rFonts w:ascii="標楷體" w:eastAsia="標楷體" w:hAnsi="標楷體"/>
        </w:rPr>
        <w:t>高血鈣(corrected serum calcium＞11.0 mg/dL 或2.75 mmol/L)。</w:t>
      </w:r>
    </w:p>
    <w:p w:rsidR="00EA4516" w:rsidRDefault="00EA4516" w:rsidP="00020935">
      <w:pPr>
        <w:numPr>
          <w:ilvl w:val="3"/>
          <w:numId w:val="38"/>
        </w:numPr>
        <w:tabs>
          <w:tab w:val="left" w:pos="2410"/>
        </w:tabs>
        <w:suppressAutoHyphens w:val="0"/>
        <w:snapToGrid w:val="0"/>
        <w:spacing w:line="400" w:lineRule="exact"/>
        <w:ind w:leftChars="700" w:left="2160" w:hangingChars="200" w:hanging="480"/>
        <w:textAlignment w:val="auto"/>
        <w:rPr>
          <w:rFonts w:ascii="標楷體" w:eastAsia="標楷體" w:hAnsi="標楷體"/>
        </w:rPr>
      </w:pPr>
      <w:r w:rsidRPr="00EA4516">
        <w:rPr>
          <w:rFonts w:ascii="標楷體" w:eastAsia="標楷體" w:hAnsi="標楷體"/>
        </w:rPr>
        <w:t>貧血(Hemoglobin 下降幅度≧ 2gm/dL 且無其他原因可以解釋)。</w:t>
      </w:r>
    </w:p>
    <w:p w:rsidR="00EA4516" w:rsidRPr="00EA4516" w:rsidRDefault="00EA4516" w:rsidP="00020935">
      <w:pPr>
        <w:numPr>
          <w:ilvl w:val="3"/>
          <w:numId w:val="38"/>
        </w:numPr>
        <w:suppressAutoHyphens w:val="0"/>
        <w:snapToGrid w:val="0"/>
        <w:spacing w:line="400" w:lineRule="exact"/>
        <w:ind w:leftChars="700" w:left="2160" w:hangingChars="200" w:hanging="480"/>
        <w:textAlignment w:val="auto"/>
        <w:rPr>
          <w:rFonts w:ascii="標楷體" w:eastAsia="標楷體" w:hAnsi="標楷體"/>
        </w:rPr>
      </w:pPr>
      <w:r w:rsidRPr="00EA4516">
        <w:rPr>
          <w:rFonts w:ascii="標楷體" w:eastAsia="標楷體" w:hAnsi="標楷體"/>
        </w:rPr>
        <w:t>腎功能惡化(eGFR下降幅度≧25%)，且無其他原因可以解釋。</w:t>
      </w:r>
    </w:p>
    <w:p w:rsidR="00EA4516" w:rsidRPr="00EA4516" w:rsidRDefault="00EA4516" w:rsidP="00020935">
      <w:pPr>
        <w:numPr>
          <w:ilvl w:val="3"/>
          <w:numId w:val="38"/>
        </w:numPr>
        <w:tabs>
          <w:tab w:val="left" w:pos="2127"/>
        </w:tabs>
        <w:suppressAutoHyphens w:val="0"/>
        <w:snapToGrid w:val="0"/>
        <w:spacing w:line="400" w:lineRule="exact"/>
        <w:ind w:leftChars="700" w:left="2160" w:hangingChars="200" w:hanging="480"/>
        <w:textAlignment w:val="auto"/>
        <w:rPr>
          <w:rFonts w:ascii="標楷體" w:eastAsia="標楷體" w:hAnsi="標楷體"/>
        </w:rPr>
      </w:pPr>
      <w:r w:rsidRPr="00EA4516">
        <w:rPr>
          <w:rFonts w:ascii="標楷體" w:eastAsia="標楷體" w:hAnsi="標楷體"/>
        </w:rPr>
        <w:t>出現其他end-organ dysfunctions。</w:t>
      </w:r>
    </w:p>
    <w:p w:rsidR="00EA4516" w:rsidRPr="00EA4516" w:rsidRDefault="00EA4516" w:rsidP="00020935">
      <w:pPr>
        <w:numPr>
          <w:ilvl w:val="1"/>
          <w:numId w:val="38"/>
        </w:numPr>
        <w:suppressAutoHyphens w:val="0"/>
        <w:snapToGrid w:val="0"/>
        <w:spacing w:line="400" w:lineRule="exact"/>
        <w:ind w:left="1276" w:hanging="425"/>
        <w:textAlignment w:val="auto"/>
        <w:rPr>
          <w:rFonts w:ascii="標楷體" w:eastAsia="標楷體" w:hAnsi="標楷體"/>
          <w:szCs w:val="24"/>
        </w:rPr>
      </w:pPr>
      <w:r w:rsidRPr="00EA4516">
        <w:rPr>
          <w:rFonts w:ascii="標楷體" w:eastAsia="標楷體" w:hAnsi="標楷體"/>
          <w:szCs w:val="24"/>
        </w:rPr>
        <w:t>再次申請時必須確定paraprotein (M-protein)未上升(即表示對藥物有反應或為穩定狀態)，或對部分non-secretory type MM 病人以骨髓檢查plasma cell 為療效依據，方可繼續使用。續用時的申請每次以153mg/1.7ml規格13次輸注為限。</w:t>
      </w:r>
    </w:p>
    <w:p w:rsidR="00EA4516" w:rsidRPr="00A33F1B" w:rsidRDefault="00EA4516" w:rsidP="00020935">
      <w:pPr>
        <w:numPr>
          <w:ilvl w:val="0"/>
          <w:numId w:val="38"/>
        </w:numPr>
        <w:suppressAutoHyphens w:val="0"/>
        <w:snapToGrid w:val="0"/>
        <w:spacing w:line="400" w:lineRule="exact"/>
        <w:ind w:leftChars="119" w:left="567" w:hangingChars="117" w:hanging="281"/>
        <w:textAlignment w:val="auto"/>
        <w:rPr>
          <w:rFonts w:ascii="標楷體" w:eastAsia="標楷體" w:hAnsi="標楷體"/>
          <w:szCs w:val="24"/>
        </w:rPr>
      </w:pPr>
      <w:r w:rsidRPr="00EA4516">
        <w:rPr>
          <w:rFonts w:ascii="標楷體" w:eastAsia="標楷體" w:hAnsi="標楷體"/>
          <w:szCs w:val="24"/>
        </w:rPr>
        <w:t>每位</w:t>
      </w:r>
      <w:r w:rsidRPr="00A33F1B">
        <w:rPr>
          <w:rFonts w:ascii="標楷體" w:eastAsia="標楷體" w:hAnsi="標楷體"/>
          <w:szCs w:val="24"/>
        </w:rPr>
        <w:t>病人終生限給付39次輸注(含30mg/3ml規格共2次輸注、153mg/1.7ml規格共37次輸注)。</w:t>
      </w:r>
    </w:p>
    <w:p w:rsidR="00EA4516" w:rsidRPr="00A33F1B" w:rsidRDefault="00EA4516" w:rsidP="00020935">
      <w:pPr>
        <w:numPr>
          <w:ilvl w:val="0"/>
          <w:numId w:val="38"/>
        </w:numPr>
        <w:suppressAutoHyphens w:val="0"/>
        <w:snapToGrid w:val="0"/>
        <w:spacing w:line="400" w:lineRule="exact"/>
        <w:ind w:leftChars="119" w:left="567" w:hangingChars="117" w:hanging="281"/>
        <w:textAlignment w:val="auto"/>
        <w:rPr>
          <w:rFonts w:ascii="標楷體" w:eastAsia="標楷體" w:hAnsi="標楷體"/>
          <w:szCs w:val="24"/>
        </w:rPr>
      </w:pPr>
      <w:r w:rsidRPr="00A33F1B">
        <w:rPr>
          <w:rFonts w:ascii="標楷體" w:eastAsia="標楷體" w:hAnsi="標楷體"/>
          <w:szCs w:val="24"/>
        </w:rPr>
        <w:t>執行醫師須完全符合下列資格：</w:t>
      </w:r>
    </w:p>
    <w:p w:rsidR="00EA4516" w:rsidRPr="00A33F1B" w:rsidRDefault="00EA4516" w:rsidP="00020935">
      <w:pPr>
        <w:numPr>
          <w:ilvl w:val="0"/>
          <w:numId w:val="38"/>
        </w:numPr>
        <w:suppressAutoHyphens w:val="0"/>
        <w:snapToGrid w:val="0"/>
        <w:spacing w:line="400" w:lineRule="exact"/>
        <w:ind w:leftChars="119" w:left="567" w:hangingChars="117" w:hanging="281"/>
        <w:textAlignment w:val="auto"/>
        <w:rPr>
          <w:rFonts w:ascii="標楷體" w:eastAsia="標楷體" w:hAnsi="標楷體"/>
          <w:szCs w:val="24"/>
        </w:rPr>
      </w:pPr>
      <w:r w:rsidRPr="00A33F1B">
        <w:rPr>
          <w:rFonts w:ascii="標楷體" w:eastAsia="標楷體" w:hAnsi="標楷體" w:hint="eastAsia"/>
          <w:szCs w:val="24"/>
        </w:rPr>
        <w:t>醫師必須為血液病或造血幹細胞移植專科醫師且須完成血液病和造血幹細胞移植的相關照護訓練。</w:t>
      </w:r>
      <w:r w:rsidRPr="00A33F1B">
        <w:rPr>
          <w:rFonts w:ascii="標楷體" w:eastAsia="標楷體" w:hAnsi="標楷體"/>
          <w:szCs w:val="24"/>
        </w:rPr>
        <w:t>(114/5/1</w:t>
      </w:r>
      <w:r w:rsidRPr="00A33F1B">
        <w:rPr>
          <w:rFonts w:ascii="標楷體" w:eastAsia="標楷體" w:hAnsi="標楷體" w:hint="eastAsia"/>
          <w:szCs w:val="24"/>
        </w:rPr>
        <w:t>、</w:t>
      </w:r>
      <w:r w:rsidRPr="00A33F1B">
        <w:rPr>
          <w:rFonts w:ascii="標楷體" w:eastAsia="標楷體" w:hAnsi="標楷體"/>
          <w:szCs w:val="24"/>
        </w:rPr>
        <w:t>114/8/1)</w:t>
      </w:r>
    </w:p>
    <w:p w:rsidR="00EA4516" w:rsidRPr="00EA4516" w:rsidRDefault="00EA4516" w:rsidP="00020935">
      <w:pPr>
        <w:numPr>
          <w:ilvl w:val="0"/>
          <w:numId w:val="38"/>
        </w:numPr>
        <w:suppressAutoHyphens w:val="0"/>
        <w:snapToGrid w:val="0"/>
        <w:spacing w:line="400" w:lineRule="exact"/>
        <w:ind w:leftChars="119" w:left="567" w:hangingChars="117" w:hanging="281"/>
        <w:textAlignment w:val="auto"/>
        <w:rPr>
          <w:rFonts w:ascii="標楷體" w:eastAsia="標楷體" w:hAnsi="標楷體"/>
          <w:szCs w:val="24"/>
        </w:rPr>
      </w:pPr>
      <w:r w:rsidRPr="00A33F1B">
        <w:rPr>
          <w:rFonts w:ascii="標楷體" w:eastAsia="標楷體" w:hAnsi="標楷體"/>
          <w:szCs w:val="24"/>
        </w:rPr>
        <w:t>每兩年接受至少6小時中華民國血液及骨髓移植學會或中華民國血液病學會舉辦之雙特異性</w:t>
      </w:r>
      <w:r w:rsidRPr="00EA4516">
        <w:rPr>
          <w:rFonts w:ascii="標楷體" w:eastAsia="標楷體" w:hAnsi="標楷體"/>
          <w:szCs w:val="24"/>
        </w:rPr>
        <w:t>抗體相關治療教育訓練。</w:t>
      </w:r>
    </w:p>
    <w:p w:rsidR="00B96EA0" w:rsidRPr="00EA4516" w:rsidRDefault="00EA4516" w:rsidP="00EA4516">
      <w:pPr>
        <w:tabs>
          <w:tab w:val="left" w:pos="1418"/>
        </w:tabs>
        <w:spacing w:line="400" w:lineRule="exact"/>
        <w:ind w:left="1274" w:firstLine="2"/>
        <w:jc w:val="both"/>
        <w:rPr>
          <w:rFonts w:ascii="標楷體" w:eastAsia="標楷體" w:hAnsi="標楷體"/>
          <w:color w:val="000000"/>
        </w:rPr>
      </w:pPr>
      <w:r w:rsidRPr="00EA4516">
        <w:rPr>
          <w:rFonts w:ascii="標楷體" w:eastAsia="標楷體" w:hAnsi="標楷體"/>
          <w:szCs w:val="24"/>
        </w:rPr>
        <w:t>Teclistamab與elranatamab僅能擇一給付，除因耐受性不良，不得互換。二者使用總療程合併計算，以全部39次輸注為上限。</w:t>
      </w:r>
    </w:p>
    <w:p w:rsidR="00DA176D" w:rsidRPr="00DA176D" w:rsidRDefault="00DA176D" w:rsidP="005142EB">
      <w:pPr>
        <w:suppressAutoHyphens w:val="0"/>
        <w:autoSpaceDN/>
        <w:spacing w:line="400" w:lineRule="exact"/>
        <w:ind w:firstLineChars="100" w:firstLine="240"/>
        <w:textAlignment w:val="auto"/>
        <w:rPr>
          <w:rFonts w:ascii="標楷體" w:eastAsia="標楷體" w:hAnsi="標楷體"/>
          <w:color w:val="000000"/>
        </w:rPr>
      </w:pPr>
      <w:r w:rsidRPr="00DA176D">
        <w:rPr>
          <w:rFonts w:ascii="標楷體" w:eastAsia="標楷體" w:hAnsi="標楷體" w:hint="eastAsia"/>
          <w:color w:val="000000"/>
        </w:rPr>
        <w:t>9.120.Glofitamab（如Columvi）：（114/8/1)</w:t>
      </w:r>
    </w:p>
    <w:p w:rsidR="00DA176D" w:rsidRPr="00DA176D" w:rsidRDefault="00DA176D" w:rsidP="005142EB">
      <w:pPr>
        <w:spacing w:line="400" w:lineRule="exact"/>
        <w:ind w:left="794" w:hanging="284"/>
        <w:rPr>
          <w:rFonts w:ascii="標楷體" w:eastAsia="標楷體" w:hAnsi="標楷體"/>
          <w:szCs w:val="24"/>
        </w:rPr>
      </w:pPr>
      <w:r w:rsidRPr="00DA176D">
        <w:rPr>
          <w:rFonts w:ascii="標楷體" w:eastAsia="標楷體" w:hAnsi="標楷體" w:hint="eastAsia"/>
          <w:szCs w:val="24"/>
        </w:rPr>
        <w:t>1.用於治療先前曾接受至少兩線全身治療之復發性或難治性瀰漫性大B細胞淋巴瘤 (DLBCL) 的成人病人，且須完全符合以下條件：</w:t>
      </w:r>
    </w:p>
    <w:p w:rsidR="00DA176D" w:rsidRPr="00DA176D" w:rsidRDefault="00DA176D" w:rsidP="00A33F1B">
      <w:pPr>
        <w:spacing w:line="400" w:lineRule="exact"/>
        <w:ind w:left="1134" w:hanging="386"/>
        <w:rPr>
          <w:rFonts w:ascii="標楷體" w:eastAsia="標楷體" w:hAnsi="標楷體"/>
          <w:color w:val="000000"/>
        </w:rPr>
      </w:pPr>
      <w:r w:rsidRPr="00DA176D">
        <w:rPr>
          <w:rFonts w:ascii="標楷體" w:eastAsia="標楷體" w:hAnsi="標楷體" w:hint="eastAsia"/>
          <w:color w:val="000000"/>
        </w:rPr>
        <w:lastRenderedPageBreak/>
        <w:t>(1)</w:t>
      </w:r>
      <w:r w:rsidRPr="00DA176D">
        <w:rPr>
          <w:rFonts w:ascii="標楷體" w:eastAsia="標楷體" w:hAnsi="標楷體" w:hint="eastAsia"/>
          <w:color w:val="000000"/>
        </w:rPr>
        <w:tab/>
        <w:t>具CD20抗原陽性。</w:t>
      </w:r>
    </w:p>
    <w:p w:rsidR="00DA176D" w:rsidRPr="00DA176D" w:rsidRDefault="00DA176D" w:rsidP="00A33F1B">
      <w:pPr>
        <w:spacing w:line="400" w:lineRule="exact"/>
        <w:ind w:left="1134" w:hanging="386"/>
        <w:rPr>
          <w:rFonts w:ascii="標楷體" w:eastAsia="標楷體" w:hAnsi="標楷體"/>
          <w:color w:val="000000"/>
        </w:rPr>
      </w:pPr>
      <w:r w:rsidRPr="00DA176D">
        <w:rPr>
          <w:rFonts w:ascii="標楷體" w:eastAsia="標楷體" w:hAnsi="標楷體" w:hint="eastAsia"/>
          <w:color w:val="000000"/>
        </w:rPr>
        <w:t>(2)</w:t>
      </w:r>
      <w:r w:rsidRPr="00DA176D">
        <w:rPr>
          <w:rFonts w:ascii="標楷體" w:eastAsia="標楷體" w:hAnsi="標楷體" w:hint="eastAsia"/>
          <w:color w:val="000000"/>
        </w:rPr>
        <w:tab/>
        <w:t>一線曾接受rituximab合併化學治療(包含CD20)，及含有anthracycline類藥物的治療，治療四個療程以上復發或是於治療中發生疾病惡化者。</w:t>
      </w:r>
    </w:p>
    <w:p w:rsidR="00DA176D" w:rsidRPr="00DA176D" w:rsidRDefault="00DA176D" w:rsidP="00A33F1B">
      <w:pPr>
        <w:spacing w:line="400" w:lineRule="exact"/>
        <w:ind w:left="1134" w:hanging="386"/>
        <w:rPr>
          <w:rFonts w:ascii="標楷體" w:eastAsia="標楷體" w:hAnsi="標楷體"/>
          <w:color w:val="000000"/>
        </w:rPr>
      </w:pPr>
      <w:r w:rsidRPr="00DA176D">
        <w:rPr>
          <w:rFonts w:ascii="標楷體" w:eastAsia="標楷體" w:hAnsi="標楷體" w:hint="eastAsia"/>
          <w:color w:val="000000"/>
        </w:rPr>
        <w:t>(3)</w:t>
      </w:r>
      <w:r w:rsidRPr="00DA176D">
        <w:rPr>
          <w:rFonts w:ascii="標楷體" w:eastAsia="標楷體" w:hAnsi="標楷體" w:hint="eastAsia"/>
          <w:color w:val="000000"/>
        </w:rPr>
        <w:tab/>
        <w:t>救援治療需符合以下任一條件：</w:t>
      </w:r>
    </w:p>
    <w:p w:rsidR="00DA176D" w:rsidRPr="00DA176D" w:rsidRDefault="00DA176D" w:rsidP="00A33F1B">
      <w:pPr>
        <w:spacing w:line="400" w:lineRule="exact"/>
        <w:ind w:left="1134" w:hanging="386"/>
        <w:rPr>
          <w:rFonts w:ascii="標楷體" w:eastAsia="標楷體" w:hAnsi="標楷體"/>
          <w:szCs w:val="24"/>
        </w:rPr>
      </w:pPr>
      <w:r w:rsidRPr="00A33F1B">
        <w:rPr>
          <w:rFonts w:ascii="標楷體" w:eastAsia="標楷體" w:hAnsi="標楷體"/>
          <w:color w:val="000000"/>
        </w:rPr>
        <w:t>Ⅰ.</w:t>
      </w:r>
      <w:r w:rsidRPr="00A33F1B">
        <w:rPr>
          <w:rFonts w:ascii="標楷體" w:eastAsia="標楷體" w:hAnsi="標楷體" w:hint="eastAsia"/>
          <w:color w:val="000000"/>
        </w:rPr>
        <w:t>治療二</w:t>
      </w:r>
      <w:r w:rsidRPr="00DA176D">
        <w:rPr>
          <w:rFonts w:ascii="標楷體" w:eastAsia="標楷體" w:hAnsi="標楷體" w:hint="eastAsia"/>
          <w:szCs w:val="24"/>
        </w:rPr>
        <w:t>個療程以上復發或是於治療中發生疾病惡化者。</w:t>
      </w:r>
    </w:p>
    <w:p w:rsidR="00DA176D" w:rsidRPr="00DA176D" w:rsidRDefault="00DA176D" w:rsidP="005142EB">
      <w:pPr>
        <w:spacing w:line="400" w:lineRule="exact"/>
        <w:ind w:left="1248" w:hanging="397"/>
        <w:rPr>
          <w:rFonts w:ascii="標楷體" w:eastAsia="標楷體" w:hAnsi="標楷體"/>
          <w:szCs w:val="24"/>
        </w:rPr>
      </w:pPr>
      <w:r w:rsidRPr="00DA176D">
        <w:rPr>
          <w:rFonts w:ascii="標楷體" w:eastAsia="標楷體" w:hAnsi="標楷體"/>
          <w:szCs w:val="24"/>
        </w:rPr>
        <w:t>Ⅱ</w:t>
      </w:r>
      <w:r w:rsidRPr="00DA176D">
        <w:rPr>
          <w:rFonts w:ascii="標楷體" w:eastAsia="標楷體" w:hAnsi="標楷體" w:hint="eastAsia"/>
          <w:szCs w:val="24"/>
        </w:rPr>
        <w:t>.經造血幹細胞移植治療失敗者。</w:t>
      </w:r>
    </w:p>
    <w:p w:rsidR="00DA176D" w:rsidRPr="00DA176D" w:rsidRDefault="00DA176D" w:rsidP="00A33F1B">
      <w:pPr>
        <w:spacing w:line="400" w:lineRule="exact"/>
        <w:ind w:left="1134" w:hanging="386"/>
        <w:rPr>
          <w:rFonts w:ascii="標楷體" w:eastAsia="標楷體" w:hAnsi="標楷體"/>
          <w:color w:val="000000"/>
        </w:rPr>
      </w:pPr>
      <w:r w:rsidRPr="00DA176D">
        <w:rPr>
          <w:rFonts w:ascii="標楷體" w:eastAsia="標楷體" w:hAnsi="標楷體" w:hint="eastAsia"/>
          <w:color w:val="000000"/>
        </w:rPr>
        <w:t>(4)</w:t>
      </w:r>
      <w:r w:rsidRPr="00DA176D">
        <w:rPr>
          <w:rFonts w:ascii="標楷體" w:eastAsia="標楷體" w:hAnsi="標楷體" w:hint="eastAsia"/>
          <w:color w:val="000000"/>
        </w:rPr>
        <w:tab/>
        <w:t>ECOG為0或1。</w:t>
      </w:r>
    </w:p>
    <w:p w:rsidR="00DA176D" w:rsidRPr="00DA176D" w:rsidRDefault="00DA176D" w:rsidP="00A33F1B">
      <w:pPr>
        <w:spacing w:line="400" w:lineRule="exact"/>
        <w:ind w:left="1134" w:hanging="386"/>
        <w:rPr>
          <w:rFonts w:ascii="標楷體" w:eastAsia="標楷體" w:hAnsi="標楷體"/>
          <w:color w:val="000000"/>
        </w:rPr>
      </w:pPr>
      <w:r w:rsidRPr="00DA176D">
        <w:rPr>
          <w:rFonts w:ascii="標楷體" w:eastAsia="標楷體" w:hAnsi="標楷體" w:hint="eastAsia"/>
          <w:color w:val="000000"/>
        </w:rPr>
        <w:t>(5)</w:t>
      </w:r>
      <w:r w:rsidRPr="00DA176D">
        <w:rPr>
          <w:rFonts w:ascii="標楷體" w:eastAsia="標楷體" w:hAnsi="標楷體" w:hint="eastAsia"/>
          <w:color w:val="000000"/>
        </w:rPr>
        <w:tab/>
        <w:t>病人不得有以下任一疾病:</w:t>
      </w:r>
    </w:p>
    <w:p w:rsidR="00DA176D" w:rsidRPr="00DA176D" w:rsidRDefault="00DA176D" w:rsidP="005142EB">
      <w:pPr>
        <w:spacing w:line="400" w:lineRule="exact"/>
        <w:ind w:left="1248" w:hanging="397"/>
        <w:rPr>
          <w:rFonts w:ascii="標楷體" w:eastAsia="標楷體" w:hAnsi="標楷體"/>
          <w:szCs w:val="24"/>
        </w:rPr>
      </w:pPr>
      <w:r w:rsidRPr="00DA176D">
        <w:rPr>
          <w:rFonts w:ascii="標楷體" w:eastAsia="標楷體" w:hAnsi="標楷體"/>
          <w:szCs w:val="24"/>
        </w:rPr>
        <w:t>Ⅰ.</w:t>
      </w:r>
      <w:r w:rsidRPr="00DA176D">
        <w:rPr>
          <w:rFonts w:ascii="標楷體" w:eastAsia="標楷體" w:hAnsi="標楷體" w:hint="eastAsia"/>
          <w:szCs w:val="24"/>
        </w:rPr>
        <w:t>中樞神經系統淋巴瘤或中樞神經疾病。</w:t>
      </w:r>
    </w:p>
    <w:p w:rsidR="00DA176D" w:rsidRPr="00DA176D" w:rsidRDefault="00DA176D" w:rsidP="005142EB">
      <w:pPr>
        <w:spacing w:line="400" w:lineRule="exact"/>
        <w:ind w:left="1248" w:hanging="397"/>
        <w:rPr>
          <w:rFonts w:ascii="標楷體" w:eastAsia="標楷體" w:hAnsi="標楷體"/>
          <w:szCs w:val="24"/>
        </w:rPr>
      </w:pPr>
      <w:r w:rsidRPr="00DA176D">
        <w:rPr>
          <w:rFonts w:ascii="標楷體" w:eastAsia="標楷體" w:hAnsi="標楷體"/>
          <w:szCs w:val="24"/>
        </w:rPr>
        <w:t>Ⅱ.</w:t>
      </w:r>
      <w:r w:rsidRPr="00DA176D">
        <w:rPr>
          <w:rFonts w:ascii="標楷體" w:eastAsia="標楷體" w:hAnsi="標楷體" w:hint="eastAsia"/>
          <w:szCs w:val="24"/>
        </w:rPr>
        <w:t>嚴重的心血管疾病，如NYHA (New York Heart Association) Class Ⅲ或Ⅳ。</w:t>
      </w:r>
    </w:p>
    <w:p w:rsidR="00DA176D" w:rsidRPr="00DA176D" w:rsidRDefault="00DA176D" w:rsidP="005142EB">
      <w:pPr>
        <w:spacing w:line="400" w:lineRule="exact"/>
        <w:ind w:left="1248" w:hanging="397"/>
        <w:rPr>
          <w:rFonts w:ascii="標楷體" w:eastAsia="標楷體" w:hAnsi="標楷體"/>
          <w:szCs w:val="24"/>
        </w:rPr>
      </w:pPr>
      <w:r w:rsidRPr="00DA176D">
        <w:rPr>
          <w:rFonts w:ascii="標楷體" w:eastAsia="標楷體" w:hAnsi="標楷體"/>
          <w:szCs w:val="24"/>
        </w:rPr>
        <w:t>Ⅲ.</w:t>
      </w:r>
      <w:r w:rsidRPr="00DA176D">
        <w:rPr>
          <w:rFonts w:ascii="標楷體" w:eastAsia="標楷體" w:hAnsi="標楷體" w:hint="eastAsia"/>
          <w:szCs w:val="24"/>
        </w:rPr>
        <w:t>自體免疫疾病正積極治療者。</w:t>
      </w:r>
    </w:p>
    <w:p w:rsidR="00DA176D" w:rsidRPr="00DA176D" w:rsidRDefault="00DA176D" w:rsidP="005142EB">
      <w:pPr>
        <w:spacing w:line="400" w:lineRule="exact"/>
        <w:ind w:left="794" w:hanging="284"/>
        <w:rPr>
          <w:rFonts w:ascii="標楷體" w:eastAsia="標楷體" w:hAnsi="標楷體"/>
          <w:szCs w:val="24"/>
        </w:rPr>
      </w:pPr>
      <w:r w:rsidRPr="00DA176D">
        <w:rPr>
          <w:rFonts w:ascii="標楷體" w:eastAsia="標楷體" w:hAnsi="標楷體" w:hint="eastAsia"/>
          <w:szCs w:val="24"/>
        </w:rPr>
        <w:t>2.</w:t>
      </w:r>
      <w:r w:rsidRPr="00DA176D">
        <w:rPr>
          <w:rFonts w:ascii="標楷體" w:eastAsia="標楷體" w:hAnsi="標楷體" w:hint="eastAsia"/>
          <w:szCs w:val="24"/>
        </w:rPr>
        <w:tab/>
        <w:t>需經事前審查以核准使用，每次申請事前審查以3個療程為限；首次再申請須檢附達到CR或PR的證明方可續用；其後續申請須證明疾病無惡化方可續用。若病情惡化即須停用。</w:t>
      </w:r>
    </w:p>
    <w:p w:rsidR="00DA176D" w:rsidRPr="00DA176D" w:rsidRDefault="00DA176D" w:rsidP="005142EB">
      <w:pPr>
        <w:spacing w:line="400" w:lineRule="exact"/>
        <w:ind w:left="794" w:hanging="284"/>
        <w:rPr>
          <w:rFonts w:ascii="標楷體" w:eastAsia="標楷體" w:hAnsi="標楷體"/>
          <w:szCs w:val="24"/>
        </w:rPr>
      </w:pPr>
      <w:r w:rsidRPr="00DA176D">
        <w:rPr>
          <w:rFonts w:ascii="標楷體" w:eastAsia="標楷體" w:hAnsi="標楷體" w:hint="eastAsia"/>
          <w:szCs w:val="24"/>
        </w:rPr>
        <w:t>3.</w:t>
      </w:r>
      <w:r w:rsidRPr="00DA176D">
        <w:rPr>
          <w:rFonts w:ascii="標楷體" w:eastAsia="標楷體" w:hAnsi="標楷體" w:hint="eastAsia"/>
          <w:szCs w:val="24"/>
        </w:rPr>
        <w:tab/>
        <w:t>總療程以12個療程為上限；每位病人一生限用一次連續療程(12個療程)，不得重複申請。</w:t>
      </w:r>
    </w:p>
    <w:p w:rsidR="00DA176D" w:rsidRPr="00DA176D" w:rsidRDefault="00DA176D" w:rsidP="005142EB">
      <w:pPr>
        <w:spacing w:line="400" w:lineRule="exact"/>
        <w:ind w:left="794" w:hanging="284"/>
        <w:rPr>
          <w:rFonts w:ascii="標楷體" w:eastAsia="標楷體" w:hAnsi="標楷體"/>
          <w:szCs w:val="24"/>
        </w:rPr>
      </w:pPr>
      <w:r w:rsidRPr="00DA176D">
        <w:rPr>
          <w:rFonts w:ascii="標楷體" w:eastAsia="標楷體" w:hAnsi="標楷體" w:hint="eastAsia"/>
          <w:szCs w:val="24"/>
        </w:rPr>
        <w:t>4.</w:t>
      </w:r>
      <w:r w:rsidRPr="00DA176D">
        <w:rPr>
          <w:rFonts w:ascii="標楷體" w:eastAsia="標楷體" w:hAnsi="標楷體" w:hint="eastAsia"/>
          <w:szCs w:val="24"/>
        </w:rPr>
        <w:tab/>
        <w:t>限以obinutuzumab 1,000mg作為療程之前置治療，僅用以降低療程中誘導細胞激素釋放症候群(CRS)的風險。</w:t>
      </w:r>
    </w:p>
    <w:p w:rsidR="00DA176D" w:rsidRPr="00DA176D" w:rsidRDefault="00DA176D" w:rsidP="005142EB">
      <w:pPr>
        <w:spacing w:line="400" w:lineRule="exact"/>
        <w:ind w:left="794" w:hanging="284"/>
        <w:rPr>
          <w:rFonts w:ascii="標楷體" w:eastAsia="標楷體" w:hAnsi="標楷體"/>
          <w:szCs w:val="24"/>
        </w:rPr>
      </w:pPr>
      <w:r w:rsidRPr="00DA176D">
        <w:rPr>
          <w:rFonts w:ascii="標楷體" w:eastAsia="標楷體" w:hAnsi="標楷體" w:hint="eastAsia"/>
          <w:szCs w:val="24"/>
        </w:rPr>
        <w:t>5.</w:t>
      </w:r>
      <w:r w:rsidRPr="00DA176D">
        <w:rPr>
          <w:rFonts w:ascii="標楷體" w:eastAsia="標楷體" w:hAnsi="標楷體" w:hint="eastAsia"/>
          <w:szCs w:val="24"/>
        </w:rPr>
        <w:tab/>
        <w:t>執行醫師須完全符合下列資格：</w:t>
      </w:r>
    </w:p>
    <w:p w:rsidR="00DA176D" w:rsidRPr="00DA176D" w:rsidRDefault="00DA176D" w:rsidP="00A33F1B">
      <w:pPr>
        <w:spacing w:line="400" w:lineRule="exact"/>
        <w:ind w:left="1134" w:hanging="386"/>
        <w:rPr>
          <w:rFonts w:ascii="標楷體" w:eastAsia="標楷體" w:hAnsi="標楷體"/>
          <w:color w:val="000000"/>
        </w:rPr>
      </w:pPr>
      <w:r w:rsidRPr="00DA176D">
        <w:rPr>
          <w:rFonts w:ascii="標楷體" w:eastAsia="標楷體" w:hAnsi="標楷體"/>
          <w:color w:val="000000"/>
        </w:rPr>
        <w:t>(1)</w:t>
      </w:r>
      <w:r w:rsidRPr="00DA176D">
        <w:rPr>
          <w:rFonts w:ascii="標楷體" w:eastAsia="標楷體" w:hAnsi="標楷體" w:hint="eastAsia"/>
          <w:color w:val="000000"/>
        </w:rPr>
        <w:t>醫師必須為血液病或造血幹細胞移植專科醫師且須完成血液病或造血幹細胞移植的相關照護訓練。</w:t>
      </w:r>
    </w:p>
    <w:p w:rsidR="00DA176D" w:rsidRPr="00DA176D" w:rsidRDefault="00DA176D" w:rsidP="00A33F1B">
      <w:pPr>
        <w:spacing w:line="400" w:lineRule="exact"/>
        <w:ind w:left="1134" w:hanging="386"/>
        <w:rPr>
          <w:rFonts w:ascii="標楷體" w:eastAsia="標楷體" w:hAnsi="標楷體"/>
          <w:color w:val="000000"/>
        </w:rPr>
      </w:pPr>
      <w:r w:rsidRPr="00DA176D">
        <w:rPr>
          <w:rFonts w:ascii="標楷體" w:eastAsia="標楷體" w:hAnsi="標楷體" w:hint="eastAsia"/>
          <w:color w:val="000000"/>
        </w:rPr>
        <w:t>(2)每兩年接受至少6小時中華民國血液及骨髓移植學會或中華民國血液病學會舉辦之雙特異性抗體相關治療教育訓練。</w:t>
      </w:r>
    </w:p>
    <w:p w:rsidR="00DA176D" w:rsidRPr="00DA176D" w:rsidRDefault="00DA176D" w:rsidP="005142EB">
      <w:pPr>
        <w:spacing w:line="400" w:lineRule="exact"/>
        <w:ind w:left="794" w:hanging="284"/>
        <w:rPr>
          <w:rFonts w:ascii="標楷體" w:eastAsia="標楷體" w:hAnsi="標楷體"/>
          <w:szCs w:val="24"/>
        </w:rPr>
      </w:pPr>
      <w:r w:rsidRPr="00DA176D">
        <w:rPr>
          <w:rFonts w:ascii="標楷體" w:eastAsia="標楷體" w:hAnsi="標楷體" w:hint="eastAsia"/>
          <w:szCs w:val="24"/>
        </w:rPr>
        <w:t>6.</w:t>
      </w:r>
      <w:r w:rsidRPr="00DA176D">
        <w:rPr>
          <w:rFonts w:ascii="標楷體" w:eastAsia="標楷體" w:hAnsi="標楷體" w:hint="eastAsia"/>
          <w:szCs w:val="24"/>
        </w:rPr>
        <w:tab/>
        <w:t>本藥品、polatuzumab vedotin及 epcoritamab僅得擇一給付，治療失敗後不得互換。</w:t>
      </w:r>
    </w:p>
    <w:p w:rsidR="004C2511" w:rsidRPr="004C2511" w:rsidRDefault="004C2511" w:rsidP="005142EB">
      <w:pPr>
        <w:spacing w:line="400" w:lineRule="exact"/>
        <w:rPr>
          <w:rFonts w:ascii="標楷體" w:eastAsia="標楷體" w:hAnsi="標楷體"/>
          <w:kern w:val="2"/>
          <w:szCs w:val="24"/>
        </w:rPr>
      </w:pPr>
      <w:r w:rsidRPr="004C2511">
        <w:rPr>
          <w:rFonts w:ascii="標楷體" w:eastAsia="標楷體" w:hAnsi="標楷體"/>
          <w:kern w:val="0"/>
          <w:szCs w:val="24"/>
        </w:rPr>
        <w:t>9.</w:t>
      </w:r>
      <w:r w:rsidRPr="004C2511">
        <w:rPr>
          <w:rFonts w:ascii="標楷體" w:eastAsia="標楷體" w:hAnsi="標楷體"/>
          <w:kern w:val="2"/>
          <w:szCs w:val="24"/>
        </w:rPr>
        <w:t>121</w:t>
      </w:r>
      <w:r w:rsidRPr="004C2511">
        <w:rPr>
          <w:rFonts w:ascii="標楷體" w:eastAsia="標楷體" w:hAnsi="標楷體"/>
          <w:kern w:val="0"/>
          <w:szCs w:val="24"/>
        </w:rPr>
        <w:t>.Epcoritamab (</w:t>
      </w:r>
      <w:r w:rsidRPr="004C2511">
        <w:rPr>
          <w:rFonts w:ascii="標楷體" w:eastAsia="標楷體" w:hAnsi="標楷體" w:hint="eastAsia"/>
          <w:kern w:val="0"/>
          <w:szCs w:val="24"/>
        </w:rPr>
        <w:t>如</w:t>
      </w:r>
      <w:r w:rsidRPr="004C2511">
        <w:rPr>
          <w:rFonts w:ascii="標楷體" w:eastAsia="標楷體" w:hAnsi="標楷體"/>
          <w:kern w:val="0"/>
          <w:szCs w:val="24"/>
        </w:rPr>
        <w:t>Epkinly)</w:t>
      </w:r>
      <w:r w:rsidRPr="004C2511">
        <w:rPr>
          <w:rFonts w:ascii="標楷體" w:eastAsia="標楷體" w:hAnsi="標楷體" w:hint="eastAsia"/>
          <w:kern w:val="0"/>
          <w:szCs w:val="24"/>
        </w:rPr>
        <w:t>：</w:t>
      </w:r>
      <w:r w:rsidRPr="004C2511">
        <w:rPr>
          <w:rFonts w:ascii="標楷體" w:eastAsia="標楷體" w:hAnsi="標楷體"/>
          <w:kern w:val="0"/>
          <w:szCs w:val="24"/>
        </w:rPr>
        <w:t>(</w:t>
      </w:r>
      <w:r w:rsidRPr="004C2511">
        <w:rPr>
          <w:rFonts w:ascii="標楷體" w:eastAsia="標楷體" w:hAnsi="標楷體"/>
          <w:kern w:val="2"/>
          <w:szCs w:val="24"/>
        </w:rPr>
        <w:t>114</w:t>
      </w:r>
      <w:r w:rsidRPr="004C2511">
        <w:rPr>
          <w:rFonts w:ascii="標楷體" w:eastAsia="標楷體" w:hAnsi="標楷體"/>
          <w:kern w:val="0"/>
          <w:szCs w:val="24"/>
        </w:rPr>
        <w:t>/</w:t>
      </w:r>
      <w:r w:rsidRPr="004C2511">
        <w:rPr>
          <w:rFonts w:ascii="標楷體" w:eastAsia="標楷體" w:hAnsi="標楷體"/>
          <w:kern w:val="2"/>
          <w:szCs w:val="24"/>
        </w:rPr>
        <w:t>8</w:t>
      </w:r>
      <w:r w:rsidRPr="004C2511">
        <w:rPr>
          <w:rFonts w:ascii="標楷體" w:eastAsia="標楷體" w:hAnsi="標楷體"/>
          <w:kern w:val="0"/>
          <w:szCs w:val="24"/>
        </w:rPr>
        <w:t>/1)</w:t>
      </w:r>
    </w:p>
    <w:p w:rsidR="004C2511" w:rsidRPr="004C2511" w:rsidRDefault="004C2511" w:rsidP="005142EB">
      <w:pPr>
        <w:spacing w:line="400" w:lineRule="exact"/>
        <w:ind w:leftChars="118" w:left="566" w:hangingChars="118" w:hanging="283"/>
        <w:rPr>
          <w:rFonts w:ascii="標楷體" w:eastAsia="標楷體" w:hAnsi="標楷體"/>
          <w:kern w:val="2"/>
          <w:szCs w:val="24"/>
        </w:rPr>
      </w:pPr>
      <w:r w:rsidRPr="004C2511">
        <w:rPr>
          <w:rFonts w:ascii="標楷體" w:eastAsia="標楷體" w:hAnsi="標楷體"/>
          <w:kern w:val="2"/>
          <w:szCs w:val="24"/>
        </w:rPr>
        <w:t>1.</w:t>
      </w:r>
      <w:r w:rsidRPr="004C2511">
        <w:rPr>
          <w:rFonts w:ascii="標楷體" w:eastAsia="標楷體" w:hAnsi="標楷體" w:hint="eastAsia"/>
          <w:kern w:val="2"/>
          <w:szCs w:val="24"/>
        </w:rPr>
        <w:t>適用於治療先前曾接受至少兩線全身治療之復發性或難治性瀰漫性大</w:t>
      </w:r>
      <w:r w:rsidRPr="004C2511">
        <w:rPr>
          <w:rFonts w:ascii="標楷體" w:eastAsia="標楷體" w:hAnsi="標楷體"/>
          <w:kern w:val="2"/>
          <w:szCs w:val="24"/>
        </w:rPr>
        <w:t>B</w:t>
      </w:r>
      <w:r w:rsidRPr="004C2511">
        <w:rPr>
          <w:rFonts w:ascii="標楷體" w:eastAsia="標楷體" w:hAnsi="標楷體" w:hint="eastAsia"/>
          <w:kern w:val="2"/>
          <w:szCs w:val="24"/>
        </w:rPr>
        <w:t>細胞淋巴瘤</w:t>
      </w:r>
      <w:r w:rsidRPr="004C2511">
        <w:rPr>
          <w:rFonts w:ascii="標楷體" w:eastAsia="標楷體" w:hAnsi="標楷體"/>
          <w:kern w:val="2"/>
          <w:szCs w:val="24"/>
        </w:rPr>
        <w:t xml:space="preserve"> (DLBCL) </w:t>
      </w:r>
      <w:r w:rsidRPr="004C2511">
        <w:rPr>
          <w:rFonts w:ascii="標楷體" w:eastAsia="標楷體" w:hAnsi="標楷體" w:hint="eastAsia"/>
          <w:kern w:val="2"/>
          <w:szCs w:val="24"/>
        </w:rPr>
        <w:t>的成人病人，且須完全符合以下條件：</w:t>
      </w:r>
    </w:p>
    <w:p w:rsidR="004C2511" w:rsidRPr="00A33F1B" w:rsidRDefault="004C2511" w:rsidP="00A33F1B">
      <w:pPr>
        <w:spacing w:line="400" w:lineRule="exact"/>
        <w:ind w:left="851" w:hanging="386"/>
        <w:rPr>
          <w:rFonts w:ascii="標楷體" w:eastAsia="標楷體" w:hAnsi="標楷體"/>
          <w:color w:val="000000"/>
        </w:rPr>
      </w:pPr>
      <w:r w:rsidRPr="004C2511">
        <w:rPr>
          <w:rFonts w:ascii="標楷體" w:eastAsia="標楷體" w:hAnsi="標楷體"/>
          <w:kern w:val="2"/>
          <w:szCs w:val="24"/>
        </w:rPr>
        <w:t>(1)</w:t>
      </w:r>
      <w:r w:rsidRPr="004C2511">
        <w:rPr>
          <w:rFonts w:ascii="標楷體" w:eastAsia="標楷體" w:hAnsi="標楷體" w:hint="eastAsia"/>
          <w:kern w:val="2"/>
          <w:szCs w:val="24"/>
        </w:rPr>
        <w:t>具</w:t>
      </w:r>
      <w:r w:rsidRPr="004C2511">
        <w:rPr>
          <w:rFonts w:ascii="標楷體" w:eastAsia="標楷體" w:hAnsi="標楷體"/>
          <w:kern w:val="2"/>
          <w:szCs w:val="24"/>
        </w:rPr>
        <w:t>CD20</w:t>
      </w:r>
      <w:r w:rsidRPr="004C2511">
        <w:rPr>
          <w:rFonts w:ascii="標楷體" w:eastAsia="標楷體" w:hAnsi="標楷體" w:hint="eastAsia"/>
          <w:kern w:val="2"/>
          <w:szCs w:val="24"/>
        </w:rPr>
        <w:t>抗</w:t>
      </w:r>
      <w:r w:rsidRPr="00A33F1B">
        <w:rPr>
          <w:rFonts w:ascii="標楷體" w:eastAsia="標楷體" w:hAnsi="標楷體" w:hint="eastAsia"/>
          <w:color w:val="000000"/>
        </w:rPr>
        <w:t>原陽性。</w:t>
      </w:r>
    </w:p>
    <w:p w:rsidR="004C2511" w:rsidRPr="00A33F1B" w:rsidRDefault="004C2511" w:rsidP="00A33F1B">
      <w:pPr>
        <w:spacing w:line="400" w:lineRule="exact"/>
        <w:ind w:left="851" w:hanging="386"/>
        <w:rPr>
          <w:rFonts w:ascii="標楷體" w:eastAsia="標楷體" w:hAnsi="標楷體"/>
          <w:kern w:val="2"/>
          <w:szCs w:val="24"/>
        </w:rPr>
      </w:pPr>
      <w:r w:rsidRPr="00A33F1B">
        <w:rPr>
          <w:rFonts w:ascii="標楷體" w:eastAsia="標楷體" w:hAnsi="標楷體"/>
          <w:color w:val="000000"/>
        </w:rPr>
        <w:t>(2)</w:t>
      </w:r>
      <w:r w:rsidRPr="00A33F1B">
        <w:rPr>
          <w:rFonts w:ascii="標楷體" w:eastAsia="標楷體" w:hAnsi="標楷體" w:hint="eastAsia"/>
          <w:color w:val="000000"/>
        </w:rPr>
        <w:t>一線</w:t>
      </w:r>
      <w:r w:rsidRPr="00A33F1B">
        <w:rPr>
          <w:rFonts w:ascii="標楷體" w:eastAsia="標楷體" w:hAnsi="標楷體" w:hint="eastAsia"/>
          <w:kern w:val="2"/>
          <w:szCs w:val="24"/>
        </w:rPr>
        <w:t>曾接受</w:t>
      </w:r>
      <w:r w:rsidRPr="00A33F1B">
        <w:rPr>
          <w:rFonts w:ascii="標楷體" w:eastAsia="標楷體" w:hAnsi="標楷體"/>
          <w:kern w:val="2"/>
          <w:szCs w:val="24"/>
        </w:rPr>
        <w:t>rituximab</w:t>
      </w:r>
      <w:r w:rsidRPr="00A33F1B">
        <w:rPr>
          <w:rFonts w:ascii="標楷體" w:eastAsia="標楷體" w:hAnsi="標楷體" w:hint="eastAsia"/>
          <w:kern w:val="2"/>
          <w:szCs w:val="24"/>
        </w:rPr>
        <w:t>合併化學治療</w:t>
      </w:r>
      <w:r w:rsidRPr="00A33F1B">
        <w:rPr>
          <w:rFonts w:ascii="標楷體" w:eastAsia="標楷體" w:hAnsi="標楷體"/>
          <w:kern w:val="2"/>
          <w:szCs w:val="24"/>
        </w:rPr>
        <w:t>(</w:t>
      </w:r>
      <w:r w:rsidRPr="00A33F1B">
        <w:rPr>
          <w:rFonts w:ascii="標楷體" w:eastAsia="標楷體" w:hAnsi="標楷體" w:hint="eastAsia"/>
          <w:kern w:val="2"/>
          <w:szCs w:val="24"/>
        </w:rPr>
        <w:t>包含</w:t>
      </w:r>
      <w:r w:rsidRPr="00A33F1B">
        <w:rPr>
          <w:rFonts w:ascii="標楷體" w:eastAsia="標楷體" w:hAnsi="標楷體"/>
          <w:kern w:val="2"/>
          <w:szCs w:val="24"/>
        </w:rPr>
        <w:t>CD20)</w:t>
      </w:r>
      <w:r w:rsidRPr="00A33F1B">
        <w:rPr>
          <w:rFonts w:ascii="標楷體" w:eastAsia="標楷體" w:hAnsi="標楷體" w:hint="eastAsia"/>
          <w:kern w:val="2"/>
          <w:szCs w:val="24"/>
        </w:rPr>
        <w:t>，及含有</w:t>
      </w:r>
      <w:r w:rsidRPr="00A33F1B">
        <w:rPr>
          <w:rFonts w:ascii="標楷體" w:eastAsia="標楷體" w:hAnsi="標楷體"/>
          <w:kern w:val="2"/>
          <w:szCs w:val="24"/>
        </w:rPr>
        <w:t>anthracycline</w:t>
      </w:r>
      <w:r w:rsidRPr="00A33F1B">
        <w:rPr>
          <w:rFonts w:ascii="標楷體" w:eastAsia="標楷體" w:hAnsi="標楷體" w:hint="eastAsia"/>
          <w:kern w:val="2"/>
          <w:szCs w:val="24"/>
        </w:rPr>
        <w:t>類藥物的治療，治療四個療程以上復發或是於治療中發生疾病惡化者。</w:t>
      </w:r>
    </w:p>
    <w:p w:rsidR="004C2511" w:rsidRPr="004C2511" w:rsidRDefault="004C2511" w:rsidP="00A33F1B">
      <w:pPr>
        <w:spacing w:line="400" w:lineRule="exact"/>
        <w:ind w:left="851" w:hanging="386"/>
        <w:rPr>
          <w:rFonts w:ascii="標楷體" w:eastAsia="標楷體" w:hAnsi="標楷體"/>
          <w:kern w:val="2"/>
          <w:szCs w:val="24"/>
        </w:rPr>
      </w:pPr>
      <w:r w:rsidRPr="00A33F1B">
        <w:rPr>
          <w:rFonts w:ascii="標楷體" w:eastAsia="標楷體" w:hAnsi="標楷體" w:hint="eastAsia"/>
          <w:kern w:val="2"/>
          <w:szCs w:val="24"/>
        </w:rPr>
        <w:t>(3)救援治療需</w:t>
      </w:r>
      <w:r w:rsidRPr="004C2511">
        <w:rPr>
          <w:rFonts w:ascii="標楷體" w:eastAsia="標楷體" w:hAnsi="標楷體" w:hint="eastAsia"/>
          <w:kern w:val="2"/>
          <w:szCs w:val="24"/>
        </w:rPr>
        <w:t>符合以下任一條件：</w:t>
      </w:r>
    </w:p>
    <w:p w:rsidR="004C2511" w:rsidRPr="004C2511" w:rsidRDefault="004C2511" w:rsidP="00A33F1B">
      <w:pPr>
        <w:spacing w:line="400" w:lineRule="exact"/>
        <w:ind w:leftChars="421" w:left="1132" w:hangingChars="51" w:hanging="122"/>
        <w:rPr>
          <w:rFonts w:ascii="標楷體" w:eastAsia="標楷體" w:hAnsi="標楷體"/>
          <w:kern w:val="2"/>
          <w:szCs w:val="24"/>
        </w:rPr>
      </w:pPr>
      <w:r w:rsidRPr="004C2511">
        <w:rPr>
          <w:rFonts w:ascii="標楷體" w:eastAsia="標楷體" w:hAnsi="標楷體" w:hint="eastAsia"/>
          <w:kern w:val="2"/>
          <w:szCs w:val="24"/>
        </w:rPr>
        <w:t>Ⅰ</w:t>
      </w:r>
      <w:r w:rsidRPr="004C2511">
        <w:rPr>
          <w:rFonts w:ascii="標楷體" w:eastAsia="標楷體" w:hAnsi="標楷體"/>
          <w:kern w:val="2"/>
          <w:szCs w:val="24"/>
        </w:rPr>
        <w:t>.</w:t>
      </w:r>
      <w:r w:rsidRPr="004C2511">
        <w:rPr>
          <w:rFonts w:ascii="標楷體" w:eastAsia="標楷體" w:hAnsi="標楷體" w:hint="eastAsia"/>
          <w:kern w:val="2"/>
          <w:szCs w:val="24"/>
        </w:rPr>
        <w:t>治療二個療程以上復發或是於治療中發生疾病惡化者。</w:t>
      </w:r>
    </w:p>
    <w:p w:rsidR="004C2511" w:rsidRPr="004C2511" w:rsidRDefault="004C2511" w:rsidP="00A33F1B">
      <w:pPr>
        <w:spacing w:line="400" w:lineRule="exact"/>
        <w:ind w:leftChars="421" w:left="1132" w:hangingChars="51" w:hanging="122"/>
        <w:rPr>
          <w:rFonts w:ascii="標楷體" w:eastAsia="標楷體" w:hAnsi="標楷體"/>
          <w:kern w:val="2"/>
          <w:szCs w:val="24"/>
        </w:rPr>
      </w:pPr>
      <w:r w:rsidRPr="004C2511">
        <w:rPr>
          <w:rFonts w:ascii="標楷體" w:eastAsia="標楷體" w:hAnsi="標楷體" w:hint="eastAsia"/>
          <w:kern w:val="2"/>
          <w:szCs w:val="24"/>
        </w:rPr>
        <w:t>Ⅱ</w:t>
      </w:r>
      <w:r w:rsidRPr="004C2511">
        <w:rPr>
          <w:rFonts w:ascii="標楷體" w:eastAsia="標楷體" w:hAnsi="標楷體"/>
          <w:kern w:val="2"/>
          <w:szCs w:val="24"/>
        </w:rPr>
        <w:t>.</w:t>
      </w:r>
      <w:r w:rsidRPr="004C2511">
        <w:rPr>
          <w:rFonts w:ascii="標楷體" w:eastAsia="標楷體" w:hAnsi="標楷體" w:hint="eastAsia"/>
          <w:kern w:val="2"/>
          <w:szCs w:val="24"/>
        </w:rPr>
        <w:t>經造血幹細胞移植治療失敗者。</w:t>
      </w:r>
    </w:p>
    <w:p w:rsidR="004C2511" w:rsidRPr="00A33F1B" w:rsidRDefault="004C2511" w:rsidP="00A33F1B">
      <w:pPr>
        <w:spacing w:line="400" w:lineRule="exact"/>
        <w:ind w:left="851" w:hanging="386"/>
        <w:rPr>
          <w:rFonts w:ascii="標楷體" w:eastAsia="標楷體" w:hAnsi="標楷體"/>
          <w:kern w:val="2"/>
          <w:szCs w:val="24"/>
        </w:rPr>
      </w:pPr>
      <w:r w:rsidRPr="004C2511">
        <w:rPr>
          <w:rFonts w:ascii="標楷體" w:eastAsia="標楷體" w:hAnsi="標楷體"/>
          <w:kern w:val="2"/>
          <w:szCs w:val="24"/>
        </w:rPr>
        <w:t>(4)ECOG</w:t>
      </w:r>
      <w:r w:rsidRPr="004C2511">
        <w:rPr>
          <w:rFonts w:ascii="標楷體" w:eastAsia="標楷體" w:hAnsi="標楷體" w:hint="eastAsia"/>
          <w:kern w:val="2"/>
          <w:szCs w:val="24"/>
        </w:rPr>
        <w:t>為</w:t>
      </w:r>
      <w:r w:rsidRPr="00A33F1B">
        <w:rPr>
          <w:rFonts w:ascii="標楷體" w:eastAsia="標楷體" w:hAnsi="標楷體"/>
          <w:kern w:val="2"/>
          <w:szCs w:val="24"/>
        </w:rPr>
        <w:t>0</w:t>
      </w:r>
      <w:r w:rsidRPr="00A33F1B">
        <w:rPr>
          <w:rFonts w:ascii="標楷體" w:eastAsia="標楷體" w:hAnsi="標楷體" w:hint="eastAsia"/>
          <w:kern w:val="2"/>
          <w:szCs w:val="24"/>
        </w:rPr>
        <w:t>或</w:t>
      </w:r>
      <w:r w:rsidRPr="00A33F1B">
        <w:rPr>
          <w:rFonts w:ascii="標楷體" w:eastAsia="標楷體" w:hAnsi="標楷體"/>
          <w:kern w:val="2"/>
          <w:szCs w:val="24"/>
        </w:rPr>
        <w:t>1</w:t>
      </w:r>
      <w:r w:rsidRPr="00A33F1B">
        <w:rPr>
          <w:rFonts w:ascii="標楷體" w:eastAsia="標楷體" w:hAnsi="標楷體" w:hint="eastAsia"/>
          <w:kern w:val="2"/>
          <w:szCs w:val="24"/>
        </w:rPr>
        <w:t>。</w:t>
      </w:r>
    </w:p>
    <w:p w:rsidR="004C2511" w:rsidRPr="004C2511" w:rsidRDefault="004C2511" w:rsidP="00A33F1B">
      <w:pPr>
        <w:spacing w:line="400" w:lineRule="exact"/>
        <w:ind w:left="851" w:hanging="386"/>
        <w:rPr>
          <w:rFonts w:ascii="標楷體" w:eastAsia="標楷體" w:hAnsi="標楷體"/>
          <w:kern w:val="2"/>
          <w:szCs w:val="24"/>
        </w:rPr>
      </w:pPr>
      <w:r w:rsidRPr="00A33F1B">
        <w:rPr>
          <w:rFonts w:ascii="標楷體" w:eastAsia="標楷體" w:hAnsi="標楷體"/>
          <w:kern w:val="2"/>
          <w:szCs w:val="24"/>
        </w:rPr>
        <w:t>(5)</w:t>
      </w:r>
      <w:r w:rsidRPr="00A33F1B">
        <w:rPr>
          <w:rFonts w:ascii="標楷體" w:eastAsia="標楷體" w:hAnsi="標楷體" w:hint="eastAsia"/>
          <w:kern w:val="2"/>
          <w:szCs w:val="24"/>
        </w:rPr>
        <w:t>病人</w:t>
      </w:r>
      <w:r w:rsidRPr="00A33F1B">
        <w:rPr>
          <w:rFonts w:ascii="標楷體" w:eastAsia="標楷體" w:hAnsi="標楷體" w:hint="eastAsia"/>
          <w:color w:val="000000"/>
        </w:rPr>
        <w:t>不</w:t>
      </w:r>
      <w:r w:rsidRPr="004C2511">
        <w:rPr>
          <w:rFonts w:ascii="標楷體" w:eastAsia="標楷體" w:hAnsi="標楷體" w:hint="eastAsia"/>
          <w:kern w:val="2"/>
          <w:szCs w:val="24"/>
        </w:rPr>
        <w:t>得有以下任一疾病</w:t>
      </w:r>
      <w:r w:rsidRPr="004C2511">
        <w:rPr>
          <w:rFonts w:ascii="標楷體" w:eastAsia="標楷體" w:hAnsi="標楷體"/>
          <w:kern w:val="2"/>
          <w:szCs w:val="24"/>
        </w:rPr>
        <w:t>:</w:t>
      </w:r>
    </w:p>
    <w:p w:rsidR="004C2511" w:rsidRPr="004C2511" w:rsidRDefault="004C2511" w:rsidP="00A33F1B">
      <w:pPr>
        <w:spacing w:line="400" w:lineRule="exact"/>
        <w:ind w:leftChars="421" w:left="1132" w:hangingChars="51" w:hanging="122"/>
        <w:rPr>
          <w:rFonts w:ascii="標楷體" w:eastAsia="標楷體" w:hAnsi="標楷體"/>
          <w:kern w:val="2"/>
          <w:szCs w:val="24"/>
        </w:rPr>
      </w:pPr>
      <w:r w:rsidRPr="004C2511">
        <w:rPr>
          <w:rFonts w:ascii="標楷體" w:eastAsia="標楷體" w:hAnsi="標楷體" w:hint="eastAsia"/>
          <w:kern w:val="2"/>
          <w:szCs w:val="24"/>
        </w:rPr>
        <w:lastRenderedPageBreak/>
        <w:t>Ⅰ</w:t>
      </w:r>
      <w:r w:rsidRPr="004C2511">
        <w:rPr>
          <w:rFonts w:ascii="標楷體" w:eastAsia="標楷體" w:hAnsi="標楷體"/>
          <w:kern w:val="2"/>
          <w:szCs w:val="24"/>
        </w:rPr>
        <w:t>.</w:t>
      </w:r>
      <w:r w:rsidRPr="004C2511">
        <w:rPr>
          <w:rFonts w:ascii="標楷體" w:eastAsia="標楷體" w:hAnsi="標楷體" w:hint="eastAsia"/>
          <w:kern w:val="2"/>
          <w:szCs w:val="24"/>
        </w:rPr>
        <w:t>中樞神經系統淋巴瘤或中樞神經疾病。</w:t>
      </w:r>
    </w:p>
    <w:p w:rsidR="004C2511" w:rsidRPr="004C2511" w:rsidRDefault="004C2511" w:rsidP="00A33F1B">
      <w:pPr>
        <w:spacing w:line="400" w:lineRule="exact"/>
        <w:ind w:leftChars="421" w:left="1132" w:hangingChars="51" w:hanging="122"/>
        <w:rPr>
          <w:rFonts w:ascii="標楷體" w:eastAsia="標楷體" w:hAnsi="標楷體"/>
          <w:kern w:val="2"/>
          <w:szCs w:val="24"/>
        </w:rPr>
      </w:pPr>
      <w:r w:rsidRPr="004C2511">
        <w:rPr>
          <w:rFonts w:ascii="標楷體" w:eastAsia="標楷體" w:hAnsi="標楷體" w:hint="eastAsia"/>
          <w:kern w:val="2"/>
          <w:szCs w:val="24"/>
        </w:rPr>
        <w:t>Ⅱ</w:t>
      </w:r>
      <w:r w:rsidRPr="004C2511">
        <w:rPr>
          <w:rFonts w:ascii="標楷體" w:eastAsia="標楷體" w:hAnsi="標楷體"/>
          <w:kern w:val="2"/>
          <w:szCs w:val="24"/>
        </w:rPr>
        <w:t>.</w:t>
      </w:r>
      <w:r w:rsidRPr="004C2511">
        <w:rPr>
          <w:rFonts w:ascii="標楷體" w:eastAsia="標楷體" w:hAnsi="標楷體" w:hint="eastAsia"/>
          <w:kern w:val="2"/>
          <w:szCs w:val="24"/>
        </w:rPr>
        <w:t>嚴重的心血管疾病，如</w:t>
      </w:r>
      <w:r w:rsidRPr="004C2511">
        <w:rPr>
          <w:rFonts w:ascii="標楷體" w:eastAsia="標楷體" w:hAnsi="標楷體"/>
          <w:kern w:val="2"/>
          <w:szCs w:val="24"/>
        </w:rPr>
        <w:t xml:space="preserve">NYHA (New York Heart Association) Class </w:t>
      </w:r>
      <w:r w:rsidRPr="004C2511">
        <w:rPr>
          <w:rFonts w:ascii="標楷體" w:eastAsia="標楷體" w:hAnsi="標楷體" w:hint="eastAsia"/>
          <w:kern w:val="2"/>
          <w:szCs w:val="24"/>
        </w:rPr>
        <w:t>Ⅲ或Ⅳ。</w:t>
      </w:r>
    </w:p>
    <w:p w:rsidR="004C2511" w:rsidRPr="004C2511" w:rsidRDefault="004C2511" w:rsidP="00A33F1B">
      <w:pPr>
        <w:spacing w:line="400" w:lineRule="exact"/>
        <w:ind w:leftChars="421" w:left="1132" w:hangingChars="51" w:hanging="122"/>
        <w:rPr>
          <w:rFonts w:ascii="標楷體" w:eastAsia="標楷體" w:hAnsi="標楷體"/>
          <w:kern w:val="2"/>
          <w:szCs w:val="24"/>
        </w:rPr>
      </w:pPr>
      <w:r w:rsidRPr="004C2511">
        <w:rPr>
          <w:rFonts w:ascii="標楷體" w:eastAsia="標楷體" w:hAnsi="標楷體" w:hint="eastAsia"/>
          <w:kern w:val="2"/>
          <w:szCs w:val="24"/>
        </w:rPr>
        <w:t>Ⅲ</w:t>
      </w:r>
      <w:r w:rsidRPr="004C2511">
        <w:rPr>
          <w:rFonts w:ascii="標楷體" w:eastAsia="標楷體" w:hAnsi="標楷體"/>
          <w:kern w:val="2"/>
          <w:szCs w:val="24"/>
        </w:rPr>
        <w:t>.</w:t>
      </w:r>
      <w:r w:rsidRPr="004C2511">
        <w:rPr>
          <w:rFonts w:ascii="標楷體" w:eastAsia="標楷體" w:hAnsi="標楷體" w:hint="eastAsia"/>
          <w:kern w:val="2"/>
          <w:szCs w:val="24"/>
        </w:rPr>
        <w:t>自體免疫疾病正積極治療者。</w:t>
      </w:r>
    </w:p>
    <w:p w:rsidR="004C2511" w:rsidRPr="004C2511" w:rsidRDefault="004C2511" w:rsidP="005142EB">
      <w:pPr>
        <w:spacing w:line="400" w:lineRule="exact"/>
        <w:ind w:leftChars="118" w:left="566" w:hangingChars="118" w:hanging="283"/>
        <w:rPr>
          <w:rFonts w:ascii="標楷體" w:eastAsia="標楷體" w:hAnsi="標楷體"/>
          <w:kern w:val="2"/>
          <w:szCs w:val="24"/>
        </w:rPr>
      </w:pPr>
      <w:r w:rsidRPr="004C2511">
        <w:rPr>
          <w:rFonts w:ascii="標楷體" w:eastAsia="標楷體" w:hAnsi="標楷體"/>
          <w:kern w:val="2"/>
          <w:szCs w:val="24"/>
        </w:rPr>
        <w:t>2.</w:t>
      </w:r>
      <w:r w:rsidRPr="004C2511">
        <w:rPr>
          <w:rFonts w:ascii="標楷體" w:eastAsia="標楷體" w:hAnsi="標楷體" w:hint="eastAsia"/>
          <w:kern w:val="2"/>
          <w:szCs w:val="24"/>
        </w:rPr>
        <w:t>須經事前審查以核准使用，每次申請事前審查以</w:t>
      </w:r>
      <w:r w:rsidRPr="004C2511">
        <w:rPr>
          <w:rFonts w:ascii="標楷體" w:eastAsia="標楷體" w:hAnsi="標楷體"/>
          <w:kern w:val="2"/>
          <w:szCs w:val="24"/>
        </w:rPr>
        <w:t>3</w:t>
      </w:r>
      <w:r w:rsidRPr="004C2511">
        <w:rPr>
          <w:rFonts w:ascii="標楷體" w:eastAsia="標楷體" w:hAnsi="標楷體" w:hint="eastAsia"/>
          <w:kern w:val="2"/>
          <w:szCs w:val="24"/>
        </w:rPr>
        <w:t>個療程為限；首次再申請須檢附達到</w:t>
      </w:r>
      <w:r w:rsidRPr="004C2511">
        <w:rPr>
          <w:rFonts w:ascii="標楷體" w:eastAsia="標楷體" w:hAnsi="標楷體"/>
          <w:kern w:val="2"/>
          <w:szCs w:val="24"/>
        </w:rPr>
        <w:t>CR</w:t>
      </w:r>
      <w:r w:rsidRPr="004C2511">
        <w:rPr>
          <w:rFonts w:ascii="標楷體" w:eastAsia="標楷體" w:hAnsi="標楷體" w:hint="eastAsia"/>
          <w:kern w:val="2"/>
          <w:szCs w:val="24"/>
        </w:rPr>
        <w:t>或</w:t>
      </w:r>
      <w:r w:rsidRPr="004C2511">
        <w:rPr>
          <w:rFonts w:ascii="標楷體" w:eastAsia="標楷體" w:hAnsi="標楷體"/>
          <w:kern w:val="2"/>
          <w:szCs w:val="24"/>
        </w:rPr>
        <w:t>PR</w:t>
      </w:r>
      <w:r w:rsidRPr="004C2511">
        <w:rPr>
          <w:rFonts w:ascii="標楷體" w:eastAsia="標楷體" w:hAnsi="標楷體" w:hint="eastAsia"/>
          <w:kern w:val="2"/>
          <w:szCs w:val="24"/>
        </w:rPr>
        <w:t>的證明方可續用；其後續申請須證明疾病無惡化方可續用。若病情惡化即須停用。</w:t>
      </w:r>
    </w:p>
    <w:p w:rsidR="004C2511" w:rsidRPr="00A33F1B" w:rsidRDefault="004C2511" w:rsidP="005142EB">
      <w:pPr>
        <w:spacing w:line="400" w:lineRule="exact"/>
        <w:ind w:leftChars="118" w:left="566" w:hangingChars="118" w:hanging="283"/>
        <w:rPr>
          <w:rFonts w:ascii="標楷體" w:eastAsia="標楷體" w:hAnsi="標楷體"/>
          <w:kern w:val="2"/>
          <w:szCs w:val="24"/>
        </w:rPr>
      </w:pPr>
      <w:r w:rsidRPr="004C2511">
        <w:rPr>
          <w:rFonts w:ascii="標楷體" w:eastAsia="標楷體" w:hAnsi="標楷體"/>
          <w:kern w:val="2"/>
          <w:szCs w:val="24"/>
        </w:rPr>
        <w:t>3.</w:t>
      </w:r>
      <w:r w:rsidRPr="004C2511">
        <w:rPr>
          <w:rFonts w:ascii="標楷體" w:eastAsia="標楷體" w:hAnsi="標楷體" w:hint="eastAsia"/>
          <w:kern w:val="2"/>
          <w:szCs w:val="24"/>
        </w:rPr>
        <w:t>總療程以</w:t>
      </w:r>
      <w:r w:rsidRPr="004C2511">
        <w:rPr>
          <w:rFonts w:ascii="標楷體" w:eastAsia="標楷體" w:hAnsi="標楷體"/>
          <w:kern w:val="2"/>
          <w:szCs w:val="24"/>
        </w:rPr>
        <w:t>12</w:t>
      </w:r>
      <w:r w:rsidRPr="004C2511">
        <w:rPr>
          <w:rFonts w:ascii="標楷體" w:eastAsia="標楷體" w:hAnsi="標楷體" w:hint="eastAsia"/>
          <w:kern w:val="2"/>
          <w:szCs w:val="24"/>
        </w:rPr>
        <w:t>個療程為上限；每位病人一生限用一次連續療程</w:t>
      </w:r>
      <w:r w:rsidRPr="004C2511">
        <w:rPr>
          <w:rFonts w:ascii="標楷體" w:eastAsia="標楷體" w:hAnsi="標楷體"/>
          <w:kern w:val="2"/>
          <w:szCs w:val="24"/>
        </w:rPr>
        <w:t>(12</w:t>
      </w:r>
      <w:r w:rsidRPr="004C2511">
        <w:rPr>
          <w:rFonts w:ascii="標楷體" w:eastAsia="標楷體" w:hAnsi="標楷體" w:hint="eastAsia"/>
          <w:kern w:val="2"/>
          <w:szCs w:val="24"/>
        </w:rPr>
        <w:t>個療程</w:t>
      </w:r>
      <w:r w:rsidRPr="004C2511">
        <w:rPr>
          <w:rFonts w:ascii="標楷體" w:eastAsia="標楷體" w:hAnsi="標楷體"/>
          <w:kern w:val="2"/>
          <w:szCs w:val="24"/>
        </w:rPr>
        <w:t>)</w:t>
      </w:r>
      <w:r w:rsidRPr="004C2511">
        <w:rPr>
          <w:rFonts w:ascii="標楷體" w:eastAsia="標楷體" w:hAnsi="標楷體" w:hint="eastAsia"/>
          <w:kern w:val="2"/>
          <w:szCs w:val="24"/>
        </w:rPr>
        <w:t>，不得重複申請。</w:t>
      </w:r>
    </w:p>
    <w:p w:rsidR="004C2511" w:rsidRPr="004C2511" w:rsidRDefault="004C2511" w:rsidP="005142EB">
      <w:pPr>
        <w:spacing w:line="400" w:lineRule="exact"/>
        <w:ind w:leftChars="118" w:left="566" w:hangingChars="118" w:hanging="283"/>
        <w:rPr>
          <w:rFonts w:ascii="標楷體" w:eastAsia="標楷體" w:hAnsi="標楷體"/>
          <w:kern w:val="2"/>
          <w:szCs w:val="24"/>
        </w:rPr>
      </w:pPr>
      <w:r w:rsidRPr="004C2511">
        <w:rPr>
          <w:rFonts w:ascii="標楷體" w:eastAsia="標楷體" w:hAnsi="標楷體"/>
          <w:kern w:val="2"/>
          <w:szCs w:val="24"/>
        </w:rPr>
        <w:t>4.</w:t>
      </w:r>
      <w:r w:rsidRPr="004C2511">
        <w:rPr>
          <w:rFonts w:ascii="標楷體" w:eastAsia="標楷體" w:hAnsi="標楷體" w:hint="eastAsia"/>
          <w:kern w:val="2"/>
          <w:szCs w:val="24"/>
        </w:rPr>
        <w:t>執行醫師須完全符合下列資格：</w:t>
      </w:r>
    </w:p>
    <w:p w:rsidR="004C2511" w:rsidRPr="00A33F1B" w:rsidRDefault="004C2511" w:rsidP="00A33F1B">
      <w:pPr>
        <w:spacing w:line="400" w:lineRule="exact"/>
        <w:ind w:left="851" w:hanging="386"/>
        <w:rPr>
          <w:rFonts w:ascii="標楷體" w:eastAsia="標楷體" w:hAnsi="標楷體"/>
          <w:kern w:val="2"/>
          <w:szCs w:val="24"/>
        </w:rPr>
      </w:pPr>
      <w:r w:rsidRPr="004C2511">
        <w:rPr>
          <w:rFonts w:ascii="標楷體" w:eastAsia="標楷體" w:hAnsi="標楷體"/>
          <w:kern w:val="2"/>
          <w:szCs w:val="24"/>
        </w:rPr>
        <w:t>(1)</w:t>
      </w:r>
      <w:r w:rsidRPr="004C2511">
        <w:rPr>
          <w:rFonts w:ascii="標楷體" w:eastAsia="標楷體" w:hAnsi="標楷體" w:hint="eastAsia"/>
          <w:kern w:val="2"/>
          <w:szCs w:val="24"/>
        </w:rPr>
        <w:t>醫師必須為</w:t>
      </w:r>
      <w:r w:rsidRPr="00A33F1B">
        <w:rPr>
          <w:rFonts w:ascii="標楷體" w:eastAsia="標楷體" w:hAnsi="標楷體" w:hint="eastAsia"/>
          <w:kern w:val="2"/>
          <w:szCs w:val="24"/>
        </w:rPr>
        <w:t>血液病或造血幹細胞移植專科醫師且須完成血液病或造血幹細胞移植的相關照護訓練。</w:t>
      </w:r>
    </w:p>
    <w:p w:rsidR="004C2511" w:rsidRPr="004C2511" w:rsidRDefault="004C2511" w:rsidP="00A33F1B">
      <w:pPr>
        <w:spacing w:line="400" w:lineRule="exact"/>
        <w:ind w:left="851" w:hanging="386"/>
        <w:rPr>
          <w:rFonts w:ascii="標楷體" w:eastAsia="標楷體" w:hAnsi="標楷體"/>
          <w:kern w:val="2"/>
          <w:szCs w:val="24"/>
        </w:rPr>
      </w:pPr>
      <w:r w:rsidRPr="00A33F1B">
        <w:rPr>
          <w:rFonts w:ascii="標楷體" w:eastAsia="標楷體" w:hAnsi="標楷體"/>
          <w:kern w:val="2"/>
          <w:szCs w:val="24"/>
        </w:rPr>
        <w:t>(2)</w:t>
      </w:r>
      <w:r w:rsidRPr="00A33F1B">
        <w:rPr>
          <w:rFonts w:ascii="標楷體" w:eastAsia="標楷體" w:hAnsi="標楷體" w:hint="eastAsia"/>
          <w:kern w:val="2"/>
          <w:szCs w:val="24"/>
        </w:rPr>
        <w:t>每兩年接受至</w:t>
      </w:r>
      <w:r w:rsidRPr="004C2511">
        <w:rPr>
          <w:rFonts w:ascii="標楷體" w:eastAsia="標楷體" w:hAnsi="標楷體" w:hint="eastAsia"/>
          <w:kern w:val="2"/>
          <w:szCs w:val="24"/>
        </w:rPr>
        <w:t>少</w:t>
      </w:r>
      <w:r w:rsidRPr="004C2511">
        <w:rPr>
          <w:rFonts w:ascii="標楷體" w:eastAsia="標楷體" w:hAnsi="標楷體"/>
          <w:kern w:val="2"/>
          <w:szCs w:val="24"/>
        </w:rPr>
        <w:t>6</w:t>
      </w:r>
      <w:r w:rsidRPr="004C2511">
        <w:rPr>
          <w:rFonts w:ascii="標楷體" w:eastAsia="標楷體" w:hAnsi="標楷體" w:hint="eastAsia"/>
          <w:kern w:val="2"/>
          <w:szCs w:val="24"/>
        </w:rPr>
        <w:t>小時中華民國血液及骨髓移植學會或中華民國血液病學會舉辦之雙特異性抗體相關治療教育訓練。</w:t>
      </w:r>
    </w:p>
    <w:p w:rsidR="004C2511" w:rsidRPr="004C2511" w:rsidRDefault="004C2511" w:rsidP="005142EB">
      <w:pPr>
        <w:spacing w:line="400" w:lineRule="exact"/>
        <w:ind w:leftChars="118" w:left="566" w:hangingChars="118" w:hanging="283"/>
        <w:rPr>
          <w:rFonts w:ascii="標楷體" w:eastAsia="標楷體" w:hAnsi="標楷體"/>
          <w:kern w:val="2"/>
          <w:szCs w:val="24"/>
        </w:rPr>
      </w:pPr>
      <w:r w:rsidRPr="004C2511">
        <w:rPr>
          <w:rFonts w:ascii="標楷體" w:eastAsia="標楷體" w:hAnsi="標楷體"/>
          <w:kern w:val="2"/>
          <w:szCs w:val="24"/>
        </w:rPr>
        <w:t>5.</w:t>
      </w:r>
      <w:r w:rsidRPr="004C2511">
        <w:rPr>
          <w:rFonts w:ascii="標楷體" w:eastAsia="標楷體" w:hAnsi="標楷體" w:hint="eastAsia"/>
          <w:kern w:val="2"/>
          <w:szCs w:val="24"/>
        </w:rPr>
        <w:t>本藥品、glofitamab、polatuzumab vedotin，三者僅得擇一給付，治療失敗後不得互換。</w:t>
      </w:r>
    </w:p>
    <w:p w:rsidR="00D4365C" w:rsidRPr="00897BF1" w:rsidRDefault="00D4365C" w:rsidP="00D4365C">
      <w:pPr>
        <w:spacing w:line="400" w:lineRule="exact"/>
        <w:ind w:left="290" w:hangingChars="121" w:hanging="290"/>
        <w:rPr>
          <w:rFonts w:ascii="標楷體" w:eastAsia="標楷體" w:hAnsi="標楷體"/>
          <w:szCs w:val="24"/>
        </w:rPr>
      </w:pPr>
      <w:r w:rsidRPr="00897BF1">
        <w:rPr>
          <w:rFonts w:ascii="標楷體" w:eastAsia="標楷體" w:hAnsi="標楷體"/>
          <w:szCs w:val="24"/>
        </w:rPr>
        <w:t>9.</w:t>
      </w:r>
      <w:r w:rsidRPr="00897BF1">
        <w:rPr>
          <w:rFonts w:ascii="標楷體" w:eastAsia="標楷體" w:hAnsi="標楷體" w:hint="eastAsia"/>
          <w:szCs w:val="24"/>
        </w:rPr>
        <w:t>122</w:t>
      </w:r>
      <w:r w:rsidRPr="00897BF1">
        <w:rPr>
          <w:rFonts w:ascii="標楷體" w:eastAsia="標楷體" w:hAnsi="標楷體"/>
          <w:szCs w:val="24"/>
        </w:rPr>
        <w:t>.</w:t>
      </w:r>
      <w:r w:rsidRPr="00897BF1">
        <w:rPr>
          <w:rFonts w:ascii="標楷體" w:eastAsia="標楷體" w:hAnsi="標楷體" w:hint="eastAsia"/>
          <w:szCs w:val="24"/>
        </w:rPr>
        <w:t>As</w:t>
      </w:r>
      <w:r w:rsidRPr="00897BF1">
        <w:rPr>
          <w:rFonts w:ascii="標楷體" w:eastAsia="標楷體" w:hAnsi="標楷體"/>
          <w:szCs w:val="24"/>
        </w:rPr>
        <w:t>ciminib (如Scemblix)：(</w:t>
      </w:r>
      <w:r w:rsidRPr="00897BF1">
        <w:rPr>
          <w:rFonts w:ascii="標楷體" w:eastAsia="標楷體" w:hAnsi="標楷體" w:hint="eastAsia"/>
          <w:szCs w:val="24"/>
        </w:rPr>
        <w:t>114</w:t>
      </w:r>
      <w:r w:rsidRPr="00897BF1">
        <w:rPr>
          <w:rFonts w:ascii="標楷體" w:eastAsia="標楷體" w:hAnsi="標楷體"/>
          <w:szCs w:val="24"/>
        </w:rPr>
        <w:t>/</w:t>
      </w:r>
      <w:r w:rsidRPr="00897BF1">
        <w:rPr>
          <w:rFonts w:ascii="標楷體" w:eastAsia="標楷體" w:hAnsi="標楷體" w:hint="eastAsia"/>
          <w:szCs w:val="24"/>
        </w:rPr>
        <w:t>9</w:t>
      </w:r>
      <w:r w:rsidRPr="00897BF1">
        <w:rPr>
          <w:rFonts w:ascii="標楷體" w:eastAsia="標楷體" w:hAnsi="標楷體"/>
          <w:szCs w:val="24"/>
        </w:rPr>
        <w:t>/1)</w:t>
      </w:r>
    </w:p>
    <w:p w:rsidR="00D4365C" w:rsidRPr="00897BF1" w:rsidRDefault="00D4365C" w:rsidP="00D4365C">
      <w:pPr>
        <w:snapToGrid w:val="0"/>
        <w:spacing w:line="400" w:lineRule="exact"/>
        <w:ind w:left="567" w:hanging="283"/>
        <w:jc w:val="both"/>
        <w:rPr>
          <w:rFonts w:ascii="標楷體" w:eastAsia="標楷體" w:hAnsi="標楷體"/>
          <w:szCs w:val="24"/>
        </w:rPr>
      </w:pPr>
      <w:r w:rsidRPr="00897BF1">
        <w:rPr>
          <w:rFonts w:ascii="標楷體" w:eastAsia="標楷體" w:hAnsi="標楷體"/>
          <w:szCs w:val="24"/>
        </w:rPr>
        <w:t>1.</w:t>
      </w:r>
      <w:r w:rsidRPr="00897BF1">
        <w:rPr>
          <w:rFonts w:ascii="標楷體" w:eastAsia="標楷體" w:hAnsi="標楷體" w:hint="eastAsia"/>
          <w:szCs w:val="24"/>
        </w:rPr>
        <w:t>限用於治療先前曾接受2種以上的酪胺酸激酶抑制劑治療，且發生耐受性不良或治療無效的慢性期費城染色體陽性之慢性骨髓性白血病</w:t>
      </w:r>
      <w:r w:rsidRPr="00897BF1">
        <w:rPr>
          <w:rFonts w:ascii="標楷體" w:eastAsia="標楷體" w:hAnsi="標楷體"/>
          <w:szCs w:val="24"/>
        </w:rPr>
        <w:t>(Ph+</w:t>
      </w:r>
      <w:r w:rsidRPr="00897BF1">
        <w:rPr>
          <w:rFonts w:ascii="標楷體" w:eastAsia="標楷體" w:hAnsi="標楷體" w:hint="eastAsia"/>
          <w:szCs w:val="24"/>
        </w:rPr>
        <w:t xml:space="preserve"> </w:t>
      </w:r>
      <w:r w:rsidRPr="00897BF1">
        <w:rPr>
          <w:rFonts w:ascii="標楷體" w:eastAsia="標楷體" w:hAnsi="標楷體"/>
          <w:szCs w:val="24"/>
        </w:rPr>
        <w:t>CML-</w:t>
      </w:r>
      <w:r w:rsidRPr="00897BF1">
        <w:rPr>
          <w:rFonts w:ascii="標楷體" w:eastAsia="標楷體" w:hAnsi="標楷體" w:hint="eastAsia"/>
          <w:szCs w:val="24"/>
        </w:rPr>
        <w:t>c</w:t>
      </w:r>
      <w:r w:rsidRPr="00897BF1">
        <w:rPr>
          <w:rFonts w:ascii="標楷體" w:eastAsia="標楷體" w:hAnsi="標楷體"/>
          <w:szCs w:val="24"/>
        </w:rPr>
        <w:t>hronic phase)</w:t>
      </w:r>
      <w:r w:rsidRPr="00897BF1">
        <w:rPr>
          <w:rFonts w:ascii="標楷體" w:eastAsia="標楷體" w:hAnsi="標楷體" w:hint="eastAsia"/>
          <w:szCs w:val="24"/>
        </w:rPr>
        <w:t>成年病人</w:t>
      </w:r>
      <w:r w:rsidRPr="00897BF1">
        <w:rPr>
          <w:rFonts w:ascii="新細明體" w:hAnsi="新細明體" w:hint="eastAsia"/>
          <w:szCs w:val="24"/>
        </w:rPr>
        <w:t>。</w:t>
      </w:r>
    </w:p>
    <w:p w:rsidR="00D4365C" w:rsidRPr="00897BF1" w:rsidRDefault="00D4365C" w:rsidP="00D4365C">
      <w:pPr>
        <w:snapToGrid w:val="0"/>
        <w:spacing w:line="400" w:lineRule="exact"/>
        <w:ind w:left="567" w:hanging="283"/>
        <w:jc w:val="both"/>
        <w:rPr>
          <w:rFonts w:ascii="標楷體" w:eastAsia="標楷體" w:hAnsi="標楷體"/>
          <w:szCs w:val="24"/>
        </w:rPr>
      </w:pPr>
      <w:r w:rsidRPr="00897BF1">
        <w:rPr>
          <w:rFonts w:ascii="標楷體" w:eastAsia="標楷體" w:hAnsi="標楷體" w:hint="eastAsia"/>
          <w:szCs w:val="24"/>
        </w:rPr>
        <w:t>2.不能為具有T315I或V299L突變之BCR-ABL融合基因的疾病。</w:t>
      </w:r>
    </w:p>
    <w:p w:rsidR="00D4365C" w:rsidRPr="00897BF1" w:rsidRDefault="00D4365C" w:rsidP="00D4365C">
      <w:pPr>
        <w:snapToGrid w:val="0"/>
        <w:spacing w:line="400" w:lineRule="exact"/>
        <w:ind w:left="567" w:hanging="283"/>
        <w:jc w:val="both"/>
        <w:rPr>
          <w:rFonts w:ascii="標楷體" w:eastAsia="標楷體" w:hAnsi="標楷體"/>
          <w:szCs w:val="24"/>
        </w:rPr>
      </w:pPr>
      <w:r w:rsidRPr="00897BF1">
        <w:rPr>
          <w:rFonts w:ascii="標楷體" w:eastAsia="標楷體" w:hAnsi="標楷體"/>
          <w:szCs w:val="24"/>
        </w:rPr>
        <w:t>3.</w:t>
      </w:r>
      <w:r w:rsidRPr="00897BF1">
        <w:rPr>
          <w:rFonts w:ascii="標楷體" w:eastAsia="標楷體" w:hAnsi="標楷體" w:hint="eastAsia"/>
          <w:szCs w:val="24"/>
        </w:rPr>
        <w:t>使用後無法耐受藥物副作用或發生疾病進展，須停止使用。</w:t>
      </w:r>
    </w:p>
    <w:p w:rsidR="00DA176D" w:rsidRPr="00D4365C" w:rsidRDefault="00D4365C" w:rsidP="00D4365C">
      <w:pPr>
        <w:snapToGrid w:val="0"/>
        <w:spacing w:line="400" w:lineRule="exact"/>
        <w:ind w:left="567" w:hanging="283"/>
        <w:jc w:val="both"/>
        <w:rPr>
          <w:rFonts w:ascii="標楷體" w:eastAsia="標楷體" w:hAnsi="標楷體"/>
          <w:szCs w:val="24"/>
        </w:rPr>
      </w:pPr>
      <w:r w:rsidRPr="00897BF1">
        <w:rPr>
          <w:rFonts w:ascii="標楷體" w:eastAsia="標楷體" w:hAnsi="標楷體"/>
          <w:szCs w:val="24"/>
        </w:rPr>
        <w:t>4.</w:t>
      </w:r>
      <w:r w:rsidRPr="00897BF1">
        <w:rPr>
          <w:rFonts w:ascii="標楷體" w:eastAsia="標楷體" w:hAnsi="標楷體" w:hint="eastAsia"/>
          <w:szCs w:val="24"/>
        </w:rPr>
        <w:t>1~</w:t>
      </w:r>
      <w:r w:rsidRPr="00897BF1">
        <w:rPr>
          <w:rFonts w:ascii="標楷體" w:eastAsia="標楷體" w:hAnsi="標楷體"/>
          <w:szCs w:val="24"/>
        </w:rPr>
        <w:t>2</w:t>
      </w:r>
      <w:r w:rsidRPr="00897BF1">
        <w:rPr>
          <w:rFonts w:ascii="標楷體" w:eastAsia="標楷體" w:hAnsi="標楷體" w:hint="eastAsia"/>
          <w:szCs w:val="24"/>
        </w:rPr>
        <w:t>項規定之疾病診斷或追蹤若為依據基因檢測報告，需符合全民健康保險藥品給付規定之通則十二。</w:t>
      </w:r>
    </w:p>
    <w:p w:rsidR="00D4365C" w:rsidRPr="00EE1F60" w:rsidRDefault="00D4365C" w:rsidP="00D4365C">
      <w:pPr>
        <w:tabs>
          <w:tab w:val="left" w:pos="1418"/>
        </w:tabs>
        <w:spacing w:line="400" w:lineRule="exact"/>
        <w:ind w:left="316" w:hanging="316"/>
        <w:rPr>
          <w:rFonts w:ascii="標楷體" w:eastAsia="標楷體" w:hAnsi="標楷體"/>
          <w:color w:val="000000"/>
          <w:szCs w:val="24"/>
        </w:rPr>
      </w:pPr>
      <w:r w:rsidRPr="00EE1F60">
        <w:rPr>
          <w:rFonts w:ascii="標楷體" w:eastAsia="標楷體" w:hAnsi="標楷體"/>
          <w:color w:val="000000"/>
          <w:szCs w:val="24"/>
        </w:rPr>
        <w:t>9.123.Ripretinib(如Qinlock）：(114/9/1)</w:t>
      </w:r>
    </w:p>
    <w:p w:rsidR="00D4365C" w:rsidRPr="00EE1F60" w:rsidRDefault="00D4365C" w:rsidP="00D4365C">
      <w:pPr>
        <w:tabs>
          <w:tab w:val="left" w:pos="1418"/>
        </w:tabs>
        <w:spacing w:line="400" w:lineRule="exact"/>
        <w:ind w:left="567" w:hanging="280"/>
        <w:jc w:val="both"/>
        <w:rPr>
          <w:szCs w:val="24"/>
        </w:rPr>
      </w:pPr>
      <w:r w:rsidRPr="00EE1F60">
        <w:rPr>
          <w:rFonts w:ascii="標楷體" w:eastAsia="標楷體" w:hAnsi="標楷體"/>
          <w:color w:val="000000"/>
          <w:szCs w:val="24"/>
        </w:rPr>
        <w:t>1.適用於治療已接受3種或以上激酶抑制劑(包括imatinib)治療的晚期胃腸道基質瘤(GIST)成人病人。</w:t>
      </w:r>
    </w:p>
    <w:p w:rsidR="00D4365C" w:rsidRPr="00EE1F60" w:rsidRDefault="00D4365C" w:rsidP="00D4365C">
      <w:pPr>
        <w:tabs>
          <w:tab w:val="left" w:pos="1418"/>
        </w:tabs>
        <w:spacing w:line="400" w:lineRule="exact"/>
        <w:ind w:left="567" w:hanging="280"/>
        <w:jc w:val="both"/>
        <w:rPr>
          <w:rFonts w:ascii="標楷體" w:eastAsia="標楷體" w:hAnsi="標楷體"/>
          <w:color w:val="000000"/>
          <w:szCs w:val="24"/>
        </w:rPr>
      </w:pPr>
      <w:r w:rsidRPr="00EE1F60">
        <w:rPr>
          <w:rFonts w:ascii="標楷體" w:eastAsia="標楷體" w:hAnsi="標楷體"/>
          <w:kern w:val="0"/>
          <w:szCs w:val="24"/>
        </w:rPr>
        <w:t>2.需經</w:t>
      </w:r>
      <w:r w:rsidRPr="00EE1F60">
        <w:rPr>
          <w:rFonts w:ascii="標楷體" w:eastAsia="標楷體" w:hAnsi="標楷體"/>
          <w:color w:val="000000"/>
          <w:szCs w:val="24"/>
        </w:rPr>
        <w:t>事前審查核准後使用，每次申請之療程以3個月為限，送審時需檢送影像資料，每3個月評估一次。治療期間出現疾病惡化，則不可繼續使用。</w:t>
      </w:r>
    </w:p>
    <w:p w:rsidR="00D4365C" w:rsidRPr="00EE1F60" w:rsidRDefault="00D4365C" w:rsidP="00D4365C">
      <w:pPr>
        <w:tabs>
          <w:tab w:val="left" w:pos="1418"/>
        </w:tabs>
        <w:spacing w:line="400" w:lineRule="exact"/>
        <w:ind w:left="567" w:hanging="280"/>
        <w:jc w:val="both"/>
        <w:rPr>
          <w:szCs w:val="24"/>
        </w:rPr>
      </w:pPr>
      <w:r w:rsidRPr="00EE1F60">
        <w:rPr>
          <w:rFonts w:ascii="標楷體" w:eastAsia="標楷體" w:hAnsi="標楷體"/>
          <w:color w:val="000000"/>
          <w:szCs w:val="24"/>
        </w:rPr>
        <w:t>3.本藥品不得</w:t>
      </w:r>
      <w:r w:rsidRPr="00EE1F60">
        <w:rPr>
          <w:rFonts w:ascii="標楷體" w:eastAsia="標楷體" w:hAnsi="標楷體"/>
          <w:kern w:val="0"/>
          <w:szCs w:val="24"/>
        </w:rPr>
        <w:t>合併其他藥品，每日至多處方3粒。</w:t>
      </w:r>
    </w:p>
    <w:p w:rsidR="0020695F" w:rsidRPr="00133CA0" w:rsidRDefault="0020695F" w:rsidP="0020695F">
      <w:pPr>
        <w:spacing w:line="400" w:lineRule="exact"/>
        <w:jc w:val="both"/>
        <w:rPr>
          <w:rFonts w:ascii="標楷體" w:eastAsia="標楷體" w:hAnsi="標楷體"/>
          <w:szCs w:val="24"/>
        </w:rPr>
      </w:pPr>
      <w:bookmarkStart w:id="47" w:name="_Hlk209193042"/>
      <w:r w:rsidRPr="00133CA0">
        <w:rPr>
          <w:rFonts w:ascii="標楷體" w:eastAsia="標楷體" w:hAnsi="標楷體"/>
          <w:szCs w:val="24"/>
        </w:rPr>
        <w:t>9.</w:t>
      </w:r>
      <w:r w:rsidRPr="00133CA0">
        <w:rPr>
          <w:rFonts w:ascii="標楷體" w:eastAsia="標楷體" w:hAnsi="標楷體" w:hint="eastAsia"/>
          <w:szCs w:val="24"/>
        </w:rPr>
        <w:t>124</w:t>
      </w:r>
      <w:r w:rsidRPr="00133CA0">
        <w:rPr>
          <w:rFonts w:ascii="標楷體" w:eastAsia="標楷體" w:hAnsi="標楷體"/>
          <w:szCs w:val="24"/>
        </w:rPr>
        <w:t>.</w:t>
      </w:r>
      <w:r w:rsidRPr="00133CA0">
        <w:rPr>
          <w:rFonts w:ascii="標楷體" w:eastAsia="標楷體" w:hAnsi="標楷體" w:hint="eastAsia"/>
          <w:szCs w:val="24"/>
        </w:rPr>
        <w:t>T</w:t>
      </w:r>
      <w:r w:rsidRPr="00133CA0">
        <w:rPr>
          <w:rFonts w:ascii="標楷體" w:eastAsia="標楷體" w:hAnsi="標楷體"/>
          <w:szCs w:val="24"/>
        </w:rPr>
        <w:t>afasitamab（如Minjuvi</w:t>
      </w:r>
      <w:r w:rsidRPr="00133CA0">
        <w:rPr>
          <w:rFonts w:ascii="標楷體" w:eastAsia="標楷體" w:hAnsi="標楷體" w:hint="eastAsia"/>
          <w:szCs w:val="24"/>
        </w:rPr>
        <w:t>）：（114</w:t>
      </w:r>
      <w:r w:rsidRPr="00133CA0">
        <w:rPr>
          <w:rFonts w:ascii="標楷體" w:eastAsia="標楷體" w:hAnsi="標楷體"/>
          <w:szCs w:val="24"/>
        </w:rPr>
        <w:t>/</w:t>
      </w:r>
      <w:r w:rsidRPr="00133CA0">
        <w:rPr>
          <w:rFonts w:ascii="標楷體" w:eastAsia="標楷體" w:hAnsi="標楷體" w:hint="eastAsia"/>
          <w:szCs w:val="24"/>
        </w:rPr>
        <w:t>10</w:t>
      </w:r>
      <w:r w:rsidRPr="00133CA0">
        <w:rPr>
          <w:rFonts w:ascii="標楷體" w:eastAsia="標楷體" w:hAnsi="標楷體"/>
          <w:szCs w:val="24"/>
        </w:rPr>
        <w:t>/1</w:t>
      </w:r>
      <w:r w:rsidRPr="00133CA0">
        <w:rPr>
          <w:rFonts w:ascii="標楷體" w:eastAsia="標楷體" w:hAnsi="標楷體" w:hint="eastAsia"/>
          <w:szCs w:val="24"/>
        </w:rPr>
        <w:t>）</w:t>
      </w:r>
    </w:p>
    <w:p w:rsidR="0020695F" w:rsidRPr="00133CA0" w:rsidRDefault="0020695F" w:rsidP="0020695F">
      <w:pPr>
        <w:spacing w:line="400" w:lineRule="exact"/>
        <w:ind w:leftChars="136" w:left="566" w:hangingChars="100" w:hanging="240"/>
        <w:rPr>
          <w:rFonts w:ascii="標楷體" w:eastAsia="標楷體" w:hAnsi="標楷體"/>
          <w:szCs w:val="24"/>
        </w:rPr>
      </w:pPr>
      <w:r w:rsidRPr="00133CA0">
        <w:rPr>
          <w:rFonts w:ascii="標楷體" w:eastAsia="標楷體" w:hAnsi="標楷體" w:hint="eastAsia"/>
          <w:szCs w:val="24"/>
        </w:rPr>
        <w:t>1.限與</w:t>
      </w:r>
      <w:r w:rsidRPr="00133CA0">
        <w:rPr>
          <w:rFonts w:ascii="標楷體" w:eastAsia="標楷體" w:hAnsi="標楷體"/>
          <w:szCs w:val="24"/>
        </w:rPr>
        <w:t>lenalidomide</w:t>
      </w:r>
      <w:r w:rsidRPr="00133CA0">
        <w:rPr>
          <w:rFonts w:ascii="標楷體" w:eastAsia="標楷體" w:hAnsi="標楷體" w:hint="eastAsia"/>
          <w:szCs w:val="24"/>
        </w:rPr>
        <w:t>併用，適</w:t>
      </w:r>
      <w:bookmarkStart w:id="48" w:name="_Hlk202951206"/>
      <w:r w:rsidRPr="00133CA0">
        <w:rPr>
          <w:rFonts w:ascii="標楷體" w:eastAsia="標楷體" w:hAnsi="標楷體" w:hint="eastAsia"/>
          <w:szCs w:val="24"/>
        </w:rPr>
        <w:t>用於經一線全身治療含</w:t>
      </w:r>
      <w:r w:rsidRPr="00133CA0">
        <w:rPr>
          <w:rFonts w:ascii="標楷體" w:eastAsia="標楷體" w:hAnsi="標楷體"/>
          <w:szCs w:val="24"/>
        </w:rPr>
        <w:t>rituximab</w:t>
      </w:r>
      <w:r w:rsidRPr="00133CA0">
        <w:rPr>
          <w:rFonts w:ascii="標楷體" w:eastAsia="標楷體" w:hAnsi="標楷體" w:hint="eastAsia"/>
          <w:szCs w:val="24"/>
        </w:rPr>
        <w:t>治療復發型，不適合接受造血幹細胞移植瀰漫性大型</w:t>
      </w:r>
      <w:r w:rsidRPr="00133CA0">
        <w:rPr>
          <w:rFonts w:ascii="標楷體" w:eastAsia="標楷體" w:hAnsi="標楷體"/>
          <w:szCs w:val="24"/>
        </w:rPr>
        <w:t>B</w:t>
      </w:r>
      <w:r w:rsidRPr="00133CA0">
        <w:rPr>
          <w:rFonts w:ascii="標楷體" w:eastAsia="標楷體" w:hAnsi="標楷體" w:hint="eastAsia"/>
          <w:szCs w:val="24"/>
        </w:rPr>
        <w:t>細胞淋巴瘤</w:t>
      </w:r>
      <w:r w:rsidRPr="00133CA0">
        <w:rPr>
          <w:rFonts w:ascii="標楷體" w:eastAsia="標楷體" w:hAnsi="標楷體"/>
          <w:szCs w:val="24"/>
        </w:rPr>
        <w:t>(DLBCL)</w:t>
      </w:r>
      <w:r w:rsidRPr="00133CA0">
        <w:rPr>
          <w:rFonts w:ascii="標楷體" w:eastAsia="標楷體" w:hAnsi="標楷體" w:hint="eastAsia"/>
          <w:szCs w:val="24"/>
        </w:rPr>
        <w:t>成人病人</w:t>
      </w:r>
      <w:bookmarkEnd w:id="48"/>
      <w:r w:rsidRPr="00133CA0">
        <w:rPr>
          <w:rFonts w:ascii="標楷體" w:eastAsia="標楷體" w:hAnsi="標楷體" w:hint="eastAsia"/>
          <w:szCs w:val="24"/>
        </w:rPr>
        <w:t>，且須完全符合以下條件：</w:t>
      </w:r>
    </w:p>
    <w:p w:rsidR="0020695F" w:rsidRPr="00133CA0" w:rsidRDefault="0020695F" w:rsidP="0020695F">
      <w:pPr>
        <w:spacing w:line="400" w:lineRule="exact"/>
        <w:ind w:leftChars="177" w:left="706" w:hangingChars="117" w:hanging="281"/>
        <w:rPr>
          <w:rFonts w:ascii="標楷體" w:eastAsia="標楷體" w:hAnsi="標楷體"/>
          <w:szCs w:val="24"/>
        </w:rPr>
      </w:pPr>
      <w:r w:rsidRPr="00133CA0">
        <w:rPr>
          <w:rFonts w:ascii="標楷體" w:eastAsia="標楷體" w:hAnsi="標楷體" w:hint="eastAsia"/>
          <w:szCs w:val="24"/>
        </w:rPr>
        <w:t>(1)具</w:t>
      </w:r>
      <w:r w:rsidRPr="00133CA0">
        <w:rPr>
          <w:rFonts w:ascii="標楷體" w:eastAsia="標楷體" w:hAnsi="標楷體"/>
          <w:szCs w:val="24"/>
        </w:rPr>
        <w:t>CD19</w:t>
      </w:r>
      <w:r w:rsidRPr="00133CA0">
        <w:rPr>
          <w:rFonts w:ascii="標楷體" w:eastAsia="標楷體" w:hAnsi="標楷體" w:hint="eastAsia"/>
          <w:szCs w:val="24"/>
        </w:rPr>
        <w:t>抗原陽性。</w:t>
      </w:r>
    </w:p>
    <w:p w:rsidR="0020695F" w:rsidRPr="00133CA0" w:rsidRDefault="0020695F" w:rsidP="0020695F">
      <w:pPr>
        <w:spacing w:line="400" w:lineRule="exact"/>
        <w:ind w:leftChars="177" w:left="706" w:hangingChars="117" w:hanging="281"/>
        <w:rPr>
          <w:rFonts w:ascii="標楷體" w:eastAsia="標楷體" w:hAnsi="標楷體"/>
          <w:szCs w:val="24"/>
        </w:rPr>
      </w:pPr>
      <w:r w:rsidRPr="00133CA0">
        <w:rPr>
          <w:rFonts w:ascii="標楷體" w:eastAsia="標楷體" w:hAnsi="標楷體" w:hint="eastAsia"/>
          <w:szCs w:val="24"/>
        </w:rPr>
        <w:t>(2)一線曾接受</w:t>
      </w:r>
      <w:r w:rsidRPr="00133CA0">
        <w:rPr>
          <w:rFonts w:ascii="標楷體" w:eastAsia="標楷體" w:hAnsi="標楷體"/>
          <w:szCs w:val="24"/>
        </w:rPr>
        <w:t>rituximab</w:t>
      </w:r>
      <w:r w:rsidRPr="00133CA0">
        <w:rPr>
          <w:rFonts w:ascii="標楷體" w:eastAsia="標楷體" w:hAnsi="標楷體" w:hint="eastAsia"/>
          <w:szCs w:val="24"/>
        </w:rPr>
        <w:t>合併化學治療</w:t>
      </w:r>
      <w:r w:rsidRPr="00133CA0">
        <w:rPr>
          <w:rFonts w:ascii="標楷體" w:eastAsia="標楷體" w:hAnsi="標楷體"/>
          <w:szCs w:val="24"/>
        </w:rPr>
        <w:t>(</w:t>
      </w:r>
      <w:r w:rsidRPr="00133CA0">
        <w:rPr>
          <w:rFonts w:ascii="標楷體" w:eastAsia="標楷體" w:hAnsi="標楷體" w:hint="eastAsia"/>
          <w:szCs w:val="24"/>
        </w:rPr>
        <w:t>包含</w:t>
      </w:r>
      <w:r w:rsidRPr="00133CA0">
        <w:rPr>
          <w:rFonts w:ascii="標楷體" w:eastAsia="標楷體" w:hAnsi="標楷體"/>
          <w:szCs w:val="24"/>
        </w:rPr>
        <w:t>CD20)</w:t>
      </w:r>
      <w:r w:rsidRPr="00133CA0">
        <w:rPr>
          <w:rFonts w:ascii="標楷體" w:eastAsia="標楷體" w:hAnsi="標楷體" w:hint="eastAsia"/>
          <w:szCs w:val="24"/>
        </w:rPr>
        <w:t>，及含有</w:t>
      </w:r>
      <w:r w:rsidRPr="00133CA0">
        <w:rPr>
          <w:rFonts w:ascii="標楷體" w:eastAsia="標楷體" w:hAnsi="標楷體"/>
          <w:szCs w:val="24"/>
        </w:rPr>
        <w:t>anthracycline</w:t>
      </w:r>
      <w:r w:rsidRPr="00133CA0">
        <w:rPr>
          <w:rFonts w:ascii="標楷體" w:eastAsia="標楷體" w:hAnsi="標楷體" w:hint="eastAsia"/>
          <w:szCs w:val="24"/>
        </w:rPr>
        <w:t>類藥物的治療，治療四個療程以上並於1</w:t>
      </w:r>
      <w:r w:rsidRPr="00133CA0">
        <w:rPr>
          <w:rFonts w:ascii="標楷體" w:eastAsia="標楷體" w:hAnsi="標楷體"/>
          <w:szCs w:val="24"/>
        </w:rPr>
        <w:t>2</w:t>
      </w:r>
      <w:r w:rsidRPr="00133CA0">
        <w:rPr>
          <w:rFonts w:ascii="標楷體" w:eastAsia="標楷體" w:hAnsi="標楷體" w:hint="eastAsia"/>
          <w:szCs w:val="24"/>
        </w:rPr>
        <w:t>個月內復發者。</w:t>
      </w:r>
    </w:p>
    <w:p w:rsidR="0020695F" w:rsidRPr="00133CA0" w:rsidRDefault="0020695F" w:rsidP="0020695F">
      <w:pPr>
        <w:spacing w:line="400" w:lineRule="exact"/>
        <w:ind w:leftChars="177" w:left="706" w:hangingChars="117" w:hanging="281"/>
        <w:rPr>
          <w:rFonts w:ascii="標楷體" w:eastAsia="標楷體" w:hAnsi="標楷體"/>
          <w:szCs w:val="24"/>
        </w:rPr>
      </w:pPr>
      <w:r w:rsidRPr="00133CA0">
        <w:rPr>
          <w:rFonts w:ascii="標楷體" w:eastAsia="標楷體" w:hAnsi="標楷體" w:hint="eastAsia"/>
          <w:szCs w:val="24"/>
        </w:rPr>
        <w:t>(3)</w:t>
      </w:r>
      <w:r w:rsidRPr="00133CA0">
        <w:rPr>
          <w:rFonts w:ascii="標楷體" w:eastAsia="標楷體" w:hAnsi="標楷體"/>
          <w:szCs w:val="24"/>
        </w:rPr>
        <w:t>ECOG</w:t>
      </w:r>
      <w:r w:rsidRPr="00133CA0">
        <w:rPr>
          <w:rFonts w:ascii="標楷體" w:eastAsia="標楷體" w:hAnsi="標楷體" w:hint="eastAsia"/>
          <w:szCs w:val="24"/>
        </w:rPr>
        <w:t>為</w:t>
      </w:r>
      <w:r w:rsidRPr="00133CA0">
        <w:rPr>
          <w:rFonts w:ascii="標楷體" w:eastAsia="標楷體" w:hAnsi="標楷體"/>
          <w:szCs w:val="24"/>
        </w:rPr>
        <w:t>0</w:t>
      </w:r>
      <w:r w:rsidRPr="00133CA0">
        <w:rPr>
          <w:rFonts w:ascii="標楷體" w:eastAsia="標楷體" w:hAnsi="標楷體" w:hint="eastAsia"/>
          <w:szCs w:val="24"/>
        </w:rPr>
        <w:t>或</w:t>
      </w:r>
      <w:r w:rsidRPr="00133CA0">
        <w:rPr>
          <w:rFonts w:ascii="標楷體" w:eastAsia="標楷體" w:hAnsi="標楷體"/>
          <w:szCs w:val="24"/>
        </w:rPr>
        <w:t>1</w:t>
      </w:r>
      <w:r w:rsidRPr="00133CA0">
        <w:rPr>
          <w:rFonts w:ascii="標楷體" w:eastAsia="標楷體" w:hAnsi="標楷體" w:hint="eastAsia"/>
          <w:szCs w:val="24"/>
        </w:rPr>
        <w:t>。</w:t>
      </w:r>
    </w:p>
    <w:p w:rsidR="0020695F" w:rsidRPr="00133CA0" w:rsidRDefault="0020695F" w:rsidP="0020695F">
      <w:pPr>
        <w:spacing w:line="400" w:lineRule="exact"/>
        <w:ind w:leftChars="177" w:left="706" w:hangingChars="117" w:hanging="281"/>
        <w:rPr>
          <w:rFonts w:ascii="標楷體" w:eastAsia="標楷體" w:hAnsi="標楷體"/>
          <w:szCs w:val="24"/>
        </w:rPr>
      </w:pPr>
      <w:r w:rsidRPr="00133CA0">
        <w:rPr>
          <w:rFonts w:ascii="標楷體" w:eastAsia="標楷體" w:hAnsi="標楷體" w:hint="eastAsia"/>
          <w:szCs w:val="24"/>
        </w:rPr>
        <w:lastRenderedPageBreak/>
        <w:t>(4)病人不得有以下任一疾病</w:t>
      </w:r>
      <w:r w:rsidRPr="00133CA0">
        <w:rPr>
          <w:rFonts w:ascii="標楷體" w:eastAsia="標楷體" w:hAnsi="標楷體"/>
          <w:szCs w:val="24"/>
        </w:rPr>
        <w:t>:</w:t>
      </w:r>
    </w:p>
    <w:p w:rsidR="0020695F" w:rsidRPr="00133CA0" w:rsidRDefault="0020695F" w:rsidP="0020695F">
      <w:pPr>
        <w:spacing w:line="400" w:lineRule="exact"/>
        <w:ind w:leftChars="254" w:left="850" w:hangingChars="100" w:hanging="240"/>
        <w:rPr>
          <w:rFonts w:ascii="標楷體" w:eastAsia="標楷體" w:hAnsi="標楷體"/>
          <w:szCs w:val="24"/>
        </w:rPr>
      </w:pPr>
      <w:r w:rsidRPr="00133CA0">
        <w:rPr>
          <w:rFonts w:ascii="標楷體" w:eastAsia="標楷體" w:hAnsi="標楷體" w:hint="eastAsia"/>
          <w:szCs w:val="24"/>
        </w:rPr>
        <w:t>Ⅰ.中樞神經系統淋巴瘤或中樞神經疾病。</w:t>
      </w:r>
    </w:p>
    <w:p w:rsidR="0020695F" w:rsidRPr="00133CA0" w:rsidRDefault="0020695F" w:rsidP="0020695F">
      <w:pPr>
        <w:spacing w:line="400" w:lineRule="exact"/>
        <w:ind w:leftChars="254" w:left="850" w:hangingChars="100" w:hanging="240"/>
        <w:rPr>
          <w:rFonts w:ascii="標楷體" w:eastAsia="標楷體" w:hAnsi="標楷體"/>
          <w:szCs w:val="24"/>
        </w:rPr>
      </w:pPr>
      <w:r w:rsidRPr="00133CA0">
        <w:rPr>
          <w:rFonts w:ascii="標楷體" w:eastAsia="標楷體" w:hAnsi="標楷體" w:hint="eastAsia"/>
          <w:szCs w:val="24"/>
        </w:rPr>
        <w:t>Ⅱ.嚴重的心血管疾病，如</w:t>
      </w:r>
      <w:r w:rsidRPr="00133CA0">
        <w:rPr>
          <w:rFonts w:ascii="標楷體" w:eastAsia="標楷體" w:hAnsi="標楷體"/>
          <w:szCs w:val="24"/>
        </w:rPr>
        <w:t xml:space="preserve">NYHA (New York Heart Association) Class </w:t>
      </w:r>
      <w:r w:rsidRPr="00133CA0">
        <w:rPr>
          <w:rFonts w:ascii="標楷體" w:eastAsia="標楷體" w:hAnsi="標楷體" w:hint="eastAsia"/>
          <w:szCs w:val="24"/>
        </w:rPr>
        <w:t>Ⅲ或Ⅳ。</w:t>
      </w:r>
    </w:p>
    <w:p w:rsidR="0020695F" w:rsidRPr="00133CA0" w:rsidRDefault="0020695F" w:rsidP="0020695F">
      <w:pPr>
        <w:spacing w:line="400" w:lineRule="exact"/>
        <w:ind w:leftChars="254" w:left="850" w:hangingChars="100" w:hanging="240"/>
        <w:rPr>
          <w:rFonts w:ascii="標楷體" w:eastAsia="標楷體" w:hAnsi="標楷體"/>
          <w:szCs w:val="24"/>
        </w:rPr>
      </w:pPr>
      <w:r w:rsidRPr="00133CA0">
        <w:rPr>
          <w:rFonts w:ascii="標楷體" w:eastAsia="標楷體" w:hAnsi="標楷體" w:hint="eastAsia"/>
          <w:szCs w:val="24"/>
        </w:rPr>
        <w:t>Ⅲ.自體免疫疾病正積極治療者。</w:t>
      </w:r>
    </w:p>
    <w:p w:rsidR="0020695F" w:rsidRPr="00133CA0" w:rsidRDefault="0020695F" w:rsidP="0020695F">
      <w:pPr>
        <w:spacing w:line="400" w:lineRule="exact"/>
        <w:ind w:leftChars="136" w:left="566" w:hangingChars="100" w:hanging="240"/>
        <w:rPr>
          <w:rFonts w:ascii="標楷體" w:eastAsia="標楷體" w:hAnsi="標楷體"/>
          <w:szCs w:val="24"/>
        </w:rPr>
      </w:pPr>
      <w:r w:rsidRPr="00133CA0">
        <w:rPr>
          <w:rFonts w:ascii="標楷體" w:eastAsia="標楷體" w:hAnsi="標楷體" w:hint="eastAsia"/>
          <w:szCs w:val="24"/>
        </w:rPr>
        <w:t>2.須經事前審查核准以使用，每次申請事前審查以</w:t>
      </w:r>
      <w:r w:rsidRPr="00133CA0">
        <w:rPr>
          <w:rFonts w:ascii="標楷體" w:eastAsia="標楷體" w:hAnsi="標楷體"/>
          <w:szCs w:val="24"/>
        </w:rPr>
        <w:t>3</w:t>
      </w:r>
      <w:r w:rsidRPr="00133CA0">
        <w:rPr>
          <w:rFonts w:ascii="標楷體" w:eastAsia="標楷體" w:hAnsi="標楷體" w:hint="eastAsia"/>
          <w:szCs w:val="24"/>
        </w:rPr>
        <w:t>個療程為限，首次再申請須檢附達到</w:t>
      </w:r>
      <w:r w:rsidRPr="00133CA0">
        <w:rPr>
          <w:rFonts w:ascii="標楷體" w:eastAsia="標楷體" w:hAnsi="標楷體"/>
          <w:szCs w:val="24"/>
        </w:rPr>
        <w:t>CR</w:t>
      </w:r>
      <w:r w:rsidRPr="00133CA0">
        <w:rPr>
          <w:rFonts w:ascii="標楷體" w:eastAsia="標楷體" w:hAnsi="標楷體" w:hint="eastAsia"/>
          <w:szCs w:val="24"/>
        </w:rPr>
        <w:t>或</w:t>
      </w:r>
      <w:r w:rsidRPr="00133CA0">
        <w:rPr>
          <w:rFonts w:ascii="標楷體" w:eastAsia="標楷體" w:hAnsi="標楷體"/>
          <w:szCs w:val="24"/>
        </w:rPr>
        <w:t>PR</w:t>
      </w:r>
      <w:r w:rsidRPr="00133CA0">
        <w:rPr>
          <w:rFonts w:ascii="標楷體" w:eastAsia="標楷體" w:hAnsi="標楷體" w:hint="eastAsia"/>
          <w:szCs w:val="24"/>
        </w:rPr>
        <w:t>的證明方可續用；其後續申請須證明疾病無惡化方可續用。若病情惡化即須停用。</w:t>
      </w:r>
    </w:p>
    <w:p w:rsidR="0020695F" w:rsidRPr="00133CA0" w:rsidRDefault="0020695F" w:rsidP="0020695F">
      <w:pPr>
        <w:spacing w:line="400" w:lineRule="exact"/>
        <w:ind w:leftChars="136" w:left="566" w:hangingChars="100" w:hanging="240"/>
        <w:rPr>
          <w:rFonts w:ascii="標楷體" w:eastAsia="標楷體" w:hAnsi="標楷體"/>
          <w:szCs w:val="24"/>
        </w:rPr>
      </w:pPr>
      <w:r w:rsidRPr="00133CA0">
        <w:rPr>
          <w:rFonts w:ascii="標楷體" w:eastAsia="標楷體" w:hAnsi="標楷體" w:hint="eastAsia"/>
          <w:szCs w:val="24"/>
        </w:rPr>
        <w:t>3.總療程以</w:t>
      </w:r>
      <w:r w:rsidRPr="00133CA0">
        <w:rPr>
          <w:rFonts w:ascii="標楷體" w:eastAsia="標楷體" w:hAnsi="標楷體"/>
          <w:szCs w:val="24"/>
        </w:rPr>
        <w:t>12</w:t>
      </w:r>
      <w:r w:rsidRPr="00133CA0">
        <w:rPr>
          <w:rFonts w:ascii="標楷體" w:eastAsia="標楷體" w:hAnsi="標楷體" w:hint="eastAsia"/>
          <w:szCs w:val="24"/>
        </w:rPr>
        <w:t>個療程為上限；每位病人一生限用一次</w:t>
      </w:r>
      <w:r w:rsidRPr="00133CA0">
        <w:rPr>
          <w:rFonts w:ascii="標楷體" w:eastAsia="標楷體" w:hAnsi="標楷體"/>
          <w:szCs w:val="24"/>
        </w:rPr>
        <w:t xml:space="preserve"> (12</w:t>
      </w:r>
      <w:r w:rsidRPr="00133CA0">
        <w:rPr>
          <w:rFonts w:ascii="標楷體" w:eastAsia="標楷體" w:hAnsi="標楷體" w:hint="eastAsia"/>
          <w:szCs w:val="24"/>
        </w:rPr>
        <w:t>個療程</w:t>
      </w:r>
      <w:r w:rsidRPr="00133CA0">
        <w:rPr>
          <w:rFonts w:ascii="標楷體" w:eastAsia="標楷體" w:hAnsi="標楷體"/>
          <w:szCs w:val="24"/>
        </w:rPr>
        <w:t>)</w:t>
      </w:r>
      <w:r w:rsidRPr="00133CA0">
        <w:rPr>
          <w:rFonts w:ascii="標楷體" w:eastAsia="標楷體" w:hAnsi="標楷體" w:hint="eastAsia"/>
          <w:szCs w:val="24"/>
        </w:rPr>
        <w:t>，不得重複申請。</w:t>
      </w:r>
    </w:p>
    <w:p w:rsidR="0020695F" w:rsidRPr="00133CA0" w:rsidRDefault="0020695F" w:rsidP="0020695F">
      <w:pPr>
        <w:spacing w:line="400" w:lineRule="exact"/>
        <w:ind w:leftChars="136" w:left="566" w:hangingChars="100" w:hanging="240"/>
        <w:rPr>
          <w:rFonts w:ascii="標楷體" w:eastAsia="標楷體" w:hAnsi="標楷體"/>
          <w:szCs w:val="24"/>
        </w:rPr>
      </w:pPr>
      <w:r w:rsidRPr="00133CA0">
        <w:rPr>
          <w:rFonts w:ascii="標楷體" w:eastAsia="標楷體" w:hAnsi="標楷體" w:hint="eastAsia"/>
          <w:szCs w:val="24"/>
        </w:rPr>
        <w:t>4.執行醫師須為血液病或造血幹細胞移植專科醫師且須完成血液病或造血幹細胞移植的相關照護訓練。</w:t>
      </w:r>
    </w:p>
    <w:p w:rsidR="00D4365C" w:rsidRDefault="0020695F" w:rsidP="00B60500">
      <w:pPr>
        <w:spacing w:line="400" w:lineRule="exact"/>
        <w:ind w:leftChars="118" w:left="283"/>
        <w:jc w:val="both"/>
        <w:rPr>
          <w:rFonts w:ascii="標楷體" w:eastAsia="標楷體" w:hAnsi="標楷體"/>
          <w:szCs w:val="24"/>
        </w:rPr>
      </w:pPr>
      <w:r w:rsidRPr="00133CA0">
        <w:rPr>
          <w:rFonts w:ascii="標楷體" w:eastAsia="標楷體" w:hAnsi="標楷體" w:hint="eastAsia"/>
          <w:szCs w:val="24"/>
        </w:rPr>
        <w:t>5.病人接受本藥物治療後，不給付造血幹細胞移植。</w:t>
      </w:r>
    </w:p>
    <w:p w:rsidR="00B74E3A" w:rsidRPr="006A2FC8" w:rsidRDefault="00B74E3A" w:rsidP="00B74E3A">
      <w:pPr>
        <w:tabs>
          <w:tab w:val="left" w:pos="1418"/>
        </w:tabs>
        <w:spacing w:line="400" w:lineRule="exact"/>
        <w:ind w:left="567" w:hanging="527"/>
        <w:rPr>
          <w:rFonts w:ascii="標楷體" w:eastAsia="標楷體" w:hAnsi="標楷體"/>
          <w:color w:val="000000"/>
        </w:rPr>
      </w:pPr>
      <w:r w:rsidRPr="006A2FC8">
        <w:rPr>
          <w:rFonts w:ascii="標楷體" w:eastAsia="標楷體" w:hAnsi="標楷體" w:hint="eastAsia"/>
          <w:color w:val="000000"/>
        </w:rPr>
        <w:t>9.125.Quizartinib（如Vanflyta）：（114/10/1)</w:t>
      </w:r>
    </w:p>
    <w:p w:rsidR="00B74E3A" w:rsidRPr="006A2FC8" w:rsidRDefault="00B74E3A" w:rsidP="00B74E3A">
      <w:pPr>
        <w:tabs>
          <w:tab w:val="left" w:pos="1418"/>
        </w:tabs>
        <w:spacing w:line="400" w:lineRule="exact"/>
        <w:ind w:left="567" w:hanging="245"/>
        <w:rPr>
          <w:rFonts w:ascii="標楷體" w:eastAsia="標楷體" w:hAnsi="標楷體"/>
          <w:color w:val="000000"/>
        </w:rPr>
      </w:pPr>
      <w:r w:rsidRPr="006A2FC8">
        <w:rPr>
          <w:rFonts w:ascii="標楷體" w:eastAsia="標楷體" w:hAnsi="標楷體" w:hint="eastAsia"/>
          <w:color w:val="000000"/>
        </w:rPr>
        <w:t>1.</w:t>
      </w:r>
      <w:r w:rsidRPr="006A2FC8">
        <w:rPr>
          <w:rFonts w:ascii="標楷體" w:eastAsia="標楷體" w:hAnsi="標楷體" w:hint="eastAsia"/>
          <w:color w:val="000000"/>
        </w:rPr>
        <w:tab/>
        <w:t>限用於新確診為FLT3-ITD 突變陽性的急性骨髓性白血病(AML)成人病人，於標準前導(cytarabine 和anthracycline)與鞏固性化療(cytarabine)時合併使用，及於維持治療時單獨使用。</w:t>
      </w:r>
    </w:p>
    <w:p w:rsidR="00B74E3A" w:rsidRPr="006A2FC8" w:rsidRDefault="00B74E3A" w:rsidP="00B74E3A">
      <w:pPr>
        <w:tabs>
          <w:tab w:val="left" w:pos="1418"/>
        </w:tabs>
        <w:spacing w:line="400" w:lineRule="exact"/>
        <w:ind w:left="567" w:hanging="245"/>
        <w:rPr>
          <w:rFonts w:ascii="標楷體" w:eastAsia="標楷體" w:hAnsi="標楷體"/>
          <w:color w:val="000000"/>
        </w:rPr>
      </w:pPr>
      <w:r w:rsidRPr="006A2FC8">
        <w:rPr>
          <w:rFonts w:ascii="標楷體" w:eastAsia="標楷體" w:hAnsi="標楷體" w:hint="eastAsia"/>
          <w:color w:val="000000"/>
        </w:rPr>
        <w:t>2.</w:t>
      </w:r>
      <w:r w:rsidRPr="006A2FC8">
        <w:rPr>
          <w:rFonts w:ascii="標楷體" w:eastAsia="標楷體" w:hAnsi="標楷體" w:hint="eastAsia"/>
          <w:color w:val="000000"/>
        </w:rPr>
        <w:tab/>
        <w:t>需排除急性前骨髓性細胞白血病（acute promyelocytic leukemia，APL）的病人。</w:t>
      </w:r>
    </w:p>
    <w:p w:rsidR="00B74E3A" w:rsidRPr="006A2FC8" w:rsidRDefault="00B74E3A" w:rsidP="00B74E3A">
      <w:pPr>
        <w:tabs>
          <w:tab w:val="left" w:pos="1418"/>
        </w:tabs>
        <w:spacing w:line="400" w:lineRule="exact"/>
        <w:ind w:left="567" w:hanging="245"/>
        <w:rPr>
          <w:rFonts w:ascii="標楷體" w:eastAsia="標楷體" w:hAnsi="標楷體"/>
          <w:color w:val="000000"/>
        </w:rPr>
      </w:pPr>
      <w:r w:rsidRPr="006A2FC8">
        <w:rPr>
          <w:rFonts w:ascii="標楷體" w:eastAsia="標楷體" w:hAnsi="標楷體" w:hint="eastAsia"/>
          <w:color w:val="000000"/>
        </w:rPr>
        <w:t>3.</w:t>
      </w:r>
      <w:r w:rsidRPr="006A2FC8">
        <w:rPr>
          <w:rFonts w:ascii="標楷體" w:eastAsia="標楷體" w:hAnsi="標楷體" w:hint="eastAsia"/>
          <w:color w:val="000000"/>
        </w:rPr>
        <w:tab/>
        <w:t>首次用於標準前導期，可免事前審查，且以2個療程為限。若在2個療程後仍未達完全緩解，則不得再使用。</w:t>
      </w:r>
    </w:p>
    <w:p w:rsidR="00B74E3A" w:rsidRPr="006A2FC8" w:rsidRDefault="00B74E3A" w:rsidP="00B74E3A">
      <w:pPr>
        <w:tabs>
          <w:tab w:val="left" w:pos="1418"/>
        </w:tabs>
        <w:spacing w:line="400" w:lineRule="exact"/>
        <w:ind w:left="567" w:hanging="245"/>
        <w:rPr>
          <w:rFonts w:ascii="標楷體" w:eastAsia="標楷體" w:hAnsi="標楷體"/>
          <w:color w:val="000000"/>
        </w:rPr>
      </w:pPr>
      <w:r w:rsidRPr="006A2FC8">
        <w:rPr>
          <w:rFonts w:ascii="標楷體" w:eastAsia="標楷體" w:hAnsi="標楷體" w:hint="eastAsia"/>
          <w:color w:val="000000"/>
        </w:rPr>
        <w:t>4.</w:t>
      </w:r>
      <w:r w:rsidRPr="006A2FC8">
        <w:rPr>
          <w:rFonts w:ascii="標楷體" w:eastAsia="標楷體" w:hAnsi="標楷體" w:hint="eastAsia"/>
          <w:color w:val="000000"/>
        </w:rPr>
        <w:tab/>
        <w:t>續用於鞏固治療時需經事前審查核准後使用，申請時須檢附FLT3 突變陽性檢測結果及日期、化學治療處方紀錄及療效評估，每次續用申請以2個療程為限，並需檢附前次治療結果評估資料證實無疾病進展，才可繼續使用。前導治療與鞏固治療每人以總共給付6個療程為上限。</w:t>
      </w:r>
    </w:p>
    <w:p w:rsidR="00B74E3A" w:rsidRPr="006A2FC8" w:rsidRDefault="00B74E3A" w:rsidP="00B74E3A">
      <w:pPr>
        <w:tabs>
          <w:tab w:val="left" w:pos="1418"/>
        </w:tabs>
        <w:spacing w:line="400" w:lineRule="exact"/>
        <w:ind w:left="567" w:hanging="245"/>
        <w:rPr>
          <w:rFonts w:ascii="標楷體" w:eastAsia="標楷體" w:hAnsi="標楷體"/>
          <w:color w:val="000000"/>
        </w:rPr>
      </w:pPr>
      <w:r w:rsidRPr="006A2FC8">
        <w:rPr>
          <w:rFonts w:ascii="標楷體" w:eastAsia="標楷體" w:hAnsi="標楷體" w:hint="eastAsia"/>
          <w:color w:val="000000"/>
        </w:rPr>
        <w:t>5.</w:t>
      </w:r>
      <w:r w:rsidRPr="006A2FC8">
        <w:rPr>
          <w:rFonts w:ascii="標楷體" w:eastAsia="標楷體" w:hAnsi="標楷體" w:hint="eastAsia"/>
          <w:color w:val="000000"/>
        </w:rPr>
        <w:tab/>
        <w:t>維持治療僅限於無疾病進展且尚未接受造血幹細胞移植的病人，病人接受造血幹細胞移植後即需停用。續用維持治療須經審查核准後使用，初次申請為3個療程，並須檢附前次治療結果評估資料證實無疾病進展才可繼續使用，每3個療程需再次申請，可治療至疾病復發或無法耐受藥物毒性為止。維持治療每人以24個療程為上限。</w:t>
      </w:r>
    </w:p>
    <w:p w:rsidR="00B74E3A" w:rsidRPr="006A2FC8" w:rsidRDefault="00B74E3A" w:rsidP="00B74E3A">
      <w:pPr>
        <w:tabs>
          <w:tab w:val="left" w:pos="1418"/>
        </w:tabs>
        <w:spacing w:line="400" w:lineRule="exact"/>
        <w:ind w:left="567" w:hanging="245"/>
        <w:rPr>
          <w:rFonts w:ascii="標楷體" w:eastAsia="標楷體" w:hAnsi="標楷體"/>
          <w:color w:val="000000"/>
        </w:rPr>
      </w:pPr>
      <w:r w:rsidRPr="006A2FC8">
        <w:rPr>
          <w:rFonts w:ascii="標楷體" w:eastAsia="標楷體" w:hAnsi="標楷體" w:hint="eastAsia"/>
          <w:color w:val="000000"/>
        </w:rPr>
        <w:t>6.</w:t>
      </w:r>
      <w:r w:rsidRPr="006A2FC8">
        <w:rPr>
          <w:rFonts w:ascii="標楷體" w:eastAsia="標楷體" w:hAnsi="標楷體" w:hint="eastAsia"/>
          <w:color w:val="000000"/>
        </w:rPr>
        <w:tab/>
        <w:t>前導治療與鞏固治療限與midostaurin僅得擇一使用，除因耐受性不良，不得互換。</w:t>
      </w:r>
    </w:p>
    <w:p w:rsidR="00B74E3A" w:rsidRPr="00B74E3A" w:rsidRDefault="00B74E3A" w:rsidP="00B74E3A">
      <w:pPr>
        <w:tabs>
          <w:tab w:val="left" w:pos="1418"/>
        </w:tabs>
        <w:spacing w:line="400" w:lineRule="exact"/>
        <w:ind w:left="567" w:hanging="245"/>
        <w:rPr>
          <w:rFonts w:ascii="標楷體" w:eastAsia="標楷體" w:hAnsi="標楷體"/>
          <w:color w:val="000000"/>
        </w:rPr>
      </w:pPr>
      <w:r w:rsidRPr="006A2FC8">
        <w:rPr>
          <w:rFonts w:ascii="標楷體" w:eastAsia="標楷體" w:hAnsi="標楷體" w:hint="eastAsia"/>
          <w:color w:val="000000"/>
        </w:rPr>
        <w:t>7.</w:t>
      </w:r>
      <w:r w:rsidRPr="006A2FC8">
        <w:rPr>
          <w:rFonts w:ascii="標楷體" w:eastAsia="標楷體" w:hAnsi="標楷體" w:hint="eastAsia"/>
          <w:color w:val="000000"/>
        </w:rPr>
        <w:tab/>
        <w:t>維持治療限與azacitidine擇一使用，除因耐受性不良，不得互換。</w:t>
      </w:r>
    </w:p>
    <w:p w:rsidR="001314F6" w:rsidRPr="00367DBE" w:rsidRDefault="001314F6" w:rsidP="001314F6">
      <w:pPr>
        <w:spacing w:line="400" w:lineRule="exact"/>
        <w:rPr>
          <w:rFonts w:ascii="標楷體" w:eastAsia="標楷體" w:hAnsi="標楷體"/>
          <w:szCs w:val="24"/>
        </w:rPr>
      </w:pPr>
      <w:r w:rsidRPr="00367DBE">
        <w:rPr>
          <w:rFonts w:ascii="標楷體" w:eastAsia="標楷體" w:hAnsi="標楷體"/>
          <w:szCs w:val="24"/>
        </w:rPr>
        <w:t>9.</w:t>
      </w:r>
      <w:r w:rsidRPr="00367DBE">
        <w:rPr>
          <w:rFonts w:ascii="標楷體" w:eastAsia="標楷體" w:hAnsi="標楷體" w:hint="eastAsia"/>
          <w:szCs w:val="24"/>
        </w:rPr>
        <w:t>126</w:t>
      </w:r>
      <w:r w:rsidRPr="00367DBE">
        <w:rPr>
          <w:rFonts w:ascii="標楷體" w:eastAsia="標楷體" w:hAnsi="標楷體"/>
          <w:szCs w:val="24"/>
        </w:rPr>
        <w:t>.Amivantamab</w:t>
      </w:r>
      <w:r w:rsidRPr="00367DBE">
        <w:rPr>
          <w:rFonts w:ascii="標楷體" w:eastAsia="標楷體" w:hAnsi="標楷體" w:hint="eastAsia"/>
          <w:szCs w:val="24"/>
        </w:rPr>
        <w:t>(</w:t>
      </w:r>
      <w:r w:rsidRPr="00367DBE">
        <w:rPr>
          <w:rFonts w:ascii="標楷體" w:eastAsia="標楷體" w:hAnsi="標楷體"/>
          <w:szCs w:val="24"/>
        </w:rPr>
        <w:t>如Rybrevant)</w:t>
      </w:r>
      <w:r w:rsidRPr="00367DBE">
        <w:rPr>
          <w:rFonts w:ascii="標楷體" w:eastAsia="標楷體" w:hAnsi="標楷體" w:hint="eastAsia"/>
          <w:szCs w:val="24"/>
        </w:rPr>
        <w:t>：</w:t>
      </w:r>
      <w:r w:rsidRPr="00367DBE">
        <w:rPr>
          <w:rFonts w:ascii="標楷體" w:eastAsia="標楷體" w:hAnsi="標楷體"/>
          <w:szCs w:val="24"/>
        </w:rPr>
        <w:t>(114/</w:t>
      </w:r>
      <w:r w:rsidRPr="00367DBE">
        <w:rPr>
          <w:rFonts w:ascii="標楷體" w:eastAsia="標楷體" w:hAnsi="標楷體" w:hint="eastAsia"/>
          <w:szCs w:val="24"/>
        </w:rPr>
        <w:t>10</w:t>
      </w:r>
      <w:r w:rsidRPr="00367DBE">
        <w:rPr>
          <w:rFonts w:ascii="標楷體" w:eastAsia="標楷體" w:hAnsi="標楷體"/>
          <w:szCs w:val="24"/>
        </w:rPr>
        <w:t>/1)</w:t>
      </w:r>
    </w:p>
    <w:p w:rsidR="001314F6" w:rsidRPr="00367DBE" w:rsidRDefault="001314F6" w:rsidP="001314F6">
      <w:pPr>
        <w:pStyle w:val="a9"/>
        <w:tabs>
          <w:tab w:val="left" w:pos="1418"/>
        </w:tabs>
        <w:spacing w:line="400" w:lineRule="exact"/>
        <w:ind w:leftChars="136" w:left="566" w:hangingChars="100" w:hanging="240"/>
        <w:rPr>
          <w:rFonts w:ascii="標楷體" w:eastAsia="標楷體" w:hAnsi="標楷體"/>
        </w:rPr>
      </w:pPr>
      <w:r w:rsidRPr="00367DBE">
        <w:rPr>
          <w:rFonts w:ascii="標楷體" w:eastAsia="標楷體" w:hAnsi="標楷體" w:hint="eastAsia"/>
        </w:rPr>
        <w:t>1</w:t>
      </w:r>
      <w:r w:rsidRPr="00367DBE">
        <w:rPr>
          <w:rFonts w:ascii="標楷體" w:eastAsia="標楷體" w:hAnsi="標楷體"/>
        </w:rPr>
        <w:t>.與carboplatin 及pemetrexed 併用，適用於罹患帶有表皮生長因子受體(EGFR) exon 20 插入突變之局部晚期或轉移性非小細胞肺癌(NSCLC)的成人病人，作為第一線治療。</w:t>
      </w:r>
    </w:p>
    <w:p w:rsidR="001314F6" w:rsidRPr="00367DBE" w:rsidRDefault="001314F6" w:rsidP="001314F6">
      <w:pPr>
        <w:pStyle w:val="a9"/>
        <w:tabs>
          <w:tab w:val="left" w:pos="1418"/>
        </w:tabs>
        <w:spacing w:line="400" w:lineRule="exact"/>
        <w:ind w:leftChars="118" w:left="283"/>
        <w:rPr>
          <w:rFonts w:ascii="標楷體" w:eastAsia="標楷體" w:hAnsi="標楷體"/>
        </w:rPr>
      </w:pPr>
      <w:r w:rsidRPr="00367DBE">
        <w:rPr>
          <w:rFonts w:ascii="標楷體" w:eastAsia="標楷體" w:hAnsi="標楷體" w:hint="eastAsia"/>
        </w:rPr>
        <w:t>2</w:t>
      </w:r>
      <w:r w:rsidRPr="00367DBE">
        <w:rPr>
          <w:rFonts w:ascii="標楷體" w:eastAsia="標楷體" w:hAnsi="標楷體"/>
        </w:rPr>
        <w:t>.需經事前審查核准後使用</w:t>
      </w:r>
      <w:r w:rsidRPr="00367DBE">
        <w:rPr>
          <w:rFonts w:ascii="標楷體" w:eastAsia="標楷體" w:hAnsi="標楷體" w:hint="eastAsia"/>
        </w:rPr>
        <w:t>：</w:t>
      </w:r>
    </w:p>
    <w:p w:rsidR="001314F6" w:rsidRPr="00367DBE" w:rsidRDefault="001314F6" w:rsidP="001314F6">
      <w:pPr>
        <w:pStyle w:val="a9"/>
        <w:spacing w:line="400" w:lineRule="exact"/>
        <w:ind w:leftChars="204" w:left="850" w:hangingChars="150" w:hanging="360"/>
        <w:rPr>
          <w:rFonts w:ascii="標楷體" w:eastAsia="標楷體" w:hAnsi="標楷體"/>
        </w:rPr>
      </w:pPr>
      <w:r w:rsidRPr="00367DBE">
        <w:rPr>
          <w:rFonts w:ascii="標楷體" w:eastAsia="標楷體" w:hAnsi="標楷體" w:hint="eastAsia"/>
        </w:rPr>
        <w:t>(</w:t>
      </w:r>
      <w:r w:rsidRPr="00367DBE">
        <w:rPr>
          <w:rFonts w:ascii="標楷體" w:eastAsia="標楷體" w:hAnsi="標楷體"/>
        </w:rPr>
        <w:t>1)</w:t>
      </w:r>
      <w:r w:rsidRPr="00367DBE">
        <w:rPr>
          <w:rFonts w:ascii="標楷體" w:eastAsia="標楷體" w:hAnsi="標楷體" w:hint="eastAsia"/>
        </w:rPr>
        <w:t>初次申請時需檢具確實患有非小細胞肺癌之病理或細胞檢查報告，及檢具表皮生長因子受體</w:t>
      </w:r>
      <w:r w:rsidRPr="00367DBE">
        <w:rPr>
          <w:rFonts w:ascii="標楷體" w:eastAsia="標楷體" w:hAnsi="標楷體"/>
        </w:rPr>
        <w:t xml:space="preserve"> (EGFR) exon 20</w:t>
      </w:r>
      <w:r w:rsidRPr="00367DBE">
        <w:rPr>
          <w:rFonts w:ascii="標楷體" w:eastAsia="標楷體" w:hAnsi="標楷體" w:hint="eastAsia"/>
        </w:rPr>
        <w:t>插入突變分析檢測結果報告，且需符合全民健康保險藥品給付規定之通則十二。</w:t>
      </w:r>
    </w:p>
    <w:p w:rsidR="001314F6" w:rsidRDefault="001314F6" w:rsidP="001314F6">
      <w:pPr>
        <w:spacing w:line="400" w:lineRule="exact"/>
        <w:ind w:leftChars="118" w:left="283"/>
        <w:jc w:val="both"/>
        <w:rPr>
          <w:rFonts w:ascii="標楷體" w:eastAsia="標楷體" w:hAnsi="標楷體"/>
          <w:szCs w:val="24"/>
        </w:rPr>
      </w:pPr>
      <w:r w:rsidRPr="00367DBE">
        <w:rPr>
          <w:rFonts w:ascii="標楷體" w:eastAsia="標楷體" w:hAnsi="標楷體" w:hint="eastAsia"/>
          <w:szCs w:val="24"/>
        </w:rPr>
        <w:lastRenderedPageBreak/>
        <w:t>(2)每次申請事前審查之療程以</w:t>
      </w:r>
      <w:r w:rsidRPr="00367DBE">
        <w:rPr>
          <w:rFonts w:ascii="標楷體" w:eastAsia="標楷體" w:hAnsi="標楷體"/>
          <w:szCs w:val="24"/>
        </w:rPr>
        <w:t>3</w:t>
      </w:r>
      <w:r w:rsidRPr="00367DBE">
        <w:rPr>
          <w:rFonts w:ascii="標楷體" w:eastAsia="標楷體" w:hAnsi="標楷體" w:hint="eastAsia"/>
          <w:szCs w:val="24"/>
        </w:rPr>
        <w:t>個月為限，每</w:t>
      </w:r>
      <w:r w:rsidRPr="00367DBE">
        <w:rPr>
          <w:rFonts w:ascii="標楷體" w:eastAsia="標楷體" w:hAnsi="標楷體"/>
          <w:szCs w:val="24"/>
        </w:rPr>
        <w:t>3</w:t>
      </w:r>
      <w:r w:rsidRPr="00367DBE">
        <w:rPr>
          <w:rFonts w:ascii="標楷體" w:eastAsia="標楷體" w:hAnsi="標楷體" w:hint="eastAsia"/>
          <w:szCs w:val="24"/>
        </w:rPr>
        <w:t>個月需再次申請，再次申請時需檢附療效評估資料，若病情惡化即不得再次申請。</w:t>
      </w:r>
    </w:p>
    <w:p w:rsidR="00D250AB" w:rsidRPr="00AB5B6D" w:rsidRDefault="00D250AB" w:rsidP="00D250AB">
      <w:pPr>
        <w:snapToGrid w:val="0"/>
        <w:spacing w:line="400" w:lineRule="exact"/>
        <w:ind w:left="567" w:hanging="283"/>
        <w:jc w:val="both"/>
        <w:rPr>
          <w:rFonts w:ascii="標楷體" w:eastAsia="標楷體" w:hAnsi="標楷體"/>
          <w:szCs w:val="24"/>
        </w:rPr>
      </w:pPr>
      <w:r w:rsidRPr="00AB5B6D">
        <w:rPr>
          <w:rFonts w:ascii="標楷體" w:eastAsia="標楷體" w:hAnsi="標楷體" w:hint="eastAsia"/>
          <w:szCs w:val="24"/>
        </w:rPr>
        <w:t>9.127.Momelotinib (如Omjjara)：(114/10/1)</w:t>
      </w:r>
    </w:p>
    <w:p w:rsidR="00D250AB" w:rsidRPr="00AB5B6D" w:rsidRDefault="00D250AB" w:rsidP="00D250AB">
      <w:pPr>
        <w:snapToGrid w:val="0"/>
        <w:spacing w:line="400" w:lineRule="exact"/>
        <w:ind w:left="851" w:hanging="283"/>
        <w:jc w:val="both"/>
        <w:rPr>
          <w:rFonts w:ascii="標楷體" w:eastAsia="標楷體" w:hAnsi="標楷體"/>
          <w:szCs w:val="24"/>
        </w:rPr>
      </w:pPr>
      <w:r w:rsidRPr="00AB5B6D">
        <w:rPr>
          <w:rFonts w:ascii="標楷體" w:eastAsia="標楷體" w:hAnsi="標楷體"/>
          <w:szCs w:val="24"/>
        </w:rPr>
        <w:t>1.</w:t>
      </w:r>
      <w:r w:rsidRPr="00AB5B6D">
        <w:rPr>
          <w:rFonts w:ascii="標楷體" w:eastAsia="標楷體" w:hAnsi="標楷體" w:hint="eastAsia"/>
          <w:szCs w:val="24"/>
        </w:rPr>
        <w:t>用於未曾接受</w:t>
      </w:r>
      <w:r w:rsidRPr="00AB5B6D">
        <w:rPr>
          <w:rFonts w:ascii="標楷體" w:eastAsia="標楷體" w:hAnsi="標楷體"/>
          <w:szCs w:val="24"/>
        </w:rPr>
        <w:t>Janus</w:t>
      </w:r>
      <w:r w:rsidRPr="00AB5B6D">
        <w:rPr>
          <w:rFonts w:ascii="標楷體" w:eastAsia="標楷體" w:hAnsi="標楷體" w:hint="eastAsia"/>
          <w:szCs w:val="24"/>
        </w:rPr>
        <w:t>激酶抑制劑（</w:t>
      </w:r>
      <w:r w:rsidRPr="00AB5B6D">
        <w:rPr>
          <w:rFonts w:ascii="標楷體" w:eastAsia="標楷體" w:hAnsi="標楷體"/>
          <w:szCs w:val="24"/>
        </w:rPr>
        <w:t>JAK inhibitor</w:t>
      </w:r>
      <w:r w:rsidRPr="00AB5B6D">
        <w:rPr>
          <w:rFonts w:ascii="標楷體" w:eastAsia="標楷體" w:hAnsi="標楷體" w:hint="eastAsia"/>
          <w:szCs w:val="24"/>
        </w:rPr>
        <w:t>）治療或曾接受</w:t>
      </w:r>
      <w:r w:rsidRPr="00AB5B6D">
        <w:rPr>
          <w:rFonts w:ascii="標楷體" w:eastAsia="標楷體" w:hAnsi="標楷體"/>
          <w:szCs w:val="24"/>
        </w:rPr>
        <w:t>ruxolitinib</w:t>
      </w:r>
      <w:r w:rsidRPr="00AB5B6D">
        <w:rPr>
          <w:rFonts w:ascii="標楷體" w:eastAsia="標楷體" w:hAnsi="標楷體" w:hint="eastAsia"/>
          <w:szCs w:val="24"/>
        </w:rPr>
        <w:t>、</w:t>
      </w:r>
      <w:r w:rsidRPr="00AB5B6D">
        <w:rPr>
          <w:rFonts w:ascii="標楷體" w:eastAsia="標楷體" w:hAnsi="標楷體"/>
          <w:szCs w:val="24"/>
        </w:rPr>
        <w:t>fedratinib</w:t>
      </w:r>
      <w:r w:rsidRPr="00AB5B6D">
        <w:rPr>
          <w:rFonts w:ascii="標楷體" w:eastAsia="標楷體" w:hAnsi="標楷體" w:hint="eastAsia"/>
          <w:szCs w:val="24"/>
        </w:rPr>
        <w:t>治療後不耐受或有禁忌症，且為</w:t>
      </w:r>
      <w:r w:rsidRPr="00AB5B6D">
        <w:rPr>
          <w:rFonts w:ascii="標楷體" w:eastAsia="標楷體" w:hAnsi="標楷體"/>
          <w:szCs w:val="24"/>
        </w:rPr>
        <w:t>International Working Group</w:t>
      </w:r>
      <w:r w:rsidRPr="00AB5B6D">
        <w:rPr>
          <w:rFonts w:ascii="標楷體" w:eastAsia="標楷體" w:hAnsi="標楷體" w:hint="eastAsia"/>
          <w:szCs w:val="24"/>
        </w:rPr>
        <w:t>（</w:t>
      </w:r>
      <w:r w:rsidRPr="00AB5B6D">
        <w:rPr>
          <w:rFonts w:ascii="標楷體" w:eastAsia="標楷體" w:hAnsi="標楷體"/>
          <w:szCs w:val="24"/>
        </w:rPr>
        <w:t>IWG</w:t>
      </w:r>
      <w:r w:rsidRPr="00AB5B6D">
        <w:rPr>
          <w:rFonts w:ascii="標楷體" w:eastAsia="標楷體" w:hAnsi="標楷體" w:hint="eastAsia"/>
          <w:szCs w:val="24"/>
        </w:rPr>
        <w:t>）</w:t>
      </w:r>
      <w:r w:rsidRPr="00AB5B6D">
        <w:rPr>
          <w:rFonts w:ascii="標楷體" w:eastAsia="標楷體" w:hAnsi="標楷體"/>
          <w:szCs w:val="24"/>
        </w:rPr>
        <w:t>Consensus Criteria</w:t>
      </w:r>
      <w:r w:rsidRPr="00AB5B6D">
        <w:rPr>
          <w:rFonts w:ascii="標楷體" w:eastAsia="標楷體" w:hAnsi="標楷體" w:hint="eastAsia"/>
          <w:szCs w:val="24"/>
        </w:rPr>
        <w:t>中度風險或高風險之骨髓纖維化，包括原發性骨髓纖維化、真性紅血球增多症後骨髓纖維化、或血小板增多症後骨髓纖維化等疾病所造成脾臟腫大（</w:t>
      </w:r>
      <w:r w:rsidRPr="00AB5B6D">
        <w:rPr>
          <w:rFonts w:ascii="標楷體" w:eastAsia="標楷體" w:hAnsi="標楷體"/>
          <w:szCs w:val="24"/>
        </w:rPr>
        <w:t>symptomatic splenomegaly</w:t>
      </w:r>
      <w:r w:rsidRPr="00AB5B6D">
        <w:rPr>
          <w:rFonts w:ascii="標楷體" w:eastAsia="標楷體" w:hAnsi="標楷體" w:hint="eastAsia"/>
          <w:szCs w:val="24"/>
        </w:rPr>
        <w:t>）及</w:t>
      </w:r>
      <w:r w:rsidRPr="00AB5B6D">
        <w:rPr>
          <w:rFonts w:ascii="標楷體" w:eastAsia="標楷體" w:hAnsi="標楷體"/>
          <w:szCs w:val="24"/>
        </w:rPr>
        <w:t>/</w:t>
      </w:r>
      <w:r w:rsidRPr="00AB5B6D">
        <w:rPr>
          <w:rFonts w:ascii="標楷體" w:eastAsia="標楷體" w:hAnsi="標楷體" w:hint="eastAsia"/>
          <w:szCs w:val="24"/>
        </w:rPr>
        <w:t>或其他相關全身症狀且不適於接受幹細胞移植（</w:t>
      </w:r>
      <w:r w:rsidRPr="00AB5B6D">
        <w:rPr>
          <w:rFonts w:ascii="標楷體" w:eastAsia="標楷體" w:hAnsi="標楷體"/>
          <w:szCs w:val="24"/>
        </w:rPr>
        <w:t>stem cell transpla</w:t>
      </w:r>
      <w:r w:rsidRPr="00AB5B6D">
        <w:rPr>
          <w:rFonts w:ascii="標楷體" w:eastAsia="標楷體" w:hAnsi="標楷體" w:hint="eastAsia"/>
          <w:szCs w:val="24"/>
        </w:rPr>
        <w:t>ntation）且併有中至重度貧血之成人病人。</w:t>
      </w:r>
    </w:p>
    <w:p w:rsidR="00D250AB" w:rsidRPr="00AB5B6D" w:rsidRDefault="00D250AB" w:rsidP="00D250AB">
      <w:pPr>
        <w:snapToGrid w:val="0"/>
        <w:spacing w:line="400" w:lineRule="exact"/>
        <w:ind w:leftChars="320" w:left="1133" w:hangingChars="152" w:hanging="365"/>
        <w:jc w:val="both"/>
        <w:rPr>
          <w:rFonts w:ascii="標楷體" w:eastAsia="標楷體" w:hAnsi="標楷體"/>
          <w:szCs w:val="24"/>
        </w:rPr>
      </w:pPr>
      <w:r w:rsidRPr="00AB5B6D">
        <w:rPr>
          <w:rFonts w:ascii="標楷體" w:eastAsia="標楷體" w:hAnsi="標楷體" w:hint="eastAsia"/>
          <w:szCs w:val="24"/>
        </w:rPr>
        <w:t>(1)需經事前審查核准後使用，每次申請之療程以6個月為限，送審時需檢送影像資料及症狀改善之病歷紀錄，每6個月評估一次。</w:t>
      </w:r>
    </w:p>
    <w:p w:rsidR="00D250AB" w:rsidRPr="00AB5B6D" w:rsidRDefault="00D250AB" w:rsidP="00D250AB">
      <w:pPr>
        <w:snapToGrid w:val="0"/>
        <w:spacing w:line="400" w:lineRule="exact"/>
        <w:ind w:leftChars="320" w:left="1133" w:hangingChars="152" w:hanging="365"/>
        <w:jc w:val="both"/>
        <w:rPr>
          <w:rFonts w:ascii="標楷體" w:eastAsia="標楷體" w:hAnsi="標楷體"/>
          <w:szCs w:val="24"/>
        </w:rPr>
      </w:pPr>
      <w:r w:rsidRPr="00AB5B6D">
        <w:rPr>
          <w:rFonts w:ascii="標楷體" w:eastAsia="標楷體" w:hAnsi="標楷體" w:hint="eastAsia"/>
          <w:szCs w:val="24"/>
        </w:rPr>
        <w:t>(2)用藥後第一次評估時，需達到症狀反應(symptom response)或脾臟體積無惡化兩者之一，且同時無AML tranformation，方得以繼續使用。分別定義如下：</w:t>
      </w:r>
    </w:p>
    <w:p w:rsidR="00D250AB" w:rsidRPr="00AB5B6D" w:rsidRDefault="00D250AB" w:rsidP="00D250AB">
      <w:pPr>
        <w:snapToGrid w:val="0"/>
        <w:spacing w:line="400" w:lineRule="exact"/>
        <w:ind w:left="1418" w:hanging="425"/>
        <w:jc w:val="both"/>
        <w:rPr>
          <w:rFonts w:ascii="標楷體" w:eastAsia="標楷體" w:hAnsi="標楷體"/>
          <w:szCs w:val="24"/>
        </w:rPr>
      </w:pPr>
      <w:r w:rsidRPr="00AB5B6D">
        <w:rPr>
          <w:rFonts w:ascii="標楷體" w:eastAsia="標楷體" w:hAnsi="標楷體" w:hint="eastAsia"/>
          <w:szCs w:val="24"/>
        </w:rPr>
        <w:t>Ⅰ.症狀反應：MPN-SAF-TSS分數或MPN-10與治療前基準值相比，需下降超過50%。</w:t>
      </w:r>
    </w:p>
    <w:p w:rsidR="00D250AB" w:rsidRPr="00AB5B6D" w:rsidRDefault="00D250AB" w:rsidP="00D250AB">
      <w:pPr>
        <w:snapToGrid w:val="0"/>
        <w:spacing w:line="400" w:lineRule="exact"/>
        <w:ind w:left="1418" w:hanging="425"/>
        <w:jc w:val="both"/>
        <w:rPr>
          <w:rFonts w:ascii="標楷體" w:eastAsia="標楷體" w:hAnsi="標楷體"/>
          <w:szCs w:val="24"/>
        </w:rPr>
      </w:pPr>
      <w:r w:rsidRPr="00AB5B6D">
        <w:rPr>
          <w:rFonts w:ascii="標楷體" w:eastAsia="標楷體" w:hAnsi="標楷體" w:hint="eastAsia"/>
          <w:szCs w:val="24"/>
        </w:rPr>
        <w:t>Ⅱ.脾臟體積無惡化：使用電腦斷層評估，脾臟長度未增加超過治療前基準值之40%以上(或體積增加未達25%以上)。</w:t>
      </w:r>
    </w:p>
    <w:p w:rsidR="00D250AB" w:rsidRPr="00AB5B6D" w:rsidRDefault="00D250AB" w:rsidP="00D250AB">
      <w:pPr>
        <w:snapToGrid w:val="0"/>
        <w:spacing w:line="400" w:lineRule="exact"/>
        <w:ind w:left="1418" w:hanging="425"/>
        <w:jc w:val="both"/>
        <w:rPr>
          <w:rFonts w:ascii="標楷體" w:eastAsia="標楷體" w:hAnsi="標楷體"/>
          <w:szCs w:val="24"/>
        </w:rPr>
      </w:pPr>
      <w:r w:rsidRPr="00AB5B6D">
        <w:rPr>
          <w:rFonts w:ascii="標楷體" w:eastAsia="標楷體" w:hAnsi="標楷體" w:hint="eastAsia"/>
          <w:szCs w:val="24"/>
        </w:rPr>
        <w:t>Ⅲ</w:t>
      </w:r>
      <w:r w:rsidRPr="00AB5B6D">
        <w:rPr>
          <w:rFonts w:ascii="標楷體" w:eastAsia="標楷體" w:hAnsi="標楷體"/>
          <w:szCs w:val="24"/>
        </w:rPr>
        <w:t>.AML transformation</w:t>
      </w:r>
      <w:r w:rsidRPr="00AB5B6D">
        <w:rPr>
          <w:rFonts w:ascii="標楷體" w:eastAsia="標楷體" w:hAnsi="標楷體" w:hint="eastAsia"/>
          <w:szCs w:val="24"/>
        </w:rPr>
        <w:t>：骨髓中之芽細胞</w:t>
      </w:r>
      <w:r w:rsidRPr="00AB5B6D">
        <w:rPr>
          <w:rFonts w:eastAsia="標楷體"/>
          <w:szCs w:val="24"/>
        </w:rPr>
        <w:t>≥</w:t>
      </w:r>
      <w:r w:rsidRPr="00AB5B6D">
        <w:rPr>
          <w:rFonts w:ascii="標楷體" w:eastAsia="標楷體" w:hAnsi="標楷體"/>
          <w:szCs w:val="24"/>
        </w:rPr>
        <w:t>20%</w:t>
      </w:r>
      <w:r w:rsidRPr="00AB5B6D">
        <w:rPr>
          <w:rFonts w:ascii="標楷體" w:eastAsia="標楷體" w:hAnsi="標楷體" w:hint="eastAsia"/>
          <w:szCs w:val="24"/>
        </w:rPr>
        <w:t>或血液中之芽細胞</w:t>
      </w:r>
      <w:r w:rsidRPr="00AB5B6D">
        <w:rPr>
          <w:rFonts w:eastAsia="標楷體"/>
          <w:szCs w:val="24"/>
        </w:rPr>
        <w:t>≥</w:t>
      </w:r>
      <w:r w:rsidRPr="00AB5B6D">
        <w:rPr>
          <w:rFonts w:ascii="標楷體" w:eastAsia="標楷體" w:hAnsi="標楷體"/>
          <w:szCs w:val="24"/>
        </w:rPr>
        <w:t>20%</w:t>
      </w:r>
      <w:r w:rsidRPr="00AB5B6D">
        <w:rPr>
          <w:rFonts w:ascii="標楷體" w:eastAsia="標楷體" w:hAnsi="標楷體" w:hint="eastAsia"/>
          <w:szCs w:val="24"/>
        </w:rPr>
        <w:t>合併芽細胞數值</w:t>
      </w:r>
      <w:r w:rsidRPr="00AB5B6D">
        <w:rPr>
          <w:rFonts w:eastAsia="標楷體"/>
          <w:szCs w:val="24"/>
        </w:rPr>
        <w:t>≥</w:t>
      </w:r>
      <w:r w:rsidRPr="00AB5B6D">
        <w:rPr>
          <w:rFonts w:ascii="標楷體" w:eastAsia="標楷體" w:hAnsi="標楷體"/>
          <w:szCs w:val="24"/>
        </w:rPr>
        <w:t>1</w:t>
      </w:r>
      <w:r w:rsidRPr="00AB5B6D">
        <w:rPr>
          <w:rFonts w:ascii="標楷體" w:eastAsia="標楷體" w:hAnsi="標楷體" w:cs="標楷體" w:hint="eastAsia"/>
          <w:szCs w:val="24"/>
        </w:rPr>
        <w:t>×</w:t>
      </w:r>
      <w:r w:rsidRPr="00AB5B6D">
        <w:rPr>
          <w:rFonts w:ascii="標楷體" w:eastAsia="標楷體" w:hAnsi="標楷體"/>
          <w:szCs w:val="24"/>
        </w:rPr>
        <w:t>109/L</w:t>
      </w:r>
      <w:r w:rsidRPr="00AB5B6D">
        <w:rPr>
          <w:rFonts w:ascii="標楷體" w:eastAsia="標楷體" w:hAnsi="標楷體" w:hint="eastAsia"/>
          <w:szCs w:val="24"/>
        </w:rPr>
        <w:t>。</w:t>
      </w:r>
    </w:p>
    <w:p w:rsidR="00D250AB" w:rsidRPr="00AB5B6D" w:rsidRDefault="00D250AB" w:rsidP="00D250AB">
      <w:pPr>
        <w:snapToGrid w:val="0"/>
        <w:spacing w:line="400" w:lineRule="exact"/>
        <w:ind w:leftChars="320" w:left="1133" w:hangingChars="152" w:hanging="365"/>
        <w:jc w:val="both"/>
        <w:rPr>
          <w:rFonts w:ascii="標楷體" w:eastAsia="標楷體" w:hAnsi="標楷體"/>
          <w:szCs w:val="24"/>
        </w:rPr>
      </w:pPr>
      <w:r w:rsidRPr="00AB5B6D">
        <w:rPr>
          <w:rFonts w:ascii="標楷體" w:eastAsia="標楷體" w:hAnsi="標楷體" w:hint="eastAsia"/>
          <w:szCs w:val="24"/>
        </w:rPr>
        <w:t>(3)用藥後第二次及其後的評估，必須顯示無疾病惡化（無症狀惡化且脾臟體積無惡化，並同時無AML transformation），方得以繼續使用。分別定義如下：</w:t>
      </w:r>
    </w:p>
    <w:p w:rsidR="00D250AB" w:rsidRPr="00AB5B6D" w:rsidRDefault="00D250AB" w:rsidP="00D250AB">
      <w:pPr>
        <w:snapToGrid w:val="0"/>
        <w:spacing w:line="400" w:lineRule="exact"/>
        <w:ind w:left="1418" w:hanging="425"/>
        <w:jc w:val="both"/>
        <w:rPr>
          <w:rFonts w:ascii="標楷體" w:eastAsia="標楷體" w:hAnsi="標楷體"/>
          <w:szCs w:val="24"/>
        </w:rPr>
      </w:pPr>
      <w:r w:rsidRPr="00AB5B6D">
        <w:rPr>
          <w:rFonts w:ascii="標楷體" w:eastAsia="標楷體" w:hAnsi="標楷體" w:hint="eastAsia"/>
          <w:szCs w:val="24"/>
        </w:rPr>
        <w:t>Ⅰ.無症狀惡化：未出現新症狀，且MPN-SAF-TSS分數或MPN-10未超過治療前的基準值。</w:t>
      </w:r>
    </w:p>
    <w:p w:rsidR="00D250AB" w:rsidRPr="00AB5B6D" w:rsidRDefault="00D250AB" w:rsidP="00D250AB">
      <w:pPr>
        <w:snapToGrid w:val="0"/>
        <w:spacing w:line="400" w:lineRule="exact"/>
        <w:ind w:left="1418" w:hanging="425"/>
        <w:jc w:val="both"/>
        <w:rPr>
          <w:rFonts w:ascii="標楷體" w:eastAsia="標楷體" w:hAnsi="標楷體"/>
          <w:szCs w:val="24"/>
        </w:rPr>
      </w:pPr>
      <w:r w:rsidRPr="00AB5B6D">
        <w:rPr>
          <w:rFonts w:ascii="標楷體" w:eastAsia="標楷體" w:hAnsi="標楷體" w:hint="eastAsia"/>
          <w:szCs w:val="24"/>
        </w:rPr>
        <w:t>Ⅱ.脾臟體積無惡化：使用電腦斷層評估，脾臟長度未增加超過最佳反應(best response)時之脾臟長度40%以上(或體積增加未達25%以上)。</w:t>
      </w:r>
    </w:p>
    <w:p w:rsidR="00D250AB" w:rsidRPr="00AB5B6D" w:rsidRDefault="00D250AB" w:rsidP="00D250AB">
      <w:pPr>
        <w:snapToGrid w:val="0"/>
        <w:spacing w:line="400" w:lineRule="exact"/>
        <w:ind w:left="1418" w:hanging="425"/>
        <w:jc w:val="both"/>
        <w:rPr>
          <w:rFonts w:ascii="標楷體" w:eastAsia="標楷體" w:hAnsi="標楷體"/>
          <w:szCs w:val="24"/>
        </w:rPr>
      </w:pPr>
      <w:r w:rsidRPr="00AB5B6D">
        <w:rPr>
          <w:rFonts w:ascii="標楷體" w:eastAsia="標楷體" w:hAnsi="標楷體" w:hint="eastAsia"/>
          <w:szCs w:val="24"/>
        </w:rPr>
        <w:t>Ⅲ</w:t>
      </w:r>
      <w:r w:rsidRPr="00AB5B6D">
        <w:rPr>
          <w:rFonts w:ascii="標楷體" w:eastAsia="標楷體" w:hAnsi="標楷體"/>
          <w:szCs w:val="24"/>
        </w:rPr>
        <w:t>.AML transformation</w:t>
      </w:r>
      <w:r w:rsidRPr="00AB5B6D">
        <w:rPr>
          <w:rFonts w:ascii="標楷體" w:eastAsia="標楷體" w:hAnsi="標楷體" w:hint="eastAsia"/>
          <w:szCs w:val="24"/>
        </w:rPr>
        <w:t>：骨髓中之芽細胞</w:t>
      </w:r>
      <w:r w:rsidRPr="00AB5B6D">
        <w:rPr>
          <w:rFonts w:ascii="Times New Roman" w:eastAsia="標楷體" w:hAnsi="Times New Roman"/>
          <w:szCs w:val="24"/>
        </w:rPr>
        <w:t>≥</w:t>
      </w:r>
      <w:r w:rsidRPr="00AB5B6D">
        <w:rPr>
          <w:rFonts w:ascii="標楷體" w:eastAsia="標楷體" w:hAnsi="標楷體"/>
          <w:szCs w:val="24"/>
        </w:rPr>
        <w:t>20%</w:t>
      </w:r>
      <w:r w:rsidRPr="00AB5B6D">
        <w:rPr>
          <w:rFonts w:ascii="標楷體" w:eastAsia="標楷體" w:hAnsi="標楷體" w:hint="eastAsia"/>
          <w:szCs w:val="24"/>
        </w:rPr>
        <w:t>或血液中之芽細胞</w:t>
      </w:r>
      <w:r w:rsidRPr="00AB5B6D">
        <w:rPr>
          <w:rFonts w:ascii="Times New Roman" w:eastAsia="標楷體" w:hAnsi="Times New Roman"/>
          <w:szCs w:val="24"/>
        </w:rPr>
        <w:t>≥</w:t>
      </w:r>
      <w:r w:rsidRPr="00AB5B6D">
        <w:rPr>
          <w:rFonts w:ascii="標楷體" w:eastAsia="標楷體" w:hAnsi="標楷體"/>
          <w:szCs w:val="24"/>
        </w:rPr>
        <w:t>20%</w:t>
      </w:r>
      <w:r w:rsidRPr="00AB5B6D">
        <w:rPr>
          <w:rFonts w:ascii="標楷體" w:eastAsia="標楷體" w:hAnsi="標楷體" w:hint="eastAsia"/>
          <w:szCs w:val="24"/>
        </w:rPr>
        <w:t>合併芽細胞數值</w:t>
      </w:r>
      <w:r w:rsidRPr="00AB5B6D">
        <w:rPr>
          <w:rFonts w:ascii="Times New Roman" w:eastAsia="標楷體" w:hAnsi="Times New Roman"/>
          <w:szCs w:val="24"/>
        </w:rPr>
        <w:t>≥</w:t>
      </w:r>
      <w:r w:rsidRPr="00AB5B6D">
        <w:rPr>
          <w:rFonts w:ascii="標楷體" w:eastAsia="標楷體" w:hAnsi="標楷體"/>
          <w:szCs w:val="24"/>
        </w:rPr>
        <w:t>1</w:t>
      </w:r>
      <w:r w:rsidRPr="00AB5B6D">
        <w:rPr>
          <w:rFonts w:ascii="標楷體" w:eastAsia="標楷體" w:hAnsi="標楷體" w:hint="eastAsia"/>
          <w:szCs w:val="24"/>
        </w:rPr>
        <w:t>×</w:t>
      </w:r>
      <w:r w:rsidRPr="00AB5B6D">
        <w:rPr>
          <w:rFonts w:ascii="標楷體" w:eastAsia="標楷體" w:hAnsi="標楷體"/>
          <w:szCs w:val="24"/>
        </w:rPr>
        <w:t>109/L</w:t>
      </w:r>
      <w:r w:rsidRPr="00AB5B6D">
        <w:rPr>
          <w:rFonts w:ascii="標楷體" w:eastAsia="標楷體" w:hAnsi="標楷體" w:hint="eastAsia"/>
          <w:szCs w:val="24"/>
        </w:rPr>
        <w:t>。</w:t>
      </w:r>
    </w:p>
    <w:p w:rsidR="00D250AB" w:rsidRPr="00AB5B6D" w:rsidRDefault="00D250AB" w:rsidP="00D250AB">
      <w:pPr>
        <w:snapToGrid w:val="0"/>
        <w:spacing w:line="400" w:lineRule="exact"/>
        <w:ind w:left="1418" w:hanging="425"/>
        <w:jc w:val="both"/>
        <w:rPr>
          <w:rFonts w:ascii="標楷體" w:eastAsia="標楷體" w:hAnsi="標楷體"/>
          <w:szCs w:val="24"/>
        </w:rPr>
      </w:pPr>
      <w:r w:rsidRPr="00AB5B6D">
        <w:rPr>
          <w:rFonts w:ascii="標楷體" w:eastAsia="標楷體" w:hAnsi="標楷體" w:hint="eastAsia"/>
          <w:szCs w:val="24"/>
        </w:rPr>
        <w:t>IV.每日限給付1粒。</w:t>
      </w:r>
    </w:p>
    <w:p w:rsidR="00D250AB" w:rsidRPr="00D4365C" w:rsidRDefault="00D250AB" w:rsidP="00D250AB">
      <w:pPr>
        <w:snapToGrid w:val="0"/>
        <w:spacing w:line="400" w:lineRule="exact"/>
        <w:ind w:left="851" w:hanging="283"/>
        <w:jc w:val="both"/>
      </w:pPr>
      <w:r w:rsidRPr="00AB5B6D">
        <w:rPr>
          <w:rFonts w:ascii="標楷體" w:eastAsia="標楷體" w:hAnsi="標楷體" w:hint="eastAsia"/>
          <w:szCs w:val="24"/>
        </w:rPr>
        <w:t>2.本藥品與ruxolitinib、fedratinib用於中度風險或高風險之骨髓纖維化治療時，僅得擇一給付。Ruxolitinib、fedratinib治療後如疾病惡化不得換用本藥品。</w:t>
      </w:r>
      <w:bookmarkEnd w:id="47"/>
    </w:p>
    <w:sectPr w:rsidR="00D250AB" w:rsidRPr="00D4365C">
      <w:footerReference w:type="default" r:id="rId7"/>
      <w:pgSz w:w="11906" w:h="16838"/>
      <w:pgMar w:top="1134" w:right="1134" w:bottom="1134" w:left="1134" w:header="851" w:footer="992" w:gutter="0"/>
      <w:cols w:space="720"/>
      <w:docGrid w:type="lines" w:linePitch="4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754" w:rsidRDefault="00086754">
      <w:r>
        <w:separator/>
      </w:r>
    </w:p>
  </w:endnote>
  <w:endnote w:type="continuationSeparator" w:id="0">
    <w:p w:rsidR="00086754" w:rsidRDefault="0008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font>
  <w:font w:name="Cambria">
    <w:panose1 w:val="02040503050406030204"/>
    <w:charset w:val="00"/>
    <w:family w:val="roman"/>
    <w:pitch w:val="variable"/>
    <w:sig w:usb0="E00006FF" w:usb1="420024FF" w:usb2="02000000" w:usb3="00000000" w:csb0="0000019F" w:csb1="00000000"/>
  </w:font>
  <w:font w:name="標楷體.鬁...">
    <w:charset w:val="00"/>
    <w:family w:val="roman"/>
    <w:pitch w:val="default"/>
  </w:font>
  <w:font w:name="Liberation Serif">
    <w:panose1 w:val="02020603050405020304"/>
    <w:charset w:val="00"/>
    <w:family w:val="roman"/>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BiauKai">
    <w:charset w:val="00"/>
    <w:family w:val="script"/>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54" w:rsidRDefault="00086754">
    <w:pPr>
      <w:pStyle w:val="a5"/>
      <w:jc w:val="center"/>
    </w:pPr>
    <w:r>
      <w:rPr>
        <w:rFonts w:ascii="Times New Roman" w:eastAsia="標楷體" w:hAnsi="Times New Roman"/>
      </w:rPr>
      <w:t>第</w:t>
    </w:r>
    <w:r>
      <w:rPr>
        <w:rFonts w:ascii="Times New Roman" w:eastAsia="標楷體" w:hAnsi="Times New Roman"/>
      </w:rPr>
      <w:t>9</w:t>
    </w:r>
    <w:r>
      <w:rPr>
        <w:rFonts w:ascii="Times New Roman" w:eastAsia="標楷體" w:hAnsi="Times New Roman"/>
      </w:rPr>
      <w:t>節</w:t>
    </w:r>
    <w:r>
      <w:rPr>
        <w:rFonts w:ascii="Times New Roman" w:eastAsia="標楷體" w:hAnsi="Times New Roman"/>
      </w:rPr>
      <w:t>-</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7</w:t>
    </w:r>
    <w:r>
      <w:rPr>
        <w:rFonts w:ascii="Times New Roman" w:eastAsia="標楷體"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754" w:rsidRDefault="00086754">
      <w:r>
        <w:rPr>
          <w:color w:val="000000"/>
        </w:rPr>
        <w:separator/>
      </w:r>
    </w:p>
  </w:footnote>
  <w:footnote w:type="continuationSeparator" w:id="0">
    <w:p w:rsidR="00086754" w:rsidRDefault="0008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E74"/>
    <w:multiLevelType w:val="multilevel"/>
    <w:tmpl w:val="C3425778"/>
    <w:lvl w:ilvl="0">
      <w:start w:val="1"/>
      <w:numFmt w:val="decimal"/>
      <w:lvlText w:val="%1."/>
      <w:lvlJc w:val="left"/>
      <w:pPr>
        <w:ind w:left="480" w:hanging="480"/>
      </w:pPr>
      <w:rPr>
        <w:rFonts w:ascii="Times New Roman" w:hAnsi="Times New Roman" w:cs="Times New Roman"/>
      </w:rPr>
    </w:lvl>
    <w:lvl w:ilvl="1">
      <w:start w:val="1"/>
      <w:numFmt w:val="decimal"/>
      <w:lvlText w:val="(%2)"/>
      <w:lvlJc w:val="left"/>
      <w:pPr>
        <w:ind w:left="960" w:hanging="480"/>
      </w:pPr>
      <w:rPr>
        <w:rFonts w:ascii="標楷體" w:eastAsia="標楷體" w:hAnsi="標楷體" w:cs="Times New Roman"/>
      </w:rPr>
    </w:lvl>
    <w:lvl w:ilvl="2">
      <w:start w:val="1"/>
      <w:numFmt w:val="upperRoman"/>
      <w:lvlText w:val="%3."/>
      <w:lvlJc w:val="left"/>
      <w:pPr>
        <w:ind w:left="1440" w:hanging="480"/>
      </w:pPr>
    </w:lvl>
    <w:lvl w:ilvl="3">
      <w:start w:val="1"/>
      <w:numFmt w:val="lowerRoman"/>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541EF4"/>
    <w:multiLevelType w:val="hybridMultilevel"/>
    <w:tmpl w:val="612AF044"/>
    <w:lvl w:ilvl="0" w:tplc="123E59A4">
      <w:start w:val="3"/>
      <w:numFmt w:val="decimal"/>
      <w:lvlText w:val="%1."/>
      <w:lvlJc w:val="left"/>
      <w:pPr>
        <w:ind w:left="360" w:hanging="360"/>
      </w:pPr>
      <w:rPr>
        <w:rFonts w:ascii="標楷體" w:eastAsia="標楷體" w:hAnsi="標楷體" w:hint="default"/>
        <w:color w:val="000000"/>
        <w:u w:val="none"/>
      </w:rPr>
    </w:lvl>
    <w:lvl w:ilvl="1" w:tplc="EEA48AC4">
      <w:start w:val="1"/>
      <w:numFmt w:val="decimal"/>
      <w:lvlText w:val="(%2)"/>
      <w:lvlJc w:val="left"/>
      <w:pPr>
        <w:ind w:left="960" w:hanging="480"/>
      </w:pPr>
      <w:rPr>
        <w:rFonts w:hint="eastAsia"/>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80F9D"/>
    <w:multiLevelType w:val="multilevel"/>
    <w:tmpl w:val="7F1A661E"/>
    <w:lvl w:ilvl="0">
      <w:start w:val="1"/>
      <w:numFmt w:val="upperRoman"/>
      <w:lvlText w:val="%1."/>
      <w:lvlJc w:val="left"/>
      <w:pPr>
        <w:ind w:left="879" w:hanging="480"/>
      </w:pPr>
      <w:rPr>
        <w:rFonts w:ascii="標楷體" w:eastAsia="標楷體" w:hAnsi="標楷體" w:cs="Times New Roman"/>
        <w:b w:val="0"/>
        <w:u w:val="none"/>
      </w:rPr>
    </w:lvl>
    <w:lvl w:ilvl="1">
      <w:start w:val="1"/>
      <w:numFmt w:val="ideographTraditional"/>
      <w:lvlText w:val="%2、"/>
      <w:lvlJc w:val="left"/>
      <w:pPr>
        <w:ind w:left="1359" w:hanging="480"/>
      </w:pPr>
    </w:lvl>
    <w:lvl w:ilvl="2">
      <w:start w:val="1"/>
      <w:numFmt w:val="lowerRoman"/>
      <w:lvlText w:val="%3."/>
      <w:lvlJc w:val="right"/>
      <w:pPr>
        <w:ind w:left="1839" w:hanging="480"/>
      </w:pPr>
    </w:lvl>
    <w:lvl w:ilvl="3">
      <w:start w:val="1"/>
      <w:numFmt w:val="decimal"/>
      <w:lvlText w:val="%4."/>
      <w:lvlJc w:val="left"/>
      <w:pPr>
        <w:ind w:left="2319" w:hanging="480"/>
      </w:pPr>
    </w:lvl>
    <w:lvl w:ilvl="4">
      <w:start w:val="1"/>
      <w:numFmt w:val="ideographTraditional"/>
      <w:lvlText w:val="%5、"/>
      <w:lvlJc w:val="left"/>
      <w:pPr>
        <w:ind w:left="2799" w:hanging="480"/>
      </w:pPr>
    </w:lvl>
    <w:lvl w:ilvl="5">
      <w:start w:val="1"/>
      <w:numFmt w:val="lowerRoman"/>
      <w:lvlText w:val="%6."/>
      <w:lvlJc w:val="right"/>
      <w:pPr>
        <w:ind w:left="3279" w:hanging="480"/>
      </w:pPr>
    </w:lvl>
    <w:lvl w:ilvl="6">
      <w:start w:val="1"/>
      <w:numFmt w:val="decimal"/>
      <w:lvlText w:val="%7."/>
      <w:lvlJc w:val="left"/>
      <w:pPr>
        <w:ind w:left="3759" w:hanging="480"/>
      </w:pPr>
    </w:lvl>
    <w:lvl w:ilvl="7">
      <w:start w:val="1"/>
      <w:numFmt w:val="ideographTraditional"/>
      <w:lvlText w:val="%8、"/>
      <w:lvlJc w:val="left"/>
      <w:pPr>
        <w:ind w:left="4239" w:hanging="480"/>
      </w:pPr>
    </w:lvl>
    <w:lvl w:ilvl="8">
      <w:start w:val="1"/>
      <w:numFmt w:val="lowerRoman"/>
      <w:lvlText w:val="%9."/>
      <w:lvlJc w:val="right"/>
      <w:pPr>
        <w:ind w:left="4719" w:hanging="480"/>
      </w:pPr>
    </w:lvl>
  </w:abstractNum>
  <w:abstractNum w:abstractNumId="3" w15:restartNumberingAfterBreak="0">
    <w:nsid w:val="0B2F2AD7"/>
    <w:multiLevelType w:val="hybridMultilevel"/>
    <w:tmpl w:val="D45456A4"/>
    <w:lvl w:ilvl="0" w:tplc="463E1086">
      <w:start w:val="1"/>
      <w:numFmt w:val="decimal"/>
      <w:lvlText w:val="%1."/>
      <w:lvlJc w:val="left"/>
      <w:pPr>
        <w:ind w:left="480" w:hanging="480"/>
      </w:pPr>
      <w:rPr>
        <w:sz w:val="28"/>
        <w:szCs w:val="28"/>
        <w:u w:val="single"/>
      </w:rPr>
    </w:lvl>
    <w:lvl w:ilvl="1" w:tplc="BF420056">
      <w:start w:val="1"/>
      <w:numFmt w:val="decimal"/>
      <w:lvlText w:val="(%2)."/>
      <w:lvlJc w:val="left"/>
      <w:pPr>
        <w:ind w:left="960" w:hanging="480"/>
      </w:pPr>
      <w:rPr>
        <w:rFonts w:hint="eastAsia"/>
        <w:u w:val="none"/>
      </w:rPr>
    </w:lvl>
    <w:lvl w:ilvl="2" w:tplc="3DBE20C6">
      <w:start w:val="1"/>
      <w:numFmt w:val="upperRoman"/>
      <w:lvlText w:val="%3."/>
      <w:lvlJc w:val="left"/>
      <w:pPr>
        <w:ind w:left="1048" w:hanging="480"/>
      </w:pPr>
      <w:rPr>
        <w:u w:val="none"/>
      </w:rPr>
    </w:lvl>
    <w:lvl w:ilvl="3" w:tplc="0409001B">
      <w:start w:val="1"/>
      <w:numFmt w:val="lowerRoman"/>
      <w:lvlText w:val="%4."/>
      <w:lvlJc w:val="right"/>
      <w:pPr>
        <w:ind w:left="1757"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90025"/>
    <w:multiLevelType w:val="multilevel"/>
    <w:tmpl w:val="369E99FE"/>
    <w:lvl w:ilvl="0">
      <w:start w:val="1"/>
      <w:numFmt w:val="upperRoman"/>
      <w:lvlText w:val="%1."/>
      <w:lvlJc w:val="left"/>
      <w:pPr>
        <w:ind w:left="1615" w:hanging="480"/>
      </w:pPr>
      <w:rPr>
        <w:rFonts w:ascii="標楷體" w:eastAsia="標楷體" w:hAnsi="標楷體"/>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E5B764C"/>
    <w:multiLevelType w:val="multilevel"/>
    <w:tmpl w:val="3474CD50"/>
    <w:lvl w:ilvl="0">
      <w:start w:val="5"/>
      <w:numFmt w:val="upperRoman"/>
      <w:lvlText w:val="%1."/>
      <w:lvlJc w:val="left"/>
      <w:pPr>
        <w:ind w:left="144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15B0429"/>
    <w:multiLevelType w:val="multilevel"/>
    <w:tmpl w:val="85D0E320"/>
    <w:lvl w:ilvl="0">
      <w:start w:val="7"/>
      <w:numFmt w:val="decimal"/>
      <w:lvlText w:val="(%1)"/>
      <w:lvlJc w:val="left"/>
      <w:pPr>
        <w:ind w:left="879"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1860722"/>
    <w:multiLevelType w:val="hybridMultilevel"/>
    <w:tmpl w:val="868AEF6A"/>
    <w:lvl w:ilvl="0" w:tplc="E0CEFB2C">
      <w:start w:val="1"/>
      <w:numFmt w:val="upperRoman"/>
      <w:lvlText w:val="%1."/>
      <w:lvlJc w:val="left"/>
      <w:pPr>
        <w:ind w:left="1805" w:hanging="480"/>
      </w:pPr>
      <w:rPr>
        <w:rFonts w:hint="eastAsia"/>
      </w:r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8" w15:restartNumberingAfterBreak="0">
    <w:nsid w:val="16462417"/>
    <w:multiLevelType w:val="hybridMultilevel"/>
    <w:tmpl w:val="904E834C"/>
    <w:lvl w:ilvl="0" w:tplc="3DBE20C6">
      <w:start w:val="1"/>
      <w:numFmt w:val="upperRoman"/>
      <w:lvlText w:val="%1."/>
      <w:lvlJc w:val="left"/>
      <w:pPr>
        <w:ind w:left="1756" w:hanging="480"/>
      </w:pPr>
      <w:rPr>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15:restartNumberingAfterBreak="0">
    <w:nsid w:val="1E9E4463"/>
    <w:multiLevelType w:val="multilevel"/>
    <w:tmpl w:val="9320A478"/>
    <w:lvl w:ilvl="0">
      <w:start w:val="7"/>
      <w:numFmt w:val="decimal"/>
      <w:lvlText w:val="(%1)"/>
      <w:lvlJc w:val="left"/>
      <w:pPr>
        <w:ind w:left="879" w:hanging="480"/>
      </w:pPr>
      <w:rPr>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7BE5C55"/>
    <w:multiLevelType w:val="hybridMultilevel"/>
    <w:tmpl w:val="3FA29358"/>
    <w:lvl w:ilvl="0" w:tplc="156AD764">
      <w:start w:val="1"/>
      <w:numFmt w:val="decimal"/>
      <w:lvlText w:val="%1."/>
      <w:lvlJc w:val="left"/>
      <w:pPr>
        <w:ind w:left="360" w:hanging="360"/>
      </w:pPr>
      <w:rPr>
        <w:rFonts w:ascii="標楷體" w:eastAsia="標楷體" w:hAnsi="標楷體" w:hint="default"/>
        <w:color w:val="auto"/>
      </w:rPr>
    </w:lvl>
    <w:lvl w:ilvl="1" w:tplc="C414CD7C">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CB5B56"/>
    <w:multiLevelType w:val="multilevel"/>
    <w:tmpl w:val="8166ADEA"/>
    <w:lvl w:ilvl="0">
      <w:start w:val="1"/>
      <w:numFmt w:val="decimal"/>
      <w:suff w:val="nothing"/>
      <w:lvlText w:val="(%1)"/>
      <w:lvlJc w:val="left"/>
      <w:pPr>
        <w:ind w:left="2124" w:hanging="360"/>
      </w:pPr>
    </w:lvl>
    <w:lvl w:ilvl="1">
      <w:start w:val="1"/>
      <w:numFmt w:val="ideographTraditional"/>
      <w:lvlText w:val="%2、"/>
      <w:lvlJc w:val="left"/>
      <w:pPr>
        <w:ind w:left="2244" w:hanging="480"/>
      </w:pPr>
    </w:lvl>
    <w:lvl w:ilvl="2">
      <w:start w:val="1"/>
      <w:numFmt w:val="lowerRoman"/>
      <w:lvlText w:val="%3."/>
      <w:lvlJc w:val="right"/>
      <w:pPr>
        <w:ind w:left="2724" w:hanging="480"/>
      </w:pPr>
    </w:lvl>
    <w:lvl w:ilvl="3">
      <w:start w:val="1"/>
      <w:numFmt w:val="decimal"/>
      <w:lvlText w:val="%4."/>
      <w:lvlJc w:val="left"/>
      <w:pPr>
        <w:ind w:left="3204" w:hanging="480"/>
      </w:pPr>
    </w:lvl>
    <w:lvl w:ilvl="4">
      <w:start w:val="1"/>
      <w:numFmt w:val="ideographTraditional"/>
      <w:lvlText w:val="%5、"/>
      <w:lvlJc w:val="left"/>
      <w:pPr>
        <w:ind w:left="3684" w:hanging="480"/>
      </w:pPr>
    </w:lvl>
    <w:lvl w:ilvl="5">
      <w:start w:val="1"/>
      <w:numFmt w:val="lowerRoman"/>
      <w:lvlText w:val="%6."/>
      <w:lvlJc w:val="right"/>
      <w:pPr>
        <w:ind w:left="4164" w:hanging="480"/>
      </w:pPr>
    </w:lvl>
    <w:lvl w:ilvl="6">
      <w:start w:val="1"/>
      <w:numFmt w:val="decimal"/>
      <w:lvlText w:val="%7."/>
      <w:lvlJc w:val="left"/>
      <w:pPr>
        <w:ind w:left="4644" w:hanging="480"/>
      </w:pPr>
    </w:lvl>
    <w:lvl w:ilvl="7">
      <w:start w:val="1"/>
      <w:numFmt w:val="ideographTraditional"/>
      <w:lvlText w:val="%8、"/>
      <w:lvlJc w:val="left"/>
      <w:pPr>
        <w:ind w:left="5124" w:hanging="480"/>
      </w:pPr>
    </w:lvl>
    <w:lvl w:ilvl="8">
      <w:start w:val="1"/>
      <w:numFmt w:val="lowerRoman"/>
      <w:lvlText w:val="%9."/>
      <w:lvlJc w:val="right"/>
      <w:pPr>
        <w:ind w:left="5604" w:hanging="480"/>
      </w:pPr>
    </w:lvl>
  </w:abstractNum>
  <w:abstractNum w:abstractNumId="12" w15:restartNumberingAfterBreak="0">
    <w:nsid w:val="28364FC0"/>
    <w:multiLevelType w:val="multilevel"/>
    <w:tmpl w:val="687CE61C"/>
    <w:lvl w:ilvl="0">
      <w:start w:val="1"/>
      <w:numFmt w:val="upperRoman"/>
      <w:suff w:val="nothing"/>
      <w:lvlText w:val="%1."/>
      <w:lvlJc w:val="left"/>
      <w:pPr>
        <w:ind w:left="622"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BFD4084"/>
    <w:multiLevelType w:val="hybridMultilevel"/>
    <w:tmpl w:val="FF8E70C8"/>
    <w:lvl w:ilvl="0" w:tplc="C414CD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4E02AE5"/>
    <w:multiLevelType w:val="hybridMultilevel"/>
    <w:tmpl w:val="7B02A198"/>
    <w:lvl w:ilvl="0" w:tplc="E0CEFB2C">
      <w:start w:val="1"/>
      <w:numFmt w:val="upperRoman"/>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7D3D98"/>
    <w:multiLevelType w:val="hybridMultilevel"/>
    <w:tmpl w:val="7DEE8DB6"/>
    <w:lvl w:ilvl="0" w:tplc="EEA48AC4">
      <w:start w:val="1"/>
      <w:numFmt w:val="decimal"/>
      <w:lvlText w:val="(%1)"/>
      <w:lvlJc w:val="left"/>
      <w:pPr>
        <w:ind w:left="960" w:hanging="480"/>
      </w:pPr>
      <w:rPr>
        <w:rFonts w:hint="eastAsia"/>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73E0A35"/>
    <w:multiLevelType w:val="hybridMultilevel"/>
    <w:tmpl w:val="A610310E"/>
    <w:lvl w:ilvl="0" w:tplc="E0CEFB2C">
      <w:start w:val="1"/>
      <w:numFmt w:val="upperRoman"/>
      <w:lvlText w:val="%1."/>
      <w:lvlJc w:val="left"/>
      <w:pPr>
        <w:ind w:left="1805" w:hanging="480"/>
      </w:pPr>
      <w:rPr>
        <w:rFonts w:hint="eastAsia"/>
      </w:r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17" w15:restartNumberingAfterBreak="0">
    <w:nsid w:val="37602EA0"/>
    <w:multiLevelType w:val="multilevel"/>
    <w:tmpl w:val="C26E6962"/>
    <w:lvl w:ilvl="0">
      <w:start w:val="2"/>
      <w:numFmt w:val="decimal"/>
      <w:lvlText w:val="%1."/>
      <w:lvlJc w:val="left"/>
      <w:pPr>
        <w:ind w:left="516" w:hanging="360"/>
      </w:pPr>
      <w:rPr>
        <w:rFonts w:hint="eastAsia"/>
      </w:rPr>
    </w:lvl>
    <w:lvl w:ilvl="1">
      <w:start w:val="1"/>
      <w:numFmt w:val="decimal"/>
      <w:lvlText w:val="(%2)"/>
      <w:lvlJc w:val="left"/>
      <w:pPr>
        <w:ind w:left="1116" w:hanging="480"/>
      </w:pPr>
      <w:rPr>
        <w:rFonts w:hint="eastAsia"/>
      </w:rPr>
    </w:lvl>
    <w:lvl w:ilvl="2">
      <w:start w:val="1"/>
      <w:numFmt w:val="upperRoman"/>
      <w:lvlText w:val="%3."/>
      <w:lvlJc w:val="left"/>
      <w:pPr>
        <w:ind w:left="1596" w:hanging="480"/>
      </w:pPr>
      <w:rPr>
        <w:rFonts w:hint="eastAsia"/>
      </w:rPr>
    </w:lvl>
    <w:lvl w:ilvl="3">
      <w:start w:val="1"/>
      <w:numFmt w:val="lowerRoman"/>
      <w:lvlText w:val="%4."/>
      <w:lvlJc w:val="left"/>
      <w:pPr>
        <w:ind w:left="2316" w:hanging="720"/>
      </w:pPr>
      <w:rPr>
        <w:rFonts w:hint="eastAsia"/>
      </w:rPr>
    </w:lvl>
    <w:lvl w:ilvl="4">
      <w:start w:val="1"/>
      <w:numFmt w:val="ideographTraditional"/>
      <w:lvlText w:val="%5、"/>
      <w:lvlJc w:val="left"/>
      <w:pPr>
        <w:ind w:left="2556" w:hanging="480"/>
      </w:pPr>
      <w:rPr>
        <w:rFonts w:hint="eastAsia"/>
      </w:rPr>
    </w:lvl>
    <w:lvl w:ilvl="5">
      <w:start w:val="1"/>
      <w:numFmt w:val="lowerRoman"/>
      <w:lvlText w:val="%6."/>
      <w:lvlJc w:val="right"/>
      <w:pPr>
        <w:ind w:left="3036" w:hanging="480"/>
      </w:pPr>
      <w:rPr>
        <w:rFonts w:hint="eastAsia"/>
      </w:rPr>
    </w:lvl>
    <w:lvl w:ilvl="6">
      <w:start w:val="1"/>
      <w:numFmt w:val="decimal"/>
      <w:lvlText w:val="%7."/>
      <w:lvlJc w:val="left"/>
      <w:pPr>
        <w:ind w:left="3516" w:hanging="480"/>
      </w:pPr>
      <w:rPr>
        <w:rFonts w:hint="eastAsia"/>
      </w:rPr>
    </w:lvl>
    <w:lvl w:ilvl="7">
      <w:start w:val="1"/>
      <w:numFmt w:val="ideographTraditional"/>
      <w:lvlText w:val="%8、"/>
      <w:lvlJc w:val="left"/>
      <w:pPr>
        <w:ind w:left="3996" w:hanging="480"/>
      </w:pPr>
      <w:rPr>
        <w:rFonts w:hint="eastAsia"/>
      </w:rPr>
    </w:lvl>
    <w:lvl w:ilvl="8">
      <w:start w:val="1"/>
      <w:numFmt w:val="lowerRoman"/>
      <w:lvlText w:val="%9."/>
      <w:lvlJc w:val="right"/>
      <w:pPr>
        <w:ind w:left="4476" w:hanging="480"/>
      </w:pPr>
      <w:rPr>
        <w:rFonts w:hint="eastAsia"/>
      </w:rPr>
    </w:lvl>
  </w:abstractNum>
  <w:abstractNum w:abstractNumId="18" w15:restartNumberingAfterBreak="0">
    <w:nsid w:val="3A7E2FA9"/>
    <w:multiLevelType w:val="hybridMultilevel"/>
    <w:tmpl w:val="D29C2634"/>
    <w:lvl w:ilvl="0" w:tplc="0586692E">
      <w:start w:val="1"/>
      <w:numFmt w:val="decimal"/>
      <w:lvlText w:val="(%1)"/>
      <w:lvlJc w:val="left"/>
      <w:pPr>
        <w:ind w:left="960" w:hanging="480"/>
      </w:pPr>
      <w:rPr>
        <w:rFonts w:hint="eastAsia"/>
      </w:rPr>
    </w:lvl>
    <w:lvl w:ilvl="1" w:tplc="F1A4C312">
      <w:start w:val="1"/>
      <w:numFmt w:val="decimal"/>
      <w:lvlText w:val="(%2)"/>
      <w:lvlJc w:val="left"/>
      <w:pPr>
        <w:ind w:left="960" w:hanging="480"/>
      </w:pPr>
      <w:rPr>
        <w:rFonts w:hint="eastAsia"/>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6967C4"/>
    <w:multiLevelType w:val="multilevel"/>
    <w:tmpl w:val="3D1CAAAA"/>
    <w:lvl w:ilvl="0">
      <w:start w:val="1"/>
      <w:numFmt w:val="decimal"/>
      <w:lvlText w:val="%1."/>
      <w:lvlJc w:val="left"/>
      <w:pPr>
        <w:ind w:left="516" w:hanging="360"/>
      </w:pPr>
    </w:lvl>
    <w:lvl w:ilvl="1">
      <w:start w:val="1"/>
      <w:numFmt w:val="decimal"/>
      <w:lvlText w:val="(%2)"/>
      <w:lvlJc w:val="left"/>
      <w:pPr>
        <w:ind w:left="1116" w:hanging="480"/>
      </w:pPr>
    </w:lvl>
    <w:lvl w:ilvl="2">
      <w:start w:val="1"/>
      <w:numFmt w:val="upperRoman"/>
      <w:lvlText w:val="%3."/>
      <w:lvlJc w:val="left"/>
      <w:pPr>
        <w:ind w:left="1596" w:hanging="480"/>
      </w:pPr>
    </w:lvl>
    <w:lvl w:ilvl="3">
      <w:start w:val="1"/>
      <w:numFmt w:val="lowerRoman"/>
      <w:lvlText w:val="%4."/>
      <w:lvlJc w:val="left"/>
      <w:pPr>
        <w:ind w:left="2316" w:hanging="720"/>
      </w:pPr>
    </w:lvl>
    <w:lvl w:ilvl="4">
      <w:start w:val="1"/>
      <w:numFmt w:val="ideographTraditional"/>
      <w:lvlText w:val="%5、"/>
      <w:lvlJc w:val="left"/>
      <w:pPr>
        <w:ind w:left="2556" w:hanging="480"/>
      </w:pPr>
    </w:lvl>
    <w:lvl w:ilvl="5">
      <w:start w:val="1"/>
      <w:numFmt w:val="lowerRoman"/>
      <w:lvlText w:val="%6."/>
      <w:lvlJc w:val="right"/>
      <w:pPr>
        <w:ind w:left="3036" w:hanging="480"/>
      </w:pPr>
    </w:lvl>
    <w:lvl w:ilvl="6">
      <w:start w:val="1"/>
      <w:numFmt w:val="decimal"/>
      <w:lvlText w:val="%7."/>
      <w:lvlJc w:val="left"/>
      <w:pPr>
        <w:ind w:left="3516" w:hanging="480"/>
      </w:pPr>
    </w:lvl>
    <w:lvl w:ilvl="7">
      <w:start w:val="1"/>
      <w:numFmt w:val="ideographTraditional"/>
      <w:lvlText w:val="%8、"/>
      <w:lvlJc w:val="left"/>
      <w:pPr>
        <w:ind w:left="3996" w:hanging="480"/>
      </w:pPr>
    </w:lvl>
    <w:lvl w:ilvl="8">
      <w:start w:val="1"/>
      <w:numFmt w:val="lowerRoman"/>
      <w:lvlText w:val="%9."/>
      <w:lvlJc w:val="right"/>
      <w:pPr>
        <w:ind w:left="4476" w:hanging="480"/>
      </w:pPr>
    </w:lvl>
  </w:abstractNum>
  <w:abstractNum w:abstractNumId="20" w15:restartNumberingAfterBreak="0">
    <w:nsid w:val="3CC0501D"/>
    <w:multiLevelType w:val="multilevel"/>
    <w:tmpl w:val="5EDA2F04"/>
    <w:lvl w:ilvl="0">
      <w:start w:val="5"/>
      <w:numFmt w:val="upperRoman"/>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CEB4BDD"/>
    <w:multiLevelType w:val="multilevel"/>
    <w:tmpl w:val="4CAAAECE"/>
    <w:lvl w:ilvl="0">
      <w:start w:val="1"/>
      <w:numFmt w:val="decimal"/>
      <w:lvlText w:val="%1."/>
      <w:lvlJc w:val="left"/>
      <w:pPr>
        <w:ind w:left="480" w:hanging="480"/>
      </w:pPr>
    </w:lvl>
    <w:lvl w:ilvl="1">
      <w:start w:val="1"/>
      <w:numFmt w:val="decimal"/>
      <w:suff w:val="nothing"/>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DB20DDE"/>
    <w:multiLevelType w:val="multilevel"/>
    <w:tmpl w:val="7C5C4AB2"/>
    <w:lvl w:ilvl="0">
      <w:start w:val="1"/>
      <w:numFmt w:val="decimal"/>
      <w:lvlText w:val="%1."/>
      <w:lvlJc w:val="left"/>
      <w:pPr>
        <w:ind w:left="480" w:hanging="480"/>
      </w:pPr>
      <w:rPr>
        <w:rFonts w:ascii="Times New Roman" w:hAnsi="Times New Roman" w:cs="Times New Roman"/>
      </w:rPr>
    </w:lvl>
    <w:lvl w:ilvl="1">
      <w:start w:val="1"/>
      <w:numFmt w:val="decimal"/>
      <w:lvlText w:val="(%2)"/>
      <w:lvlJc w:val="left"/>
      <w:pPr>
        <w:ind w:left="960" w:hanging="480"/>
      </w:pPr>
      <w:rPr>
        <w:rFonts w:ascii="標楷體" w:eastAsia="標楷體" w:hAnsi="標楷體" w:cs="Times New Roman"/>
      </w:rPr>
    </w:lvl>
    <w:lvl w:ilvl="2">
      <w:start w:val="1"/>
      <w:numFmt w:val="upperRoman"/>
      <w:lvlText w:val="%3."/>
      <w:lvlJc w:val="left"/>
      <w:pPr>
        <w:ind w:left="1440" w:hanging="480"/>
      </w:pPr>
    </w:lvl>
    <w:lvl w:ilvl="3">
      <w:start w:val="1"/>
      <w:numFmt w:val="lowerRoman"/>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1C03328"/>
    <w:multiLevelType w:val="multilevel"/>
    <w:tmpl w:val="B4AEE706"/>
    <w:lvl w:ilvl="0">
      <w:start w:val="2"/>
      <w:numFmt w:val="decimal"/>
      <w:lvlText w:val="%1."/>
      <w:lvlJc w:val="left"/>
      <w:pPr>
        <w:ind w:left="516" w:hanging="360"/>
      </w:pPr>
      <w:rPr>
        <w:rFonts w:hint="eastAsia"/>
      </w:rPr>
    </w:lvl>
    <w:lvl w:ilvl="1">
      <w:start w:val="1"/>
      <w:numFmt w:val="decimal"/>
      <w:lvlText w:val="(%2)"/>
      <w:lvlJc w:val="left"/>
      <w:pPr>
        <w:ind w:left="1116" w:hanging="480"/>
      </w:pPr>
      <w:rPr>
        <w:rFonts w:hint="eastAsia"/>
      </w:rPr>
    </w:lvl>
    <w:lvl w:ilvl="2">
      <w:start w:val="1"/>
      <w:numFmt w:val="upperRoman"/>
      <w:lvlText w:val="%3."/>
      <w:lvlJc w:val="left"/>
      <w:pPr>
        <w:ind w:left="1596" w:hanging="480"/>
      </w:pPr>
      <w:rPr>
        <w:rFonts w:hint="eastAsia"/>
      </w:rPr>
    </w:lvl>
    <w:lvl w:ilvl="3">
      <w:start w:val="1"/>
      <w:numFmt w:val="lowerRoman"/>
      <w:lvlText w:val="%4."/>
      <w:lvlJc w:val="left"/>
      <w:pPr>
        <w:ind w:left="2316" w:hanging="720"/>
      </w:pPr>
      <w:rPr>
        <w:rFonts w:hint="eastAsia"/>
      </w:rPr>
    </w:lvl>
    <w:lvl w:ilvl="4">
      <w:start w:val="1"/>
      <w:numFmt w:val="ideographTraditional"/>
      <w:lvlText w:val="%5、"/>
      <w:lvlJc w:val="left"/>
      <w:pPr>
        <w:ind w:left="2556" w:hanging="480"/>
      </w:pPr>
      <w:rPr>
        <w:rFonts w:hint="eastAsia"/>
      </w:rPr>
    </w:lvl>
    <w:lvl w:ilvl="5">
      <w:start w:val="1"/>
      <w:numFmt w:val="lowerRoman"/>
      <w:lvlText w:val="%6."/>
      <w:lvlJc w:val="right"/>
      <w:pPr>
        <w:ind w:left="3036" w:hanging="480"/>
      </w:pPr>
      <w:rPr>
        <w:rFonts w:hint="eastAsia"/>
      </w:rPr>
    </w:lvl>
    <w:lvl w:ilvl="6">
      <w:start w:val="1"/>
      <w:numFmt w:val="decimal"/>
      <w:lvlText w:val="%7."/>
      <w:lvlJc w:val="left"/>
      <w:pPr>
        <w:ind w:left="3516" w:hanging="480"/>
      </w:pPr>
      <w:rPr>
        <w:rFonts w:hint="eastAsia"/>
      </w:rPr>
    </w:lvl>
    <w:lvl w:ilvl="7">
      <w:start w:val="1"/>
      <w:numFmt w:val="ideographTraditional"/>
      <w:lvlText w:val="%8、"/>
      <w:lvlJc w:val="left"/>
      <w:pPr>
        <w:ind w:left="3996" w:hanging="480"/>
      </w:pPr>
      <w:rPr>
        <w:rFonts w:hint="eastAsia"/>
      </w:rPr>
    </w:lvl>
    <w:lvl w:ilvl="8">
      <w:start w:val="1"/>
      <w:numFmt w:val="lowerRoman"/>
      <w:lvlText w:val="%9."/>
      <w:lvlJc w:val="right"/>
      <w:pPr>
        <w:ind w:left="4476" w:hanging="480"/>
      </w:pPr>
      <w:rPr>
        <w:rFonts w:hint="eastAsia"/>
      </w:rPr>
    </w:lvl>
  </w:abstractNum>
  <w:abstractNum w:abstractNumId="24" w15:restartNumberingAfterBreak="0">
    <w:nsid w:val="42352223"/>
    <w:multiLevelType w:val="multilevel"/>
    <w:tmpl w:val="A316ED5E"/>
    <w:lvl w:ilvl="0">
      <w:start w:val="9"/>
      <w:numFmt w:val="upperRoman"/>
      <w:lvlText w:val="%1."/>
      <w:lvlJc w:val="left"/>
      <w:pPr>
        <w:ind w:left="1440"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370516D"/>
    <w:multiLevelType w:val="hybridMultilevel"/>
    <w:tmpl w:val="5A421248"/>
    <w:lvl w:ilvl="0" w:tplc="A7D2CEAC">
      <w:start w:val="1"/>
      <w:numFmt w:val="upperRoman"/>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B23EF4"/>
    <w:multiLevelType w:val="hybridMultilevel"/>
    <w:tmpl w:val="4B1CC796"/>
    <w:lvl w:ilvl="0" w:tplc="50227ACC">
      <w:start w:val="1"/>
      <w:numFmt w:val="decimal"/>
      <w:lvlText w:val="(%1)"/>
      <w:lvlJc w:val="left"/>
      <w:pPr>
        <w:ind w:left="480" w:hanging="360"/>
      </w:pPr>
      <w:rPr>
        <w:rFonts w:ascii="標楷體" w:eastAsia="標楷體" w:hAnsi="標楷體" w:hint="default"/>
      </w:rPr>
    </w:lvl>
    <w:lvl w:ilvl="1" w:tplc="A95E233A">
      <w:start w:val="1"/>
      <w:numFmt w:val="upperRoman"/>
      <w:lvlText w:val="%2."/>
      <w:lvlJc w:val="right"/>
      <w:pPr>
        <w:ind w:left="1080" w:hanging="480"/>
      </w:pPr>
      <w:rPr>
        <w:rFonts w:hint="eastAsia"/>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49CF3CA3"/>
    <w:multiLevelType w:val="multilevel"/>
    <w:tmpl w:val="D7C897B2"/>
    <w:lvl w:ilvl="0">
      <w:start w:val="1"/>
      <w:numFmt w:val="decimal"/>
      <w:lvlText w:val="%1."/>
      <w:lvlJc w:val="left"/>
      <w:pPr>
        <w:ind w:left="360" w:hanging="360"/>
      </w:pPr>
    </w:lvl>
    <w:lvl w:ilvl="1">
      <w:start w:val="1"/>
      <w:numFmt w:val="decimal"/>
      <w:suff w:val="nothing"/>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1033091"/>
    <w:multiLevelType w:val="multilevel"/>
    <w:tmpl w:val="EA28C04A"/>
    <w:lvl w:ilvl="0">
      <w:start w:val="1"/>
      <w:numFmt w:val="decimal"/>
      <w:lvlText w:val="%1."/>
      <w:lvlJc w:val="left"/>
      <w:pPr>
        <w:ind w:left="516" w:hanging="360"/>
      </w:pPr>
    </w:lvl>
    <w:lvl w:ilvl="1">
      <w:start w:val="1"/>
      <w:numFmt w:val="decimal"/>
      <w:lvlText w:val="(%2)"/>
      <w:lvlJc w:val="left"/>
      <w:pPr>
        <w:ind w:left="1116" w:hanging="480"/>
      </w:pPr>
    </w:lvl>
    <w:lvl w:ilvl="2">
      <w:start w:val="1"/>
      <w:numFmt w:val="upperRoman"/>
      <w:lvlText w:val="%3."/>
      <w:lvlJc w:val="left"/>
      <w:pPr>
        <w:ind w:left="1596" w:hanging="480"/>
      </w:pPr>
    </w:lvl>
    <w:lvl w:ilvl="3">
      <w:start w:val="1"/>
      <w:numFmt w:val="lowerRoman"/>
      <w:lvlText w:val="%4."/>
      <w:lvlJc w:val="left"/>
      <w:pPr>
        <w:ind w:left="2316" w:hanging="720"/>
      </w:pPr>
    </w:lvl>
    <w:lvl w:ilvl="4">
      <w:start w:val="1"/>
      <w:numFmt w:val="ideographTraditional"/>
      <w:lvlText w:val="%5、"/>
      <w:lvlJc w:val="left"/>
      <w:pPr>
        <w:ind w:left="2556" w:hanging="480"/>
      </w:pPr>
    </w:lvl>
    <w:lvl w:ilvl="5">
      <w:start w:val="1"/>
      <w:numFmt w:val="lowerRoman"/>
      <w:lvlText w:val="%6."/>
      <w:lvlJc w:val="right"/>
      <w:pPr>
        <w:ind w:left="3036" w:hanging="480"/>
      </w:pPr>
    </w:lvl>
    <w:lvl w:ilvl="6">
      <w:start w:val="1"/>
      <w:numFmt w:val="decimal"/>
      <w:lvlText w:val="%7."/>
      <w:lvlJc w:val="left"/>
      <w:pPr>
        <w:ind w:left="3516" w:hanging="480"/>
      </w:pPr>
    </w:lvl>
    <w:lvl w:ilvl="7">
      <w:start w:val="1"/>
      <w:numFmt w:val="ideographTraditional"/>
      <w:lvlText w:val="%8、"/>
      <w:lvlJc w:val="left"/>
      <w:pPr>
        <w:ind w:left="3996" w:hanging="480"/>
      </w:pPr>
    </w:lvl>
    <w:lvl w:ilvl="8">
      <w:start w:val="1"/>
      <w:numFmt w:val="lowerRoman"/>
      <w:lvlText w:val="%9."/>
      <w:lvlJc w:val="right"/>
      <w:pPr>
        <w:ind w:left="4476" w:hanging="480"/>
      </w:pPr>
    </w:lvl>
  </w:abstractNum>
  <w:abstractNum w:abstractNumId="29" w15:restartNumberingAfterBreak="0">
    <w:nsid w:val="51155710"/>
    <w:multiLevelType w:val="multilevel"/>
    <w:tmpl w:val="8DB27A78"/>
    <w:lvl w:ilvl="0">
      <w:start w:val="1"/>
      <w:numFmt w:val="decimal"/>
      <w:suff w:val="nothing"/>
      <w:lvlText w:val="%1."/>
      <w:lvlJc w:val="left"/>
      <w:pPr>
        <w:ind w:left="480" w:hanging="480"/>
      </w:pPr>
      <w:rPr>
        <w:u w:val="none"/>
      </w:rPr>
    </w:lvl>
    <w:lvl w:ilvl="1">
      <w:start w:val="1"/>
      <w:numFmt w:val="decimal"/>
      <w:suff w:val="nothing"/>
      <w:lvlText w:val="(%2)"/>
      <w:lvlJc w:val="left"/>
      <w:pPr>
        <w:ind w:left="960" w:hanging="480"/>
      </w:pPr>
      <w:rPr>
        <w:rFonts w:ascii="標楷體" w:eastAsia="標楷體" w:hAnsi="標楷體"/>
        <w:strike w:val="0"/>
        <w:dstrike w:val="0"/>
        <w:sz w:val="24"/>
        <w:szCs w:val="28"/>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5DA608F"/>
    <w:multiLevelType w:val="multilevel"/>
    <w:tmpl w:val="345298A4"/>
    <w:lvl w:ilvl="0">
      <w:start w:val="1"/>
      <w:numFmt w:val="decimal"/>
      <w:lvlText w:val="%1."/>
      <w:lvlJc w:val="left"/>
      <w:pPr>
        <w:ind w:left="360" w:hanging="360"/>
      </w:pPr>
    </w:lvl>
    <w:lvl w:ilvl="1">
      <w:start w:val="1"/>
      <w:numFmt w:val="decimal"/>
      <w:suff w:val="nothing"/>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6345AFA"/>
    <w:multiLevelType w:val="hybridMultilevel"/>
    <w:tmpl w:val="338028CE"/>
    <w:lvl w:ilvl="0" w:tplc="C1686CD6">
      <w:start w:val="1"/>
      <w:numFmt w:val="upperRoman"/>
      <w:lvlText w:val="%1."/>
      <w:lvlJc w:val="left"/>
      <w:pPr>
        <w:ind w:left="144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5503EE"/>
    <w:multiLevelType w:val="hybridMultilevel"/>
    <w:tmpl w:val="FE72DF24"/>
    <w:lvl w:ilvl="0" w:tplc="E0CEFB2C">
      <w:start w:val="1"/>
      <w:numFmt w:val="upperRoman"/>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3" w15:restartNumberingAfterBreak="0">
    <w:nsid w:val="61AF46E6"/>
    <w:multiLevelType w:val="hybridMultilevel"/>
    <w:tmpl w:val="36F25856"/>
    <w:lvl w:ilvl="0" w:tplc="738A042E">
      <w:start w:val="1"/>
      <w:numFmt w:val="lowerRoman"/>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F0049D"/>
    <w:multiLevelType w:val="hybridMultilevel"/>
    <w:tmpl w:val="4F0A9EB2"/>
    <w:lvl w:ilvl="0" w:tplc="8BBADA3C">
      <w:start w:val="3"/>
      <w:numFmt w:val="decimal"/>
      <w:lvlText w:val="%1."/>
      <w:lvlJc w:val="left"/>
      <w:pPr>
        <w:ind w:left="360" w:hanging="360"/>
      </w:pPr>
      <w:rPr>
        <w:rFonts w:ascii="標楷體" w:eastAsia="標楷體" w:hAnsi="標楷體"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5F2D2F"/>
    <w:multiLevelType w:val="multilevel"/>
    <w:tmpl w:val="216C918E"/>
    <w:lvl w:ilvl="0">
      <w:start w:val="1"/>
      <w:numFmt w:val="upperRoman"/>
      <w:lvlText w:val="%1."/>
      <w:lvlJc w:val="left"/>
      <w:pPr>
        <w:ind w:left="879" w:hanging="480"/>
      </w:pPr>
      <w:rPr>
        <w:rFonts w:ascii="標楷體" w:eastAsia="標楷體" w:hAnsi="標楷體" w:cs="Times New Roman"/>
        <w:b w:val="0"/>
        <w:u w:val="none"/>
      </w:rPr>
    </w:lvl>
    <w:lvl w:ilvl="1">
      <w:start w:val="1"/>
      <w:numFmt w:val="ideographTraditional"/>
      <w:lvlText w:val="%2、"/>
      <w:lvlJc w:val="left"/>
      <w:pPr>
        <w:ind w:left="1359" w:hanging="480"/>
      </w:pPr>
    </w:lvl>
    <w:lvl w:ilvl="2">
      <w:start w:val="1"/>
      <w:numFmt w:val="lowerRoman"/>
      <w:lvlText w:val="%3."/>
      <w:lvlJc w:val="right"/>
      <w:pPr>
        <w:ind w:left="1839" w:hanging="480"/>
      </w:pPr>
    </w:lvl>
    <w:lvl w:ilvl="3">
      <w:start w:val="1"/>
      <w:numFmt w:val="decimal"/>
      <w:lvlText w:val="%4."/>
      <w:lvlJc w:val="left"/>
      <w:pPr>
        <w:ind w:left="2319" w:hanging="480"/>
      </w:pPr>
    </w:lvl>
    <w:lvl w:ilvl="4">
      <w:start w:val="1"/>
      <w:numFmt w:val="ideographTraditional"/>
      <w:lvlText w:val="%5、"/>
      <w:lvlJc w:val="left"/>
      <w:pPr>
        <w:ind w:left="2799" w:hanging="480"/>
      </w:pPr>
    </w:lvl>
    <w:lvl w:ilvl="5">
      <w:start w:val="1"/>
      <w:numFmt w:val="lowerRoman"/>
      <w:lvlText w:val="%6."/>
      <w:lvlJc w:val="right"/>
      <w:pPr>
        <w:ind w:left="3279" w:hanging="480"/>
      </w:pPr>
    </w:lvl>
    <w:lvl w:ilvl="6">
      <w:start w:val="1"/>
      <w:numFmt w:val="decimal"/>
      <w:lvlText w:val="%7."/>
      <w:lvlJc w:val="left"/>
      <w:pPr>
        <w:ind w:left="3759" w:hanging="480"/>
      </w:pPr>
    </w:lvl>
    <w:lvl w:ilvl="7">
      <w:start w:val="1"/>
      <w:numFmt w:val="ideographTraditional"/>
      <w:lvlText w:val="%8、"/>
      <w:lvlJc w:val="left"/>
      <w:pPr>
        <w:ind w:left="4239" w:hanging="480"/>
      </w:pPr>
    </w:lvl>
    <w:lvl w:ilvl="8">
      <w:start w:val="1"/>
      <w:numFmt w:val="lowerRoman"/>
      <w:lvlText w:val="%9."/>
      <w:lvlJc w:val="right"/>
      <w:pPr>
        <w:ind w:left="4719" w:hanging="480"/>
      </w:pPr>
    </w:lvl>
  </w:abstractNum>
  <w:abstractNum w:abstractNumId="36" w15:restartNumberingAfterBreak="0">
    <w:nsid w:val="67FA2DB0"/>
    <w:multiLevelType w:val="multilevel"/>
    <w:tmpl w:val="C3701780"/>
    <w:lvl w:ilvl="0">
      <w:start w:val="1"/>
      <w:numFmt w:val="upperRoman"/>
      <w:suff w:val="nothing"/>
      <w:lvlText w:val="%1."/>
      <w:lvlJc w:val="left"/>
      <w:pPr>
        <w:ind w:left="622"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89D1EA6"/>
    <w:multiLevelType w:val="hybridMultilevel"/>
    <w:tmpl w:val="0EF04F30"/>
    <w:lvl w:ilvl="0" w:tplc="EAAEB12C">
      <w:start w:val="1"/>
      <w:numFmt w:val="decimal"/>
      <w:lvlText w:val="(%1)"/>
      <w:lvlJc w:val="left"/>
      <w:pPr>
        <w:ind w:left="1325" w:hanging="480"/>
      </w:pPr>
      <w:rPr>
        <w:rFonts w:hint="default"/>
        <w:u w:val="none"/>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38" w15:restartNumberingAfterBreak="0">
    <w:nsid w:val="68BC36A6"/>
    <w:multiLevelType w:val="hybridMultilevel"/>
    <w:tmpl w:val="9B020D7E"/>
    <w:lvl w:ilvl="0" w:tplc="C414CD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8FE3151"/>
    <w:multiLevelType w:val="hybridMultilevel"/>
    <w:tmpl w:val="C3AAF8D0"/>
    <w:lvl w:ilvl="0" w:tplc="EAAEB12C">
      <w:start w:val="1"/>
      <w:numFmt w:val="decimal"/>
      <w:lvlText w:val="(%1)"/>
      <w:lvlJc w:val="left"/>
      <w:pPr>
        <w:ind w:left="1200" w:hanging="72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9CB4D93"/>
    <w:multiLevelType w:val="hybridMultilevel"/>
    <w:tmpl w:val="B0B207D2"/>
    <w:lvl w:ilvl="0" w:tplc="EAAEB12C">
      <w:start w:val="1"/>
      <w:numFmt w:val="decimal"/>
      <w:lvlText w:val="(%1)"/>
      <w:lvlJc w:val="left"/>
      <w:pPr>
        <w:ind w:left="1325" w:hanging="480"/>
      </w:pPr>
      <w:rPr>
        <w:rFonts w:hint="default"/>
        <w:u w:val="none"/>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41" w15:restartNumberingAfterBreak="0">
    <w:nsid w:val="6A254C63"/>
    <w:multiLevelType w:val="hybridMultilevel"/>
    <w:tmpl w:val="1910D428"/>
    <w:lvl w:ilvl="0" w:tplc="50227ACC">
      <w:start w:val="1"/>
      <w:numFmt w:val="decimal"/>
      <w:lvlText w:val="(%1)"/>
      <w:lvlJc w:val="left"/>
      <w:pPr>
        <w:ind w:left="480" w:hanging="360"/>
      </w:pPr>
      <w:rPr>
        <w:rFonts w:ascii="標楷體" w:eastAsia="標楷體" w:hAnsi="標楷體" w:hint="default"/>
      </w:rPr>
    </w:lvl>
    <w:lvl w:ilvl="1" w:tplc="A95E233A">
      <w:start w:val="1"/>
      <w:numFmt w:val="upperRoman"/>
      <w:lvlText w:val="%2."/>
      <w:lvlJc w:val="right"/>
      <w:pPr>
        <w:ind w:left="1080" w:hanging="480"/>
      </w:pPr>
      <w:rPr>
        <w:rFonts w:hint="eastAsia"/>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2" w15:restartNumberingAfterBreak="0">
    <w:nsid w:val="6C69368D"/>
    <w:multiLevelType w:val="multilevel"/>
    <w:tmpl w:val="E7BCC864"/>
    <w:lvl w:ilvl="0">
      <w:start w:val="9"/>
      <w:numFmt w:val="upperRoman"/>
      <w:lvlText w:val="%1."/>
      <w:lvlJc w:val="left"/>
      <w:pPr>
        <w:ind w:left="1440"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F3D4EC8"/>
    <w:multiLevelType w:val="multilevel"/>
    <w:tmpl w:val="44A4B4EA"/>
    <w:lvl w:ilvl="0">
      <w:start w:val="1"/>
      <w:numFmt w:val="decimal"/>
      <w:lvlText w:val="%1."/>
      <w:lvlJc w:val="left"/>
      <w:pPr>
        <w:ind w:left="480" w:hanging="480"/>
      </w:pPr>
    </w:lvl>
    <w:lvl w:ilvl="1">
      <w:start w:val="1"/>
      <w:numFmt w:val="decimal"/>
      <w:suff w:val="nothing"/>
      <w:lvlText w:val="(%2)"/>
      <w:lvlJc w:val="left"/>
      <w:pPr>
        <w:ind w:left="840" w:hanging="360"/>
      </w:pPr>
    </w:lvl>
    <w:lvl w:ilvl="2">
      <w:start w:val="1"/>
      <w:numFmt w:val="upperRoman"/>
      <w:lvlText w:val="%3."/>
      <w:lvlJc w:val="left"/>
      <w:pPr>
        <w:ind w:left="1584" w:hanging="792"/>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48D0AA7"/>
    <w:multiLevelType w:val="hybridMultilevel"/>
    <w:tmpl w:val="2E42F2D0"/>
    <w:lvl w:ilvl="0" w:tplc="D284A760">
      <w:start w:val="1"/>
      <w:numFmt w:val="decimal"/>
      <w:lvlText w:val="%1."/>
      <w:lvlJc w:val="left"/>
      <w:pPr>
        <w:ind w:left="360" w:hanging="360"/>
      </w:pPr>
      <w:rPr>
        <w:rFonts w:ascii="標楷體" w:eastAsia="標楷體" w:hAnsi="標楷體" w:hint="default"/>
        <w:color w:val="000000"/>
        <w:u w:val="none"/>
      </w:rPr>
    </w:lvl>
    <w:lvl w:ilvl="1" w:tplc="B8CE6094">
      <w:start w:val="1"/>
      <w:numFmt w:val="decimal"/>
      <w:lvlText w:val="(%2)"/>
      <w:lvlJc w:val="left"/>
      <w:pPr>
        <w:ind w:left="960" w:hanging="480"/>
      </w:pPr>
      <w:rPr>
        <w:rFonts w:hint="eastAsia"/>
        <w:u w:val="single"/>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6EB729A"/>
    <w:multiLevelType w:val="hybridMultilevel"/>
    <w:tmpl w:val="12220108"/>
    <w:lvl w:ilvl="0" w:tplc="DB5E232E">
      <w:start w:val="1"/>
      <w:numFmt w:val="upperRoman"/>
      <w:lvlText w:val="%1."/>
      <w:lvlJc w:val="left"/>
      <w:pPr>
        <w:ind w:left="144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30"/>
  </w:num>
  <w:num w:numId="3">
    <w:abstractNumId w:val="21"/>
  </w:num>
  <w:num w:numId="4">
    <w:abstractNumId w:val="22"/>
  </w:num>
  <w:num w:numId="5">
    <w:abstractNumId w:val="35"/>
  </w:num>
  <w:num w:numId="6">
    <w:abstractNumId w:val="9"/>
  </w:num>
  <w:num w:numId="7">
    <w:abstractNumId w:val="12"/>
  </w:num>
  <w:num w:numId="8">
    <w:abstractNumId w:val="24"/>
  </w:num>
  <w:num w:numId="9">
    <w:abstractNumId w:val="20"/>
  </w:num>
  <w:num w:numId="10">
    <w:abstractNumId w:val="43"/>
  </w:num>
  <w:num w:numId="11">
    <w:abstractNumId w:val="11"/>
  </w:num>
  <w:num w:numId="12">
    <w:abstractNumId w:val="29"/>
  </w:num>
  <w:num w:numId="13">
    <w:abstractNumId w:val="28"/>
  </w:num>
  <w:num w:numId="14">
    <w:abstractNumId w:val="10"/>
  </w:num>
  <w:num w:numId="15">
    <w:abstractNumId w:val="38"/>
  </w:num>
  <w:num w:numId="16">
    <w:abstractNumId w:val="13"/>
  </w:num>
  <w:num w:numId="17">
    <w:abstractNumId w:val="31"/>
  </w:num>
  <w:num w:numId="18">
    <w:abstractNumId w:val="18"/>
  </w:num>
  <w:num w:numId="19">
    <w:abstractNumId w:val="34"/>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0"/>
  </w:num>
  <w:num w:numId="27">
    <w:abstractNumId w:val="2"/>
  </w:num>
  <w:num w:numId="28">
    <w:abstractNumId w:val="6"/>
  </w:num>
  <w:num w:numId="29">
    <w:abstractNumId w:val="36"/>
  </w:num>
  <w:num w:numId="30">
    <w:abstractNumId w:val="42"/>
  </w:num>
  <w:num w:numId="31">
    <w:abstractNumId w:val="5"/>
  </w:num>
  <w:num w:numId="32">
    <w:abstractNumId w:val="4"/>
  </w:num>
  <w:num w:numId="33">
    <w:abstractNumId w:val="19"/>
  </w:num>
  <w:num w:numId="34">
    <w:abstractNumId w:val="23"/>
  </w:num>
  <w:num w:numId="35">
    <w:abstractNumId w:val="4"/>
    <w:lvlOverride w:ilvl="0">
      <w:lvl w:ilvl="0">
        <w:start w:val="1"/>
        <w:numFmt w:val="upperRoman"/>
        <w:lvlText w:val="%1."/>
        <w:lvlJc w:val="left"/>
        <w:pPr>
          <w:ind w:left="1615" w:hanging="480"/>
        </w:pPr>
        <w:rPr>
          <w:rFonts w:ascii="標楷體" w:eastAsia="標楷體" w:hAnsi="標楷體" w:hint="eastAsia"/>
          <w:u w:val="none"/>
        </w:rPr>
      </w:lvl>
    </w:lvlOverride>
    <w:lvlOverride w:ilvl="1">
      <w:lvl w:ilvl="1">
        <w:start w:val="1"/>
        <w:numFmt w:val="ideographTraditional"/>
        <w:lvlText w:val="%2、"/>
        <w:lvlJc w:val="left"/>
        <w:pPr>
          <w:ind w:left="960" w:hanging="480"/>
        </w:pPr>
        <w:rPr>
          <w:rFonts w:hint="eastAsia"/>
        </w:rPr>
      </w:lvl>
    </w:lvlOverride>
    <w:lvlOverride w:ilvl="2">
      <w:lvl w:ilvl="2">
        <w:start w:val="1"/>
        <w:numFmt w:val="lowerRoman"/>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36">
    <w:abstractNumId w:val="4"/>
    <w:lvlOverride w:ilvl="0">
      <w:lvl w:ilvl="0">
        <w:start w:val="1"/>
        <w:numFmt w:val="upperRoman"/>
        <w:lvlText w:val="%1."/>
        <w:lvlJc w:val="left"/>
        <w:pPr>
          <w:ind w:left="1615" w:hanging="480"/>
        </w:pPr>
        <w:rPr>
          <w:rFonts w:ascii="標楷體" w:eastAsia="標楷體" w:hAnsi="標楷體" w:hint="eastAsia"/>
          <w:u w:val="none"/>
        </w:rPr>
      </w:lvl>
    </w:lvlOverride>
    <w:lvlOverride w:ilvl="1">
      <w:lvl w:ilvl="1">
        <w:start w:val="1"/>
        <w:numFmt w:val="ideographTraditional"/>
        <w:lvlText w:val="%2、"/>
        <w:lvlJc w:val="left"/>
        <w:pPr>
          <w:ind w:left="960" w:hanging="480"/>
        </w:pPr>
        <w:rPr>
          <w:rFonts w:hint="eastAsia"/>
        </w:rPr>
      </w:lvl>
    </w:lvlOverride>
    <w:lvlOverride w:ilvl="2">
      <w:lvl w:ilvl="2">
        <w:start w:val="1"/>
        <w:numFmt w:val="lowerRoman"/>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37">
    <w:abstractNumId w:val="4"/>
    <w:lvlOverride w:ilvl="0">
      <w:lvl w:ilvl="0">
        <w:start w:val="1"/>
        <w:numFmt w:val="upperRoman"/>
        <w:lvlText w:val="%1."/>
        <w:lvlJc w:val="left"/>
        <w:pPr>
          <w:ind w:left="1615" w:hanging="480"/>
        </w:pPr>
        <w:rPr>
          <w:rFonts w:ascii="標楷體" w:eastAsia="標楷體" w:hAnsi="標楷體" w:hint="eastAsia"/>
          <w:u w:val="none"/>
        </w:rPr>
      </w:lvl>
    </w:lvlOverride>
    <w:lvlOverride w:ilvl="1">
      <w:lvl w:ilvl="1">
        <w:start w:val="1"/>
        <w:numFmt w:val="ideographTraditional"/>
        <w:lvlText w:val="%2、"/>
        <w:lvlJc w:val="left"/>
        <w:pPr>
          <w:ind w:left="960" w:hanging="480"/>
        </w:pPr>
        <w:rPr>
          <w:rFonts w:hint="eastAsia"/>
        </w:rPr>
      </w:lvl>
    </w:lvlOverride>
    <w:lvlOverride w:ilvl="2">
      <w:lvl w:ilvl="2">
        <w:start w:val="1"/>
        <w:numFmt w:val="lowerRoman"/>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38">
    <w:abstractNumId w:val="17"/>
  </w:num>
  <w:num w:numId="39">
    <w:abstractNumId w:val="3"/>
  </w:num>
  <w:num w:numId="40">
    <w:abstractNumId w:val="39"/>
  </w:num>
  <w:num w:numId="41">
    <w:abstractNumId w:val="25"/>
  </w:num>
  <w:num w:numId="42">
    <w:abstractNumId w:val="33"/>
  </w:num>
  <w:num w:numId="43">
    <w:abstractNumId w:val="40"/>
  </w:num>
  <w:num w:numId="44">
    <w:abstractNumId w:val="37"/>
  </w:num>
  <w:num w:numId="45">
    <w:abstractNumId w:val="7"/>
  </w:num>
  <w:num w:numId="46">
    <w:abstractNumId w:val="16"/>
  </w:num>
  <w:num w:numId="47">
    <w:abstractNumId w:val="44"/>
  </w:num>
  <w:num w:numId="48">
    <w:abstractNumId w:val="15"/>
  </w:num>
  <w:num w:numId="49">
    <w:abstractNumId w:val="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A0"/>
    <w:rsid w:val="00020935"/>
    <w:rsid w:val="00042C96"/>
    <w:rsid w:val="0007073E"/>
    <w:rsid w:val="000838F4"/>
    <w:rsid w:val="00086754"/>
    <w:rsid w:val="000A3CBC"/>
    <w:rsid w:val="000B6373"/>
    <w:rsid w:val="000C7C60"/>
    <w:rsid w:val="00105765"/>
    <w:rsid w:val="0011658A"/>
    <w:rsid w:val="001314F6"/>
    <w:rsid w:val="0014655B"/>
    <w:rsid w:val="0020695F"/>
    <w:rsid w:val="002203D3"/>
    <w:rsid w:val="00222ABC"/>
    <w:rsid w:val="002465F4"/>
    <w:rsid w:val="00275C39"/>
    <w:rsid w:val="00282D48"/>
    <w:rsid w:val="002D6760"/>
    <w:rsid w:val="002D7958"/>
    <w:rsid w:val="002F2B55"/>
    <w:rsid w:val="002F7398"/>
    <w:rsid w:val="00301C39"/>
    <w:rsid w:val="00336F3D"/>
    <w:rsid w:val="00347CE0"/>
    <w:rsid w:val="003F1643"/>
    <w:rsid w:val="00417740"/>
    <w:rsid w:val="00420032"/>
    <w:rsid w:val="00427424"/>
    <w:rsid w:val="00471506"/>
    <w:rsid w:val="004C2511"/>
    <w:rsid w:val="004C3CC5"/>
    <w:rsid w:val="004F2A2C"/>
    <w:rsid w:val="0051373F"/>
    <w:rsid w:val="005142EB"/>
    <w:rsid w:val="00517C45"/>
    <w:rsid w:val="005363DB"/>
    <w:rsid w:val="00557419"/>
    <w:rsid w:val="00617D60"/>
    <w:rsid w:val="0065421D"/>
    <w:rsid w:val="00660DD4"/>
    <w:rsid w:val="006B3E51"/>
    <w:rsid w:val="006D79D1"/>
    <w:rsid w:val="006D7F5B"/>
    <w:rsid w:val="006E56D0"/>
    <w:rsid w:val="00702020"/>
    <w:rsid w:val="007155BC"/>
    <w:rsid w:val="0074474A"/>
    <w:rsid w:val="007455F6"/>
    <w:rsid w:val="007D66B8"/>
    <w:rsid w:val="007F71E0"/>
    <w:rsid w:val="00800DDB"/>
    <w:rsid w:val="008859E6"/>
    <w:rsid w:val="00892228"/>
    <w:rsid w:val="008B4C4B"/>
    <w:rsid w:val="008B5474"/>
    <w:rsid w:val="008E774D"/>
    <w:rsid w:val="008F6DA3"/>
    <w:rsid w:val="00941523"/>
    <w:rsid w:val="00957AD9"/>
    <w:rsid w:val="00997F73"/>
    <w:rsid w:val="009C41ED"/>
    <w:rsid w:val="009D436C"/>
    <w:rsid w:val="00A33F1B"/>
    <w:rsid w:val="00A61FF2"/>
    <w:rsid w:val="00B07C9A"/>
    <w:rsid w:val="00B252D1"/>
    <w:rsid w:val="00B355DB"/>
    <w:rsid w:val="00B57732"/>
    <w:rsid w:val="00B60500"/>
    <w:rsid w:val="00B74E3A"/>
    <w:rsid w:val="00B96EA0"/>
    <w:rsid w:val="00C46EAE"/>
    <w:rsid w:val="00CD4BD4"/>
    <w:rsid w:val="00CD573D"/>
    <w:rsid w:val="00CF183E"/>
    <w:rsid w:val="00D103A2"/>
    <w:rsid w:val="00D250AB"/>
    <w:rsid w:val="00D3675A"/>
    <w:rsid w:val="00D4365C"/>
    <w:rsid w:val="00DA176D"/>
    <w:rsid w:val="00DC6D1C"/>
    <w:rsid w:val="00DD360F"/>
    <w:rsid w:val="00DF1029"/>
    <w:rsid w:val="00E821CC"/>
    <w:rsid w:val="00E9187D"/>
    <w:rsid w:val="00EA15AB"/>
    <w:rsid w:val="00EA4516"/>
    <w:rsid w:val="00EA6AFB"/>
    <w:rsid w:val="00EB5347"/>
    <w:rsid w:val="00F95F32"/>
    <w:rsid w:val="00FB35E5"/>
    <w:rsid w:val="00FE6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2355"/>
  <w15:docId w15:val="{4260E391-8B73-4CF2-AC38-13B6CAF0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paragraph" w:styleId="1">
    <w:name w:val="heading 1"/>
    <w:basedOn w:val="a"/>
    <w:next w:val="a"/>
    <w:uiPriority w:val="9"/>
    <w:qFormat/>
    <w:pPr>
      <w:keepNext/>
      <w:spacing w:line="360" w:lineRule="exact"/>
      <w:jc w:val="center"/>
      <w:outlineLvl w:val="0"/>
    </w:pPr>
    <w:rPr>
      <w:rFonts w:ascii="Times New Roman" w:eastAsia="標楷體"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customStyle="1" w:styleId="10">
    <w:name w:val="標題 1 字元"/>
    <w:rPr>
      <w:rFonts w:ascii="Times New Roman" w:eastAsia="標楷體" w:hAnsi="Times New Roman"/>
      <w:b/>
      <w:bCs/>
      <w:kern w:val="3"/>
      <w:sz w:val="32"/>
      <w:szCs w:val="32"/>
    </w:rPr>
  </w:style>
  <w:style w:type="paragraph" w:styleId="Web">
    <w:name w:val="Normal (Web)"/>
    <w:basedOn w:val="a"/>
    <w:pPr>
      <w:widowControl/>
      <w:spacing w:before="100" w:after="100"/>
    </w:pPr>
    <w:rPr>
      <w:rFonts w:ascii="Arial Unicode MS" w:eastAsia="Arial Unicode MS" w:hAnsi="Arial Unicode MS" w:cs="Arial Unicode MS"/>
      <w:kern w:val="0"/>
      <w:szCs w:val="24"/>
    </w:rPr>
  </w:style>
  <w:style w:type="paragraph" w:customStyle="1" w:styleId="11">
    <w:name w:val="1."/>
    <w:basedOn w:val="a"/>
    <w:pPr>
      <w:spacing w:line="240" w:lineRule="exact"/>
      <w:ind w:left="242" w:hanging="142"/>
    </w:pPr>
    <w:rPr>
      <w:rFonts w:ascii="Times New Roman" w:eastAsia="標楷體" w:hAnsi="Times New Roman"/>
      <w:color w:val="000000"/>
      <w:kern w:val="0"/>
      <w:sz w:val="20"/>
      <w:szCs w:val="20"/>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customStyle="1" w:styleId="Textbody">
    <w:name w:val="Text body"/>
    <w:pPr>
      <w:widowControl w:val="0"/>
      <w:suppressAutoHyphens/>
    </w:pPr>
    <w:rPr>
      <w:rFonts w:ascii="Times New Roman" w:hAnsi="Times New Roman"/>
      <w:kern w:val="3"/>
      <w:sz w:val="24"/>
      <w:szCs w:val="24"/>
    </w:rPr>
  </w:style>
  <w:style w:type="paragraph" w:customStyle="1" w:styleId="Default">
    <w:name w:val="Default"/>
    <w:pPr>
      <w:widowControl w:val="0"/>
      <w:suppressAutoHyphens/>
      <w:autoSpaceDE w:val="0"/>
    </w:pPr>
    <w:rPr>
      <w:rFonts w:ascii="標楷體.鬁..." w:eastAsia="標楷體.鬁..." w:hAnsi="標楷體.鬁..." w:cs="標楷體.鬁..."/>
      <w:color w:val="000000"/>
      <w:sz w:val="24"/>
      <w:szCs w:val="24"/>
    </w:rPr>
  </w:style>
  <w:style w:type="paragraph" w:styleId="a9">
    <w:name w:val="List Paragraph"/>
    <w:aliases w:val="Table bullet,樣式 清單段落+標題2"/>
    <w:basedOn w:val="a"/>
    <w:uiPriority w:val="34"/>
    <w:qFormat/>
    <w:pPr>
      <w:ind w:left="480"/>
    </w:pPr>
    <w:rPr>
      <w:rFonts w:ascii="Times New Roman" w:hAnsi="Times New Roman"/>
      <w:szCs w:val="24"/>
    </w:rPr>
  </w:style>
  <w:style w:type="character" w:customStyle="1" w:styleId="aa">
    <w:name w:val="清單段落 字元"/>
    <w:rPr>
      <w:rFonts w:ascii="Times New Roman" w:hAnsi="Times New Roman"/>
      <w:kern w:val="3"/>
      <w:sz w:val="24"/>
      <w:szCs w:val="24"/>
    </w:rPr>
  </w:style>
  <w:style w:type="paragraph" w:styleId="ab">
    <w:name w:val="No Spacing"/>
    <w:pPr>
      <w:widowControl w:val="0"/>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780605">
      <w:bodyDiv w:val="1"/>
      <w:marLeft w:val="0"/>
      <w:marRight w:val="0"/>
      <w:marTop w:val="0"/>
      <w:marBottom w:val="0"/>
      <w:divBdr>
        <w:top w:val="none" w:sz="0" w:space="0" w:color="auto"/>
        <w:left w:val="none" w:sz="0" w:space="0" w:color="auto"/>
        <w:bottom w:val="none" w:sz="0" w:space="0" w:color="auto"/>
        <w:right w:val="none" w:sz="0" w:space="0" w:color="auto"/>
      </w:divBdr>
    </w:div>
    <w:div w:id="1904296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92</Pages>
  <Words>16699</Words>
  <Characters>95185</Characters>
  <Application>Microsoft Office Word</Application>
  <DocSecurity>0</DocSecurity>
  <Lines>793</Lines>
  <Paragraphs>223</Paragraphs>
  <ScaleCrop>false</ScaleCrop>
  <Company/>
  <LinksUpToDate>false</LinksUpToDate>
  <CharactersWithSpaces>111661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dc:creator>
  <cp:lastModifiedBy>李欣蓉</cp:lastModifiedBy>
  <cp:revision>37</cp:revision>
  <cp:lastPrinted>2025-02-24T03:34:00Z</cp:lastPrinted>
  <dcterms:created xsi:type="dcterms:W3CDTF">2025-08-20T07:38:00Z</dcterms:created>
  <dcterms:modified xsi:type="dcterms:W3CDTF">2025-10-23T04:04:00Z</dcterms:modified>
</cp:coreProperties>
</file>