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F27" w:rsidRDefault="00ED050B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color w:val="000000"/>
          <w:sz w:val="32"/>
          <w:szCs w:val="32"/>
        </w:rPr>
        <w:t>第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13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節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皮膚科製劑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 xml:space="preserve"> Dermatological preparations</w:t>
      </w:r>
    </w:p>
    <w:p w:rsidR="00CA3F27" w:rsidRDefault="00CA3F27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CA3F27" w:rsidRDefault="00ED050B">
      <w:pPr>
        <w:ind w:left="432" w:hanging="38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13.1.(</w:t>
      </w:r>
      <w:r>
        <w:rPr>
          <w:rFonts w:ascii="標楷體" w:eastAsia="標楷體" w:hAnsi="標楷體"/>
          <w:color w:val="000000"/>
        </w:rPr>
        <w:t>刪除</w:t>
      </w:r>
      <w:r>
        <w:rPr>
          <w:rFonts w:ascii="標楷體" w:eastAsia="標楷體" w:hAnsi="標楷體"/>
          <w:color w:val="000000"/>
        </w:rPr>
        <w:t>)(104/6/1)</w:t>
      </w:r>
    </w:p>
    <w:p w:rsidR="00CA3F27" w:rsidRDefault="00ED050B">
      <w:pPr>
        <w:ind w:left="432" w:hanging="38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13.2.Cadexomer iodine</w:t>
      </w:r>
      <w:r>
        <w:rPr>
          <w:rFonts w:ascii="標楷體" w:eastAsia="標楷體" w:hAnsi="標楷體"/>
          <w:color w:val="000000"/>
        </w:rPr>
        <w:t>（如</w:t>
      </w:r>
      <w:proofErr w:type="spellStart"/>
      <w:r>
        <w:rPr>
          <w:rFonts w:ascii="標楷體" w:eastAsia="標楷體" w:hAnsi="標楷體"/>
          <w:color w:val="000000"/>
        </w:rPr>
        <w:t>Iodosorb</w:t>
      </w:r>
      <w:proofErr w:type="spellEnd"/>
      <w:r>
        <w:rPr>
          <w:rFonts w:ascii="標楷體" w:eastAsia="標楷體" w:hAnsi="標楷體"/>
          <w:color w:val="000000"/>
        </w:rPr>
        <w:t xml:space="preserve"> powder</w:t>
      </w:r>
      <w:r>
        <w:rPr>
          <w:rFonts w:ascii="標楷體" w:eastAsia="標楷體" w:hAnsi="標楷體"/>
          <w:color w:val="000000"/>
        </w:rPr>
        <w:t>）：（</w:t>
      </w:r>
      <w:r>
        <w:rPr>
          <w:rFonts w:ascii="標楷體" w:eastAsia="標楷體" w:hAnsi="標楷體"/>
          <w:color w:val="000000"/>
        </w:rPr>
        <w:t>87/4/1</w:t>
      </w:r>
      <w:r>
        <w:rPr>
          <w:rFonts w:ascii="標楷體" w:eastAsia="標楷體" w:hAnsi="標楷體"/>
          <w:color w:val="000000"/>
        </w:rPr>
        <w:t>）</w:t>
      </w:r>
    </w:p>
    <w:p w:rsidR="00CA3F27" w:rsidRDefault="00ED050B">
      <w:pPr>
        <w:ind w:left="798" w:hanging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限</w:t>
      </w:r>
      <w:proofErr w:type="gramStart"/>
      <w:r>
        <w:rPr>
          <w:rFonts w:ascii="標楷體" w:eastAsia="標楷體" w:hAnsi="標楷體"/>
          <w:color w:val="000000"/>
        </w:rPr>
        <w:t>慢性腿部</w:t>
      </w:r>
      <w:proofErr w:type="gramEnd"/>
      <w:r>
        <w:rPr>
          <w:rFonts w:ascii="標楷體" w:eastAsia="標楷體" w:hAnsi="標楷體"/>
          <w:color w:val="000000"/>
        </w:rPr>
        <w:t>潰瘍病例及慢性感染性潰瘍傷口使用，每日用量超過一包時，需檢附傷口照片以利審查。</w:t>
      </w:r>
    </w:p>
    <w:p w:rsidR="00CA3F27" w:rsidRDefault="00ED050B">
      <w:pPr>
        <w:ind w:left="432" w:hanging="38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13.3.Calcipotriol</w:t>
      </w:r>
      <w:r>
        <w:rPr>
          <w:rFonts w:ascii="標楷體" w:eastAsia="標楷體" w:hAnsi="標楷體"/>
          <w:color w:val="000000"/>
        </w:rPr>
        <w:t>外用製劑：（</w:t>
      </w:r>
      <w:r>
        <w:rPr>
          <w:rFonts w:ascii="標楷體" w:eastAsia="標楷體" w:hAnsi="標楷體"/>
          <w:color w:val="000000"/>
        </w:rPr>
        <w:t>87/4/1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89/2/1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94/3/1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94/5/1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99/12/1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109/10/1</w:t>
      </w:r>
      <w:r>
        <w:rPr>
          <w:rFonts w:ascii="標楷體" w:eastAsia="標楷體" w:hAnsi="標楷體"/>
          <w:color w:val="000000"/>
        </w:rPr>
        <w:t>）</w:t>
      </w:r>
    </w:p>
    <w:p w:rsidR="00CA3F27" w:rsidRDefault="00ED050B">
      <w:pPr>
        <w:ind w:left="432" w:hanging="38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13.3.1.Calcipotriol</w:t>
      </w:r>
      <w:r>
        <w:rPr>
          <w:rFonts w:ascii="標楷體" w:eastAsia="標楷體" w:hAnsi="標楷體"/>
          <w:color w:val="000000"/>
        </w:rPr>
        <w:t>外用單方製劑（</w:t>
      </w:r>
      <w:r>
        <w:rPr>
          <w:rFonts w:ascii="標楷體" w:eastAsia="標楷體" w:hAnsi="標楷體"/>
          <w:color w:val="000000"/>
        </w:rPr>
        <w:t>87/4/1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89/2/1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94/3/1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99/12/1</w:t>
      </w:r>
      <w:r>
        <w:rPr>
          <w:rFonts w:ascii="標楷體" w:eastAsia="標楷體" w:hAnsi="標楷體"/>
          <w:color w:val="000000"/>
        </w:rPr>
        <w:t>）</w:t>
      </w:r>
    </w:p>
    <w:p w:rsidR="00CA3F27" w:rsidRDefault="00ED050B">
      <w:pPr>
        <w:ind w:left="798" w:hanging="1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/>
          <w:color w:val="000000"/>
        </w:rPr>
        <w:t>限確經</w:t>
      </w:r>
      <w:proofErr w:type="gramEnd"/>
      <w:r>
        <w:rPr>
          <w:rFonts w:ascii="標楷體" w:eastAsia="標楷體" w:hAnsi="標楷體"/>
          <w:color w:val="000000"/>
        </w:rPr>
        <w:t>診斷為尋常性牛皮癬（</w:t>
      </w:r>
      <w:r>
        <w:rPr>
          <w:rFonts w:ascii="標楷體" w:eastAsia="標楷體" w:hAnsi="標楷體"/>
          <w:color w:val="000000"/>
        </w:rPr>
        <w:t>psoriasis</w:t>
      </w:r>
      <w:r>
        <w:rPr>
          <w:rFonts w:ascii="標楷體" w:eastAsia="標楷體" w:hAnsi="標楷體"/>
          <w:color w:val="000000"/>
        </w:rPr>
        <w:t>）之病例使用，使用量以每星期不高於</w:t>
      </w:r>
      <w:r>
        <w:rPr>
          <w:rFonts w:ascii="標楷體" w:eastAsia="標楷體" w:hAnsi="標楷體"/>
          <w:color w:val="000000"/>
        </w:rPr>
        <w:t>30gm</w:t>
      </w:r>
      <w:r>
        <w:rPr>
          <w:rFonts w:ascii="標楷體" w:eastAsia="標楷體" w:hAnsi="標楷體"/>
          <w:color w:val="000000"/>
        </w:rPr>
        <w:t>或</w:t>
      </w:r>
      <w:r>
        <w:rPr>
          <w:rFonts w:ascii="標楷體" w:eastAsia="標楷體" w:hAnsi="標楷體"/>
          <w:color w:val="000000"/>
        </w:rPr>
        <w:t>30mL</w:t>
      </w:r>
      <w:r>
        <w:rPr>
          <w:rFonts w:ascii="標楷體" w:eastAsia="標楷體" w:hAnsi="標楷體"/>
          <w:color w:val="000000"/>
        </w:rPr>
        <w:t>為原則，若因病情需要使用量需超過每星期</w:t>
      </w:r>
      <w:r>
        <w:rPr>
          <w:rFonts w:ascii="標楷體" w:eastAsia="標楷體" w:hAnsi="標楷體"/>
          <w:color w:val="000000"/>
        </w:rPr>
        <w:t xml:space="preserve"> 30gm</w:t>
      </w:r>
      <w:r>
        <w:rPr>
          <w:rFonts w:ascii="標楷體" w:eastAsia="標楷體" w:hAnsi="標楷體"/>
          <w:color w:val="000000"/>
        </w:rPr>
        <w:t>或</w:t>
      </w:r>
      <w:r>
        <w:rPr>
          <w:rFonts w:ascii="標楷體" w:eastAsia="標楷體" w:hAnsi="標楷體"/>
          <w:color w:val="000000"/>
        </w:rPr>
        <w:t>30mL</w:t>
      </w:r>
      <w:r>
        <w:rPr>
          <w:rFonts w:ascii="標楷體" w:eastAsia="標楷體" w:hAnsi="標楷體"/>
          <w:color w:val="000000"/>
        </w:rPr>
        <w:t>者，應於病歷詳細記錄理由。</w:t>
      </w:r>
    </w:p>
    <w:p w:rsidR="00CA3F27" w:rsidRDefault="00ED050B">
      <w:pPr>
        <w:ind w:left="526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13.3.2.</w:t>
      </w:r>
      <w:r>
        <w:rPr>
          <w:rFonts w:ascii="標楷體" w:eastAsia="標楷體" w:hAnsi="標楷體"/>
          <w:color w:val="000000"/>
        </w:rPr>
        <w:t>含</w:t>
      </w:r>
      <w:proofErr w:type="spellStart"/>
      <w:r>
        <w:rPr>
          <w:rFonts w:ascii="標楷體" w:eastAsia="標楷體" w:hAnsi="標楷體"/>
          <w:color w:val="000000"/>
        </w:rPr>
        <w:t>calcipotriol</w:t>
      </w:r>
      <w:proofErr w:type="spellEnd"/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及類固醇之外用複方製劑（如</w:t>
      </w:r>
      <w:proofErr w:type="spellStart"/>
      <w:r>
        <w:rPr>
          <w:rFonts w:ascii="標楷體" w:eastAsia="標楷體" w:hAnsi="標楷體"/>
          <w:color w:val="000000"/>
        </w:rPr>
        <w:t>Daivob</w:t>
      </w:r>
      <w:r>
        <w:rPr>
          <w:rFonts w:ascii="標楷體" w:eastAsia="標楷體" w:hAnsi="標楷體"/>
          <w:color w:val="000000"/>
        </w:rPr>
        <w:t>et</w:t>
      </w:r>
      <w:proofErr w:type="spellEnd"/>
      <w:r>
        <w:rPr>
          <w:rFonts w:ascii="標楷體" w:eastAsia="標楷體" w:hAnsi="標楷體"/>
          <w:color w:val="000000"/>
        </w:rPr>
        <w:t>）（</w:t>
      </w:r>
      <w:r>
        <w:rPr>
          <w:rFonts w:ascii="標楷體" w:eastAsia="標楷體" w:hAnsi="標楷體"/>
          <w:color w:val="000000"/>
        </w:rPr>
        <w:t>94/5/1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99/12/1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109/10/1</w:t>
      </w:r>
      <w:r>
        <w:rPr>
          <w:rFonts w:ascii="標楷體" w:eastAsia="標楷體" w:hAnsi="標楷體"/>
          <w:color w:val="000000"/>
        </w:rPr>
        <w:t>）</w:t>
      </w:r>
    </w:p>
    <w:p w:rsidR="00CA3F27" w:rsidRDefault="00ED050B">
      <w:pPr>
        <w:ind w:left="811" w:hanging="24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proofErr w:type="gramStart"/>
      <w:r>
        <w:rPr>
          <w:rFonts w:ascii="標楷體" w:eastAsia="標楷體" w:hAnsi="標楷體"/>
          <w:color w:val="000000"/>
        </w:rPr>
        <w:t>限確經</w:t>
      </w:r>
      <w:proofErr w:type="gramEnd"/>
      <w:r>
        <w:rPr>
          <w:rFonts w:ascii="標楷體" w:eastAsia="標楷體" w:hAnsi="標楷體"/>
          <w:color w:val="000000"/>
        </w:rPr>
        <w:t>診斷為尋常性牛皮癬（</w:t>
      </w:r>
      <w:r>
        <w:rPr>
          <w:rFonts w:ascii="標楷體" w:eastAsia="標楷體" w:hAnsi="標楷體"/>
          <w:color w:val="000000"/>
        </w:rPr>
        <w:t>psoriasis</w:t>
      </w:r>
      <w:r>
        <w:rPr>
          <w:rFonts w:ascii="標楷體" w:eastAsia="標楷體" w:hAnsi="標楷體"/>
          <w:color w:val="000000"/>
        </w:rPr>
        <w:t>）之病例使用，使用量以每星期不高於</w:t>
      </w:r>
      <w:r>
        <w:rPr>
          <w:rFonts w:ascii="標楷體" w:eastAsia="標楷體" w:hAnsi="標楷體"/>
          <w:color w:val="000000"/>
        </w:rPr>
        <w:t>30gm</w:t>
      </w:r>
      <w:r>
        <w:rPr>
          <w:rFonts w:ascii="標楷體" w:eastAsia="標楷體" w:hAnsi="標楷體"/>
          <w:color w:val="000000"/>
        </w:rPr>
        <w:t>為原則，若因病情需要使用量需超過每星期</w:t>
      </w:r>
      <w:r>
        <w:rPr>
          <w:rFonts w:ascii="標楷體" w:eastAsia="標楷體" w:hAnsi="標楷體"/>
          <w:color w:val="000000"/>
        </w:rPr>
        <w:t xml:space="preserve">30gm </w:t>
      </w:r>
      <w:r>
        <w:rPr>
          <w:rFonts w:ascii="標楷體" w:eastAsia="標楷體" w:hAnsi="標楷體"/>
          <w:color w:val="000000"/>
        </w:rPr>
        <w:t>者，應於病歷詳細記錄理由。</w:t>
      </w:r>
    </w:p>
    <w:p w:rsidR="00CA3F27" w:rsidRDefault="00ED050B">
      <w:pPr>
        <w:ind w:left="811" w:hanging="24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</w:rPr>
        <w:t>若因病情需要需連續使用超過</w:t>
      </w:r>
      <w:r>
        <w:rPr>
          <w:rFonts w:ascii="標楷體" w:eastAsia="標楷體" w:hAnsi="標楷體"/>
          <w:color w:val="000000"/>
        </w:rPr>
        <w:t>8</w:t>
      </w:r>
      <w:proofErr w:type="gramStart"/>
      <w:r>
        <w:rPr>
          <w:rFonts w:ascii="標楷體" w:eastAsia="標楷體" w:hAnsi="標楷體"/>
          <w:color w:val="000000"/>
        </w:rPr>
        <w:t>週</w:t>
      </w:r>
      <w:proofErr w:type="gramEnd"/>
      <w:r>
        <w:rPr>
          <w:rFonts w:ascii="標楷體" w:eastAsia="標楷體" w:hAnsi="標楷體"/>
          <w:color w:val="000000"/>
        </w:rPr>
        <w:t>者，應於病歷詳細記錄理由。（</w:t>
      </w:r>
      <w:r>
        <w:rPr>
          <w:rFonts w:ascii="標楷體" w:eastAsia="標楷體" w:hAnsi="標楷體"/>
          <w:color w:val="000000"/>
        </w:rPr>
        <w:t>109/10/1</w:t>
      </w:r>
      <w:r>
        <w:rPr>
          <w:rFonts w:ascii="標楷體" w:eastAsia="標楷體" w:hAnsi="標楷體"/>
          <w:color w:val="000000"/>
        </w:rPr>
        <w:t>）</w:t>
      </w:r>
    </w:p>
    <w:p w:rsidR="00CA3F27" w:rsidRDefault="00ED050B">
      <w:pPr>
        <w:ind w:left="432" w:hanging="38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13.3.3</w:t>
      </w:r>
      <w:r>
        <w:rPr>
          <w:rFonts w:ascii="標楷體" w:eastAsia="標楷體" w:hAnsi="標楷體"/>
          <w:color w:val="000000"/>
        </w:rPr>
        <w:t>與</w:t>
      </w:r>
      <w:r>
        <w:rPr>
          <w:rFonts w:ascii="標楷體" w:eastAsia="標楷體" w:hAnsi="標楷體"/>
          <w:color w:val="000000"/>
        </w:rPr>
        <w:t>tazarotene</w:t>
      </w:r>
      <w:proofErr w:type="gramStart"/>
      <w:r>
        <w:rPr>
          <w:rFonts w:ascii="標楷體" w:eastAsia="標楷體" w:hAnsi="標楷體"/>
          <w:color w:val="000000"/>
        </w:rPr>
        <w:t>併</w:t>
      </w:r>
      <w:proofErr w:type="gramEnd"/>
      <w:r>
        <w:rPr>
          <w:rFonts w:ascii="標楷體" w:eastAsia="標楷體" w:hAnsi="標楷體"/>
          <w:color w:val="000000"/>
        </w:rPr>
        <w:t>用，兩者合計總量每星期不超過</w:t>
      </w:r>
      <w:r>
        <w:rPr>
          <w:rFonts w:ascii="標楷體" w:eastAsia="標楷體" w:hAnsi="標楷體"/>
          <w:color w:val="000000"/>
        </w:rPr>
        <w:t>30gm</w:t>
      </w:r>
      <w:r>
        <w:rPr>
          <w:rFonts w:ascii="標楷體" w:eastAsia="標楷體" w:hAnsi="標楷體"/>
          <w:color w:val="000000"/>
        </w:rPr>
        <w:t>或</w:t>
      </w:r>
      <w:r>
        <w:rPr>
          <w:rFonts w:ascii="標楷體" w:eastAsia="標楷體" w:hAnsi="標楷體"/>
          <w:color w:val="000000"/>
        </w:rPr>
        <w:t>30mL</w:t>
      </w:r>
      <w:r>
        <w:rPr>
          <w:rFonts w:ascii="標楷體" w:eastAsia="標楷體" w:hAnsi="標楷體"/>
          <w:color w:val="000000"/>
        </w:rPr>
        <w:t>，若因病情需要兩者合併使用量需超過每星期</w:t>
      </w:r>
      <w:r>
        <w:rPr>
          <w:rFonts w:ascii="標楷體" w:eastAsia="標楷體" w:hAnsi="標楷體"/>
          <w:color w:val="000000"/>
        </w:rPr>
        <w:t xml:space="preserve">30gm </w:t>
      </w:r>
      <w:r>
        <w:rPr>
          <w:rFonts w:ascii="標楷體" w:eastAsia="標楷體" w:hAnsi="標楷體"/>
          <w:color w:val="000000"/>
        </w:rPr>
        <w:t>者，應於病歷詳細記錄理由。</w:t>
      </w:r>
      <w:r>
        <w:rPr>
          <w:rFonts w:ascii="標楷體" w:eastAsia="標楷體" w:hAnsi="標楷體"/>
          <w:color w:val="000000"/>
        </w:rPr>
        <w:t>(99/12/1)</w:t>
      </w:r>
    </w:p>
    <w:p w:rsidR="00CA3F27" w:rsidRDefault="00ED050B">
      <w:pPr>
        <w:ind w:left="432" w:hanging="38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13.4.Isotretin</w:t>
      </w:r>
      <w:r>
        <w:rPr>
          <w:rFonts w:ascii="標楷體" w:eastAsia="標楷體" w:hAnsi="標楷體"/>
          <w:color w:val="000000"/>
        </w:rPr>
        <w:t>oin</w:t>
      </w:r>
      <w:r>
        <w:rPr>
          <w:rFonts w:ascii="標楷體" w:eastAsia="標楷體" w:hAnsi="標楷體"/>
          <w:color w:val="000000"/>
        </w:rPr>
        <w:t>口服製劑</w:t>
      </w:r>
      <w:r>
        <w:rPr>
          <w:rFonts w:ascii="標楷體" w:eastAsia="標楷體" w:hAnsi="標楷體"/>
          <w:color w:val="000000"/>
        </w:rPr>
        <w:t xml:space="preserve"> (</w:t>
      </w:r>
      <w:r>
        <w:rPr>
          <w:rFonts w:ascii="標楷體" w:eastAsia="標楷體" w:hAnsi="標楷體"/>
          <w:color w:val="000000"/>
        </w:rPr>
        <w:t>如</w:t>
      </w:r>
      <w:r>
        <w:rPr>
          <w:rFonts w:ascii="標楷體" w:eastAsia="標楷體" w:hAnsi="標楷體"/>
          <w:color w:val="000000"/>
        </w:rPr>
        <w:t>Roaccutane)</w:t>
      </w:r>
      <w:r>
        <w:rPr>
          <w:rFonts w:ascii="標楷體" w:eastAsia="標楷體" w:hAnsi="標楷體"/>
          <w:color w:val="000000"/>
        </w:rPr>
        <w:t>：（</w:t>
      </w:r>
      <w:r>
        <w:rPr>
          <w:rFonts w:ascii="標楷體" w:eastAsia="標楷體" w:hAnsi="標楷體"/>
          <w:color w:val="000000"/>
        </w:rPr>
        <w:t>86/9/1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87/4/1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94/3/1</w:t>
      </w:r>
      <w:r>
        <w:rPr>
          <w:rFonts w:ascii="標楷體" w:eastAsia="標楷體" w:hAnsi="標楷體"/>
          <w:color w:val="000000"/>
        </w:rPr>
        <w:t>）</w:t>
      </w:r>
    </w:p>
    <w:p w:rsidR="00CA3F27" w:rsidRDefault="00ED050B">
      <w:pPr>
        <w:ind w:left="811" w:hanging="24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限皮膚科專科醫師使用。</w:t>
      </w:r>
    </w:p>
    <w:p w:rsidR="00CA3F27" w:rsidRDefault="00ED050B">
      <w:pPr>
        <w:ind w:left="811" w:hanging="24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</w:rPr>
        <w:t>需檢附病人之服藥同意書</w:t>
      </w:r>
      <w:r>
        <w:rPr>
          <w:rFonts w:ascii="標楷體" w:eastAsia="標楷體" w:hAnsi="標楷體"/>
          <w:color w:val="000000"/>
        </w:rPr>
        <w:t xml:space="preserve"> (</w:t>
      </w:r>
      <w:r>
        <w:rPr>
          <w:rFonts w:ascii="標楷體" w:eastAsia="標楷體" w:hAnsi="標楷體"/>
          <w:color w:val="000000"/>
        </w:rPr>
        <w:t>詳附表十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，以及經傳統治療無效之病歷資料或治療前之照片，經事前審查核准後使用。</w:t>
      </w:r>
    </w:p>
    <w:p w:rsidR="00CA3F27" w:rsidRDefault="00ED050B">
      <w:pPr>
        <w:ind w:left="811" w:hanging="24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3.</w:t>
      </w:r>
      <w:r>
        <w:rPr>
          <w:rFonts w:ascii="標楷體" w:eastAsia="標楷體" w:hAnsi="標楷體"/>
          <w:color w:val="000000"/>
        </w:rPr>
        <w:t>每次申請以一療程為限，若需再次療程，請檢附原來照片與最近照片再次申請事前審查核准後使用</w:t>
      </w:r>
      <w:proofErr w:type="gramStart"/>
      <w:r>
        <w:rPr>
          <w:rFonts w:ascii="標楷體" w:eastAsia="標楷體" w:hAnsi="標楷體"/>
          <w:color w:val="000000"/>
        </w:rPr>
        <w:t>（</w:t>
      </w:r>
      <w:proofErr w:type="gramEnd"/>
      <w:r>
        <w:rPr>
          <w:rFonts w:ascii="標楷體" w:eastAsia="標楷體" w:hAnsi="標楷體"/>
          <w:color w:val="000000"/>
        </w:rPr>
        <w:t>每一療程最高總劑量為</w:t>
      </w:r>
      <w:r>
        <w:rPr>
          <w:rFonts w:ascii="標楷體" w:eastAsia="標楷體" w:hAnsi="標楷體"/>
          <w:color w:val="000000"/>
        </w:rPr>
        <w:t>100 mg –120 mg/kg</w:t>
      </w:r>
      <w:r>
        <w:rPr>
          <w:rFonts w:ascii="標楷體" w:eastAsia="標楷體" w:hAnsi="標楷體"/>
          <w:color w:val="000000"/>
        </w:rPr>
        <w:t>，於四至六個月完成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。</w:t>
      </w:r>
    </w:p>
    <w:p w:rsidR="00CA3F27" w:rsidRDefault="00ED050B">
      <w:pPr>
        <w:ind w:left="432" w:hanging="38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13.5.Acitretin</w:t>
      </w:r>
      <w:r>
        <w:rPr>
          <w:rFonts w:ascii="標楷體" w:eastAsia="標楷體" w:hAnsi="標楷體"/>
          <w:color w:val="000000"/>
        </w:rPr>
        <w:t>（如</w:t>
      </w:r>
      <w:proofErr w:type="spellStart"/>
      <w:r>
        <w:rPr>
          <w:rFonts w:ascii="標楷體" w:eastAsia="標楷體" w:hAnsi="標楷體"/>
          <w:color w:val="000000"/>
        </w:rPr>
        <w:t>Neotigason</w:t>
      </w:r>
      <w:proofErr w:type="spellEnd"/>
      <w:r>
        <w:rPr>
          <w:rFonts w:ascii="標楷體" w:eastAsia="標楷體" w:hAnsi="標楷體"/>
          <w:color w:val="000000"/>
        </w:rPr>
        <w:t>）：</w:t>
      </w:r>
      <w:r>
        <w:rPr>
          <w:rFonts w:ascii="標楷體" w:eastAsia="標楷體" w:hAnsi="標楷體"/>
          <w:color w:val="000000"/>
        </w:rPr>
        <w:t>(87/11/1)</w:t>
      </w:r>
    </w:p>
    <w:p w:rsidR="00CA3F27" w:rsidRDefault="00ED050B">
      <w:pPr>
        <w:ind w:left="798" w:hanging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申報費用時需檢具病患同意書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附表十一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，並</w:t>
      </w:r>
      <w:proofErr w:type="gramStart"/>
      <w:r>
        <w:rPr>
          <w:rFonts w:ascii="標楷體" w:eastAsia="標楷體" w:hAnsi="標楷體"/>
          <w:color w:val="000000"/>
        </w:rPr>
        <w:t>檢送含確定</w:t>
      </w:r>
      <w:proofErr w:type="gramEnd"/>
      <w:r>
        <w:rPr>
          <w:rFonts w:ascii="標楷體" w:eastAsia="標楷體" w:hAnsi="標楷體"/>
          <w:color w:val="000000"/>
        </w:rPr>
        <w:t>診斷之詳細病歷資料，俾利審查。</w:t>
      </w:r>
    </w:p>
    <w:p w:rsidR="00CA3F27" w:rsidRDefault="00ED050B">
      <w:pPr>
        <w:ind w:left="432" w:hanging="38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13.6.Methoxsalen</w:t>
      </w:r>
      <w:r>
        <w:rPr>
          <w:rFonts w:ascii="標楷體" w:eastAsia="標楷體" w:hAnsi="標楷體"/>
          <w:color w:val="000000"/>
        </w:rPr>
        <w:t>製劑：</w:t>
      </w:r>
      <w:r>
        <w:rPr>
          <w:rFonts w:ascii="標楷體" w:eastAsia="標楷體" w:hAnsi="標楷體"/>
          <w:color w:val="000000"/>
        </w:rPr>
        <w:t>(87/11/1)</w:t>
      </w:r>
    </w:p>
    <w:p w:rsidR="00CA3F27" w:rsidRDefault="00ED050B">
      <w:pPr>
        <w:ind w:left="798" w:hanging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限皮膚科專科醫師使用於</w:t>
      </w:r>
      <w:r>
        <w:rPr>
          <w:rFonts w:ascii="標楷體" w:eastAsia="標楷體" w:hAnsi="標楷體"/>
          <w:color w:val="000000"/>
        </w:rPr>
        <w:t>PUVA</w:t>
      </w:r>
      <w:r>
        <w:rPr>
          <w:rFonts w:ascii="標楷體" w:eastAsia="標楷體" w:hAnsi="標楷體"/>
          <w:color w:val="000000"/>
        </w:rPr>
        <w:t>治療</w:t>
      </w:r>
      <w:r>
        <w:rPr>
          <w:rFonts w:ascii="標楷體" w:eastAsia="標楷體" w:hAnsi="標楷體"/>
          <w:color w:val="000000"/>
        </w:rPr>
        <w:t xml:space="preserve"> (</w:t>
      </w:r>
      <w:r>
        <w:rPr>
          <w:rFonts w:ascii="標楷體" w:eastAsia="標楷體" w:hAnsi="標楷體"/>
          <w:color w:val="000000"/>
        </w:rPr>
        <w:t>配合紫外線照射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，申報費用時需</w:t>
      </w:r>
      <w:proofErr w:type="gramStart"/>
      <w:r>
        <w:rPr>
          <w:rFonts w:ascii="標楷體" w:eastAsia="標楷體" w:hAnsi="標楷體"/>
          <w:color w:val="000000"/>
        </w:rPr>
        <w:t>檢送含確定</w:t>
      </w:r>
      <w:proofErr w:type="gramEnd"/>
      <w:r>
        <w:rPr>
          <w:rFonts w:ascii="標楷體" w:eastAsia="標楷體" w:hAnsi="標楷體"/>
          <w:color w:val="000000"/>
        </w:rPr>
        <w:t>診斷之詳細病歷資料，俾利審查。</w:t>
      </w:r>
    </w:p>
    <w:p w:rsidR="00CA3F27" w:rsidRDefault="00ED050B">
      <w:pPr>
        <w:ind w:left="432" w:hanging="38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13.7.Doxepin HCl cream (</w:t>
      </w:r>
      <w:r>
        <w:rPr>
          <w:rFonts w:ascii="標楷體" w:eastAsia="標楷體" w:hAnsi="標楷體"/>
          <w:color w:val="000000"/>
        </w:rPr>
        <w:t>如</w:t>
      </w:r>
      <w:proofErr w:type="spellStart"/>
      <w:r>
        <w:rPr>
          <w:rFonts w:ascii="標楷體" w:eastAsia="標楷體" w:hAnsi="標楷體"/>
          <w:color w:val="000000"/>
        </w:rPr>
        <w:t>Ichderm</w:t>
      </w:r>
      <w:proofErr w:type="spell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00"/>
        </w:rPr>
        <w:t>(88/6/1)</w:t>
      </w:r>
    </w:p>
    <w:p w:rsidR="00CA3F27" w:rsidRDefault="00ED050B">
      <w:pPr>
        <w:ind w:left="798" w:hanging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限成人使用，每次處方不超過七天。</w:t>
      </w:r>
    </w:p>
    <w:p w:rsidR="00CA3F27" w:rsidRDefault="00ED050B">
      <w:pPr>
        <w:ind w:left="432" w:hanging="38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13.8.Tazarotene</w:t>
      </w:r>
      <w:r>
        <w:rPr>
          <w:rFonts w:ascii="標楷體" w:eastAsia="標楷體" w:hAnsi="標楷體"/>
          <w:color w:val="000000"/>
        </w:rPr>
        <w:t>外用製劑：</w:t>
      </w:r>
      <w:r>
        <w:rPr>
          <w:rFonts w:ascii="標楷體" w:eastAsia="標楷體" w:hAnsi="標楷體"/>
          <w:color w:val="000000"/>
        </w:rPr>
        <w:t>(91/4/1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99/12/1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101/2/1)</w:t>
      </w:r>
    </w:p>
    <w:p w:rsidR="00CA3F27" w:rsidRDefault="00ED050B">
      <w:pPr>
        <w:ind w:left="811" w:hanging="24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lastRenderedPageBreak/>
        <w:t>1.</w:t>
      </w:r>
      <w:proofErr w:type="gramStart"/>
      <w:r>
        <w:rPr>
          <w:rFonts w:ascii="標楷體" w:eastAsia="標楷體" w:hAnsi="標楷體"/>
          <w:color w:val="000000"/>
        </w:rPr>
        <w:t>限乾癬</w:t>
      </w:r>
      <w:proofErr w:type="gramEnd"/>
      <w:r>
        <w:rPr>
          <w:rFonts w:ascii="標楷體" w:eastAsia="標楷體" w:hAnsi="標楷體"/>
          <w:color w:val="000000"/>
        </w:rPr>
        <w:t>之病例使用。</w:t>
      </w:r>
    </w:p>
    <w:p w:rsidR="00CA3F27" w:rsidRDefault="00ED050B">
      <w:pPr>
        <w:ind w:left="811" w:hanging="24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</w:rPr>
        <w:t>使用量以每星期不高於</w:t>
      </w:r>
      <w:r>
        <w:rPr>
          <w:rFonts w:ascii="標楷體" w:eastAsia="標楷體" w:hAnsi="標楷體"/>
          <w:color w:val="000000"/>
        </w:rPr>
        <w:t>30gm</w:t>
      </w:r>
      <w:r>
        <w:rPr>
          <w:rFonts w:ascii="標楷體" w:eastAsia="標楷體" w:hAnsi="標楷體"/>
          <w:color w:val="000000"/>
        </w:rPr>
        <w:t>為原則。若因病情需要</w:t>
      </w:r>
      <w:r>
        <w:rPr>
          <w:rFonts w:ascii="標楷體" w:eastAsia="標楷體" w:hAnsi="標楷體"/>
          <w:color w:val="000000"/>
        </w:rPr>
        <w:t>，使用量需超過每星期</w:t>
      </w:r>
      <w:r>
        <w:rPr>
          <w:rFonts w:ascii="標楷體" w:eastAsia="標楷體" w:hAnsi="標楷體"/>
          <w:color w:val="000000"/>
        </w:rPr>
        <w:t>30gm</w:t>
      </w:r>
      <w:r>
        <w:rPr>
          <w:rFonts w:ascii="標楷體" w:eastAsia="標楷體" w:hAnsi="標楷體"/>
          <w:color w:val="000000"/>
        </w:rPr>
        <w:t>者，應於病歷詳細記載理由。</w:t>
      </w:r>
      <w:r>
        <w:rPr>
          <w:rFonts w:ascii="標楷體" w:eastAsia="標楷體" w:hAnsi="標楷體"/>
          <w:color w:val="000000"/>
        </w:rPr>
        <w:t>(99/12/1)</w:t>
      </w:r>
    </w:p>
    <w:p w:rsidR="00CA3F27" w:rsidRDefault="00ED050B">
      <w:pPr>
        <w:ind w:left="811" w:hanging="24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3.</w:t>
      </w:r>
      <w:r>
        <w:rPr>
          <w:rFonts w:ascii="標楷體" w:eastAsia="標楷體" w:hAnsi="標楷體"/>
          <w:color w:val="000000"/>
        </w:rPr>
        <w:t>與</w:t>
      </w:r>
      <w:r>
        <w:rPr>
          <w:rFonts w:ascii="標楷體" w:eastAsia="標楷體" w:hAnsi="標楷體"/>
          <w:color w:val="000000"/>
        </w:rPr>
        <w:t>calcitriol (</w:t>
      </w:r>
      <w:r>
        <w:rPr>
          <w:rFonts w:ascii="標楷體" w:eastAsia="標楷體" w:hAnsi="標楷體"/>
          <w:color w:val="000000"/>
        </w:rPr>
        <w:t>或</w:t>
      </w:r>
      <w:proofErr w:type="spellStart"/>
      <w:r>
        <w:rPr>
          <w:rFonts w:ascii="標楷體" w:eastAsia="標楷體" w:hAnsi="標楷體"/>
          <w:color w:val="000000"/>
        </w:rPr>
        <w:t>calcipotriol</w:t>
      </w:r>
      <w:proofErr w:type="spellEnd"/>
      <w:r>
        <w:rPr>
          <w:rFonts w:ascii="標楷體" w:eastAsia="標楷體" w:hAnsi="標楷體"/>
          <w:color w:val="000000"/>
        </w:rPr>
        <w:t>)</w:t>
      </w:r>
      <w:proofErr w:type="gramStart"/>
      <w:r>
        <w:rPr>
          <w:rFonts w:ascii="標楷體" w:eastAsia="標楷體" w:hAnsi="標楷體"/>
          <w:color w:val="000000"/>
        </w:rPr>
        <w:t>併</w:t>
      </w:r>
      <w:proofErr w:type="gramEnd"/>
      <w:r>
        <w:rPr>
          <w:rFonts w:ascii="標楷體" w:eastAsia="標楷體" w:hAnsi="標楷體"/>
          <w:color w:val="000000"/>
        </w:rPr>
        <w:t>用，兩者合計總量每星期不超過</w:t>
      </w:r>
      <w:r>
        <w:rPr>
          <w:rFonts w:ascii="標楷體" w:eastAsia="標楷體" w:hAnsi="標楷體"/>
          <w:color w:val="000000"/>
        </w:rPr>
        <w:t>30gm</w:t>
      </w:r>
      <w:r>
        <w:rPr>
          <w:rFonts w:ascii="標楷體" w:eastAsia="標楷體" w:hAnsi="標楷體"/>
          <w:color w:val="000000"/>
        </w:rPr>
        <w:t>或</w:t>
      </w:r>
      <w:r>
        <w:rPr>
          <w:rFonts w:ascii="標楷體" w:eastAsia="標楷體" w:hAnsi="標楷體"/>
          <w:color w:val="000000"/>
        </w:rPr>
        <w:t>30mL</w:t>
      </w:r>
      <w:r>
        <w:rPr>
          <w:rFonts w:ascii="標楷體" w:eastAsia="標楷體" w:hAnsi="標楷體"/>
          <w:color w:val="000000"/>
        </w:rPr>
        <w:t>，若因病情需要兩者合併使用量需超過每星期</w:t>
      </w:r>
      <w:r>
        <w:rPr>
          <w:rFonts w:ascii="標楷體" w:eastAsia="標楷體" w:hAnsi="標楷體"/>
          <w:color w:val="000000"/>
        </w:rPr>
        <w:t xml:space="preserve">30gm </w:t>
      </w:r>
      <w:r>
        <w:rPr>
          <w:rFonts w:ascii="標楷體" w:eastAsia="標楷體" w:hAnsi="標楷體"/>
          <w:color w:val="000000"/>
        </w:rPr>
        <w:t>者，應於病歷詳細記載理由。</w:t>
      </w:r>
      <w:r>
        <w:rPr>
          <w:rFonts w:ascii="標楷體" w:eastAsia="標楷體" w:hAnsi="標楷體"/>
          <w:color w:val="000000"/>
        </w:rPr>
        <w:t>(99/12/1)</w:t>
      </w:r>
    </w:p>
    <w:p w:rsidR="00CA3F27" w:rsidRDefault="00ED050B">
      <w:pPr>
        <w:ind w:left="432" w:hanging="38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13.9.Calcitriol (</w:t>
      </w:r>
      <w:r>
        <w:rPr>
          <w:rFonts w:ascii="標楷體" w:eastAsia="標楷體" w:hAnsi="標楷體"/>
          <w:color w:val="000000"/>
        </w:rPr>
        <w:t>如</w:t>
      </w:r>
      <w:proofErr w:type="spellStart"/>
      <w:r>
        <w:rPr>
          <w:rFonts w:ascii="標楷體" w:eastAsia="標楷體" w:hAnsi="標楷體"/>
          <w:color w:val="000000"/>
        </w:rPr>
        <w:t>Silkis</w:t>
      </w:r>
      <w:proofErr w:type="spellEnd"/>
      <w:r>
        <w:rPr>
          <w:rFonts w:ascii="標楷體" w:eastAsia="標楷體" w:hAnsi="標楷體"/>
          <w:color w:val="000000"/>
        </w:rPr>
        <w:t xml:space="preserve"> ointment)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00"/>
        </w:rPr>
        <w:t>(92/11/1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93/9/1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99/12/1)</w:t>
      </w:r>
    </w:p>
    <w:p w:rsidR="00CA3F27" w:rsidRDefault="00ED050B">
      <w:pPr>
        <w:ind w:left="811" w:hanging="24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限用於小於</w:t>
      </w:r>
      <w:r>
        <w:rPr>
          <w:rFonts w:ascii="標楷體" w:eastAsia="標楷體" w:hAnsi="標楷體"/>
          <w:color w:val="000000"/>
        </w:rPr>
        <w:t>35%</w:t>
      </w:r>
      <w:r>
        <w:rPr>
          <w:rFonts w:ascii="標楷體" w:eastAsia="標楷體" w:hAnsi="標楷體"/>
          <w:color w:val="000000"/>
        </w:rPr>
        <w:t>體表面積之輕度至中</w:t>
      </w:r>
      <w:proofErr w:type="gramStart"/>
      <w:r>
        <w:rPr>
          <w:rFonts w:ascii="標楷體" w:eastAsia="標楷體" w:hAnsi="標楷體"/>
          <w:color w:val="000000"/>
        </w:rPr>
        <w:t>重度乾癬</w:t>
      </w:r>
      <w:proofErr w:type="gramEnd"/>
      <w:r>
        <w:rPr>
          <w:rFonts w:ascii="標楷體" w:eastAsia="標楷體" w:hAnsi="標楷體"/>
          <w:color w:val="000000"/>
        </w:rPr>
        <w:t>之病例，使用量以每星期不高於</w:t>
      </w:r>
      <w:r>
        <w:rPr>
          <w:rFonts w:ascii="標楷體" w:eastAsia="標楷體" w:hAnsi="標楷體"/>
          <w:color w:val="000000"/>
        </w:rPr>
        <w:t>30gm</w:t>
      </w:r>
      <w:r>
        <w:rPr>
          <w:rFonts w:ascii="標楷體" w:eastAsia="標楷體" w:hAnsi="標楷體"/>
          <w:color w:val="000000"/>
        </w:rPr>
        <w:t>為原則，若因病情需要使用量需超過每</w:t>
      </w:r>
      <w:r>
        <w:rPr>
          <w:rFonts w:ascii="標楷體" w:eastAsia="標楷體" w:hAnsi="標楷體"/>
          <w:color w:val="000000"/>
        </w:rPr>
        <w:t>星期</w:t>
      </w:r>
      <w:r>
        <w:rPr>
          <w:rFonts w:ascii="標楷體" w:eastAsia="標楷體" w:hAnsi="標楷體"/>
          <w:color w:val="000000"/>
        </w:rPr>
        <w:t>30gm</w:t>
      </w:r>
      <w:r>
        <w:rPr>
          <w:rFonts w:ascii="標楷體" w:eastAsia="標楷體" w:hAnsi="標楷體"/>
          <w:color w:val="000000"/>
        </w:rPr>
        <w:t>者，應於病歷詳細記錄理由。其面積計算</w:t>
      </w:r>
      <w:r>
        <w:rPr>
          <w:rFonts w:ascii="標楷體" w:eastAsia="標楷體" w:hAnsi="標楷體"/>
          <w:color w:val="000000"/>
        </w:rPr>
        <w:t>:</w:t>
      </w:r>
      <w:r>
        <w:rPr>
          <w:rFonts w:ascii="標楷體" w:eastAsia="標楷體" w:hAnsi="標楷體"/>
          <w:color w:val="000000"/>
        </w:rPr>
        <w:t>依照</w:t>
      </w:r>
      <w:r>
        <w:rPr>
          <w:rFonts w:ascii="標楷體" w:eastAsia="標楷體" w:hAnsi="標楷體"/>
          <w:color w:val="000000"/>
        </w:rPr>
        <w:t>rule of nines</w:t>
      </w:r>
      <w:r>
        <w:rPr>
          <w:rFonts w:ascii="標楷體" w:eastAsia="標楷體" w:hAnsi="標楷體"/>
          <w:color w:val="000000"/>
        </w:rPr>
        <w:t>計算法。（同</w:t>
      </w:r>
      <w:r>
        <w:rPr>
          <w:rFonts w:ascii="標楷體" w:eastAsia="標楷體" w:hAnsi="標楷體"/>
          <w:color w:val="000000"/>
        </w:rPr>
        <w:t>13.10</w:t>
      </w:r>
      <w:r>
        <w:rPr>
          <w:rFonts w:ascii="標楷體" w:eastAsia="標楷體" w:hAnsi="標楷體"/>
          <w:color w:val="000000"/>
        </w:rPr>
        <w:t>備註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）</w:t>
      </w:r>
    </w:p>
    <w:p w:rsidR="00CA3F27" w:rsidRDefault="00ED050B">
      <w:pPr>
        <w:ind w:left="811" w:hanging="24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</w:rPr>
        <w:t>與</w:t>
      </w:r>
      <w:r>
        <w:rPr>
          <w:rFonts w:ascii="標楷體" w:eastAsia="標楷體" w:hAnsi="標楷體"/>
          <w:color w:val="000000"/>
        </w:rPr>
        <w:t>tazarotene</w:t>
      </w:r>
      <w:proofErr w:type="gramStart"/>
      <w:r>
        <w:rPr>
          <w:rFonts w:ascii="標楷體" w:eastAsia="標楷體" w:hAnsi="標楷體"/>
          <w:color w:val="000000"/>
        </w:rPr>
        <w:t>併</w:t>
      </w:r>
      <w:proofErr w:type="gramEnd"/>
      <w:r>
        <w:rPr>
          <w:rFonts w:ascii="標楷體" w:eastAsia="標楷體" w:hAnsi="標楷體"/>
          <w:color w:val="000000"/>
        </w:rPr>
        <w:t>用，兩者合計總量每星期不超過</w:t>
      </w:r>
      <w:r>
        <w:rPr>
          <w:rFonts w:ascii="標楷體" w:eastAsia="標楷體" w:hAnsi="標楷體"/>
          <w:color w:val="000000"/>
        </w:rPr>
        <w:t>30gm</w:t>
      </w:r>
      <w:r>
        <w:rPr>
          <w:rFonts w:ascii="標楷體" w:eastAsia="標楷體" w:hAnsi="標楷體"/>
          <w:color w:val="000000"/>
        </w:rPr>
        <w:t>或</w:t>
      </w:r>
      <w:r>
        <w:rPr>
          <w:rFonts w:ascii="標楷體" w:eastAsia="標楷體" w:hAnsi="標楷體"/>
          <w:color w:val="000000"/>
        </w:rPr>
        <w:t>30mL</w:t>
      </w:r>
      <w:r>
        <w:rPr>
          <w:rFonts w:ascii="標楷體" w:eastAsia="標楷體" w:hAnsi="標楷體"/>
          <w:color w:val="000000"/>
        </w:rPr>
        <w:t>，若因病情需要兩者合併使用量需超過每星期</w:t>
      </w:r>
      <w:r>
        <w:rPr>
          <w:rFonts w:ascii="標楷體" w:eastAsia="標楷體" w:hAnsi="標楷體"/>
          <w:color w:val="000000"/>
        </w:rPr>
        <w:t>30gm</w:t>
      </w:r>
      <w:r>
        <w:rPr>
          <w:rFonts w:ascii="標楷體" w:eastAsia="標楷體" w:hAnsi="標楷體"/>
          <w:color w:val="000000"/>
        </w:rPr>
        <w:t>者，應於病歷詳細記錄理由。</w:t>
      </w:r>
    </w:p>
    <w:p w:rsidR="00CA3F27" w:rsidRDefault="00ED050B">
      <w:pPr>
        <w:ind w:left="811" w:hanging="24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(99/12/1)</w:t>
      </w:r>
    </w:p>
    <w:p w:rsidR="00CA3F27" w:rsidRDefault="00ED050B">
      <w:pPr>
        <w:ind w:left="432" w:hanging="38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13.10.Tacrolimus (</w:t>
      </w:r>
      <w:r>
        <w:rPr>
          <w:rFonts w:ascii="標楷體" w:eastAsia="標楷體" w:hAnsi="標楷體"/>
          <w:color w:val="000000"/>
        </w:rPr>
        <w:t>如</w:t>
      </w:r>
      <w:proofErr w:type="spellStart"/>
      <w:r>
        <w:rPr>
          <w:rFonts w:ascii="標楷體" w:eastAsia="標楷體" w:hAnsi="標楷體"/>
          <w:color w:val="000000"/>
        </w:rPr>
        <w:t>Protopic</w:t>
      </w:r>
      <w:proofErr w:type="spellEnd"/>
      <w:r>
        <w:rPr>
          <w:rFonts w:ascii="標楷體" w:eastAsia="標楷體" w:hAnsi="標楷體"/>
          <w:color w:val="000000"/>
        </w:rPr>
        <w:t xml:space="preserve"> Ointment )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00"/>
        </w:rPr>
        <w:t>(91/12/1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93/8/1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95/7/1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99/12/1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 xml:space="preserve">111/2/1) </w:t>
      </w:r>
    </w:p>
    <w:p w:rsidR="00CA3F27" w:rsidRDefault="00ED050B">
      <w:pPr>
        <w:ind w:left="558" w:hanging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限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歲以上因為潛在危險而不宜使用其他傳統治療、或對其他傳統治療反應不充</w:t>
      </w:r>
      <w:r>
        <w:rPr>
          <w:rFonts w:ascii="標楷體" w:eastAsia="標楷體" w:hAnsi="標楷體"/>
          <w:color w:val="000000"/>
        </w:rPr>
        <w:t>分、或無法耐受其他傳統治療且患部面積</w:t>
      </w:r>
      <w:r>
        <w:rPr>
          <w:rFonts w:ascii="標楷體" w:eastAsia="標楷體" w:hAnsi="標楷體"/>
          <w:color w:val="000000"/>
        </w:rPr>
        <w:t>&gt;30%</w:t>
      </w:r>
      <w:r>
        <w:rPr>
          <w:rFonts w:ascii="標楷體" w:eastAsia="標楷體" w:hAnsi="標楷體"/>
          <w:color w:val="000000"/>
        </w:rPr>
        <w:t>之中、</w:t>
      </w:r>
      <w:proofErr w:type="gramStart"/>
      <w:r>
        <w:rPr>
          <w:rFonts w:ascii="標楷體" w:eastAsia="標楷體" w:hAnsi="標楷體"/>
          <w:color w:val="000000"/>
        </w:rPr>
        <w:t>重度異位</w:t>
      </w:r>
      <w:proofErr w:type="gramEnd"/>
      <w:r>
        <w:rPr>
          <w:rFonts w:ascii="標楷體" w:eastAsia="標楷體" w:hAnsi="標楷體"/>
          <w:color w:val="000000"/>
        </w:rPr>
        <w:t>性皮膚炎之下列病患第二線使用</w:t>
      </w:r>
      <w:r>
        <w:rPr>
          <w:rFonts w:ascii="標楷體" w:eastAsia="標楷體" w:hAnsi="標楷體"/>
          <w:color w:val="000000"/>
        </w:rPr>
        <w:t>(95/7/1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111/2/1)</w:t>
      </w:r>
    </w:p>
    <w:p w:rsidR="00CA3F27" w:rsidRDefault="00ED050B">
      <w:pPr>
        <w:ind w:left="811" w:hanging="24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成人患部面積</w:t>
      </w:r>
      <w:r>
        <w:rPr>
          <w:rFonts w:ascii="標楷體" w:eastAsia="標楷體" w:hAnsi="標楷體"/>
          <w:color w:val="000000"/>
        </w:rPr>
        <w:t>30%~50%</w:t>
      </w:r>
      <w:r>
        <w:rPr>
          <w:rFonts w:ascii="標楷體" w:eastAsia="標楷體" w:hAnsi="標楷體"/>
          <w:color w:val="000000"/>
        </w:rPr>
        <w:t>，每星期不超過</w:t>
      </w:r>
      <w:r>
        <w:rPr>
          <w:rFonts w:ascii="標楷體" w:eastAsia="標楷體" w:hAnsi="標楷體"/>
          <w:color w:val="000000"/>
        </w:rPr>
        <w:t>30gm</w:t>
      </w:r>
      <w:r>
        <w:rPr>
          <w:rFonts w:ascii="標楷體" w:eastAsia="標楷體" w:hAnsi="標楷體"/>
          <w:color w:val="000000"/>
        </w:rPr>
        <w:t>；患部面積</w:t>
      </w:r>
      <w:r>
        <w:rPr>
          <w:rFonts w:ascii="標楷體" w:eastAsia="標楷體" w:hAnsi="標楷體"/>
          <w:color w:val="000000"/>
        </w:rPr>
        <w:t>&gt;50%</w:t>
      </w:r>
      <w:r>
        <w:rPr>
          <w:rFonts w:ascii="標楷體" w:eastAsia="標楷體" w:hAnsi="標楷體"/>
          <w:color w:val="000000"/>
        </w:rPr>
        <w:t>，每星期不超過</w:t>
      </w:r>
      <w:r>
        <w:rPr>
          <w:rFonts w:ascii="標楷體" w:eastAsia="標楷體" w:hAnsi="標楷體"/>
          <w:color w:val="000000"/>
        </w:rPr>
        <w:t>60gm</w:t>
      </w:r>
      <w:r>
        <w:rPr>
          <w:rFonts w:ascii="標楷體" w:eastAsia="標楷體" w:hAnsi="標楷體"/>
          <w:color w:val="000000"/>
        </w:rPr>
        <w:t>。</w:t>
      </w:r>
      <w:r>
        <w:rPr>
          <w:rFonts w:ascii="標楷體" w:eastAsia="標楷體" w:hAnsi="標楷體"/>
          <w:color w:val="000000"/>
        </w:rPr>
        <w:t>(99/12/1)</w:t>
      </w:r>
    </w:p>
    <w:p w:rsidR="00CA3F27" w:rsidRDefault="00ED050B">
      <w:pPr>
        <w:ind w:left="811" w:hanging="24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</w:rPr>
        <w:t>孩童患部面積</w:t>
      </w:r>
      <w:r>
        <w:rPr>
          <w:rFonts w:ascii="標楷體" w:eastAsia="標楷體" w:hAnsi="標楷體"/>
          <w:color w:val="000000"/>
        </w:rPr>
        <w:t>30%~50%</w:t>
      </w:r>
      <w:r>
        <w:rPr>
          <w:rFonts w:ascii="標楷體" w:eastAsia="標楷體" w:hAnsi="標楷體"/>
          <w:color w:val="000000"/>
        </w:rPr>
        <w:t>，每兩星期不超過</w:t>
      </w:r>
      <w:r>
        <w:rPr>
          <w:rFonts w:ascii="標楷體" w:eastAsia="標楷體" w:hAnsi="標楷體"/>
          <w:color w:val="000000"/>
        </w:rPr>
        <w:t>30gm</w:t>
      </w:r>
      <w:r>
        <w:rPr>
          <w:rFonts w:ascii="標楷體" w:eastAsia="標楷體" w:hAnsi="標楷體"/>
          <w:color w:val="000000"/>
        </w:rPr>
        <w:t>；患部面積</w:t>
      </w:r>
      <w:r>
        <w:rPr>
          <w:rFonts w:ascii="標楷體" w:eastAsia="標楷體" w:hAnsi="標楷體"/>
          <w:color w:val="000000"/>
        </w:rPr>
        <w:t>&gt;50%</w:t>
      </w:r>
      <w:r>
        <w:rPr>
          <w:rFonts w:ascii="標楷體" w:eastAsia="標楷體" w:hAnsi="標楷體"/>
          <w:color w:val="000000"/>
        </w:rPr>
        <w:t>，每星期不超過</w:t>
      </w:r>
      <w:r>
        <w:rPr>
          <w:rFonts w:ascii="標楷體" w:eastAsia="標楷體" w:hAnsi="標楷體"/>
          <w:color w:val="000000"/>
        </w:rPr>
        <w:t>30gm</w:t>
      </w:r>
      <w:r>
        <w:rPr>
          <w:rFonts w:ascii="標楷體" w:eastAsia="標楷體" w:hAnsi="標楷體"/>
          <w:color w:val="000000"/>
        </w:rPr>
        <w:t>。</w:t>
      </w:r>
      <w:r>
        <w:rPr>
          <w:rFonts w:ascii="標楷體" w:eastAsia="標楷體" w:hAnsi="標楷體"/>
          <w:color w:val="000000"/>
        </w:rPr>
        <w:t>(99/12/1)</w:t>
      </w:r>
    </w:p>
    <w:p w:rsidR="00CA3F27" w:rsidRDefault="00ED050B">
      <w:pPr>
        <w:ind w:left="811" w:hanging="24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3.</w:t>
      </w:r>
      <w:r>
        <w:rPr>
          <w:rFonts w:ascii="標楷體" w:eastAsia="標楷體" w:hAnsi="標楷體"/>
          <w:color w:val="000000"/>
        </w:rPr>
        <w:t>面積計算：成人依照</w:t>
      </w:r>
      <w:r>
        <w:rPr>
          <w:rFonts w:ascii="標楷體" w:eastAsia="標楷體" w:hAnsi="標楷體"/>
          <w:color w:val="000000"/>
        </w:rPr>
        <w:t xml:space="preserve"> rule of nines(</w:t>
      </w:r>
      <w:r>
        <w:rPr>
          <w:rFonts w:ascii="標楷體" w:eastAsia="標楷體" w:hAnsi="標楷體"/>
          <w:color w:val="000000"/>
        </w:rPr>
        <w:t>詳備註</w:t>
      </w:r>
      <w:r>
        <w:rPr>
          <w:rFonts w:ascii="標楷體" w:eastAsia="標楷體" w:hAnsi="標楷體"/>
          <w:color w:val="000000"/>
        </w:rPr>
        <w:t>1)</w:t>
      </w:r>
      <w:r>
        <w:rPr>
          <w:rFonts w:ascii="標楷體" w:eastAsia="標楷體" w:hAnsi="標楷體"/>
          <w:color w:val="000000"/>
        </w:rPr>
        <w:t>，由</w:t>
      </w:r>
      <w:proofErr w:type="gramStart"/>
      <w:r>
        <w:rPr>
          <w:rFonts w:ascii="標楷體" w:eastAsia="標楷體" w:hAnsi="標楷體"/>
          <w:color w:val="000000"/>
        </w:rPr>
        <w:t>部位乘予大約</w:t>
      </w:r>
      <w:proofErr w:type="gramEnd"/>
      <w:r>
        <w:rPr>
          <w:rFonts w:ascii="標楷體" w:eastAsia="標楷體" w:hAnsi="標楷體"/>
          <w:color w:val="000000"/>
        </w:rPr>
        <w:t>比例之總和，兒童依比例</w:t>
      </w:r>
      <w:r>
        <w:rPr>
          <w:rFonts w:ascii="標楷體" w:eastAsia="標楷體" w:hAnsi="標楷體"/>
          <w:color w:val="000000"/>
        </w:rPr>
        <w:t xml:space="preserve"> (</w:t>
      </w:r>
      <w:r>
        <w:rPr>
          <w:rFonts w:ascii="標楷體" w:eastAsia="標楷體" w:hAnsi="標楷體"/>
          <w:color w:val="000000"/>
        </w:rPr>
        <w:t>備註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，</w:t>
      </w:r>
      <w:proofErr w:type="spellStart"/>
      <w:r>
        <w:rPr>
          <w:rFonts w:ascii="標楷體" w:eastAsia="標楷體" w:hAnsi="標楷體"/>
          <w:color w:val="000000"/>
        </w:rPr>
        <w:t>Barkin</w:t>
      </w:r>
      <w:proofErr w:type="spellEnd"/>
      <w:r>
        <w:rPr>
          <w:rFonts w:ascii="標楷體" w:eastAsia="標楷體" w:hAnsi="標楷體"/>
          <w:color w:val="000000"/>
        </w:rPr>
        <w:t>公式</w:t>
      </w:r>
      <w:r>
        <w:rPr>
          <w:rFonts w:ascii="標楷體" w:eastAsia="標楷體" w:hAnsi="標楷體"/>
          <w:color w:val="000000"/>
        </w:rPr>
        <w:t xml:space="preserve">) </w:t>
      </w:r>
      <w:r>
        <w:rPr>
          <w:rFonts w:ascii="標楷體" w:eastAsia="標楷體" w:hAnsi="標楷體"/>
          <w:color w:val="000000"/>
        </w:rPr>
        <w:t>修訂。</w:t>
      </w:r>
    </w:p>
    <w:p w:rsidR="00CA3F27" w:rsidRDefault="00ED050B">
      <w:pPr>
        <w:ind w:left="811" w:hanging="24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4.</w:t>
      </w:r>
      <w:r>
        <w:rPr>
          <w:rFonts w:ascii="標楷體" w:eastAsia="標楷體" w:hAnsi="標楷體"/>
          <w:color w:val="000000"/>
        </w:rPr>
        <w:t>使用一個月後，症狀若無改善，應改用其他藥物治療。</w:t>
      </w:r>
    </w:p>
    <w:p w:rsidR="00CA3F27" w:rsidRDefault="00ED050B">
      <w:pPr>
        <w:ind w:left="811" w:hanging="24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5.</w:t>
      </w:r>
      <w:r>
        <w:rPr>
          <w:rFonts w:ascii="標楷體" w:eastAsia="標楷體" w:hAnsi="標楷體"/>
          <w:color w:val="000000"/>
        </w:rPr>
        <w:t>以三個月為一個療程，作間歇性長期治療者，若需繼續治療，每月限使用</w:t>
      </w:r>
      <w:r>
        <w:rPr>
          <w:rFonts w:ascii="標楷體" w:eastAsia="標楷體" w:hAnsi="標楷體"/>
          <w:color w:val="000000"/>
        </w:rPr>
        <w:t>30</w:t>
      </w:r>
      <w:r>
        <w:rPr>
          <w:rFonts w:ascii="標楷體" w:eastAsia="標楷體" w:hAnsi="標楷體"/>
          <w:color w:val="000000"/>
        </w:rPr>
        <w:t>公克。（</w:t>
      </w:r>
      <w:r>
        <w:rPr>
          <w:rFonts w:ascii="標楷體" w:eastAsia="標楷體" w:hAnsi="標楷體"/>
          <w:color w:val="000000"/>
        </w:rPr>
        <w:t>93/8 /1</w:t>
      </w:r>
      <w:r>
        <w:rPr>
          <w:rFonts w:ascii="標楷體" w:eastAsia="標楷體" w:hAnsi="標楷體"/>
          <w:color w:val="000000"/>
        </w:rPr>
        <w:t>）</w:t>
      </w:r>
    </w:p>
    <w:p w:rsidR="00CA3F27" w:rsidRDefault="00ED050B">
      <w:pPr>
        <w:ind w:left="811" w:hanging="24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6.</w:t>
      </w:r>
      <w:r>
        <w:rPr>
          <w:rFonts w:ascii="標楷體" w:eastAsia="標楷體" w:hAnsi="標楷體"/>
          <w:color w:val="000000"/>
        </w:rPr>
        <w:t>不可合併紫外線治療。（</w:t>
      </w:r>
      <w:r>
        <w:rPr>
          <w:rFonts w:ascii="標楷體" w:eastAsia="標楷體" w:hAnsi="標楷體"/>
          <w:color w:val="000000"/>
        </w:rPr>
        <w:t>93/8 /1</w:t>
      </w:r>
      <w:r>
        <w:rPr>
          <w:rFonts w:ascii="標楷體" w:eastAsia="標楷體" w:hAnsi="標楷體"/>
          <w:color w:val="000000"/>
        </w:rPr>
        <w:t>）</w:t>
      </w:r>
    </w:p>
    <w:p w:rsidR="00CA3F27" w:rsidRDefault="00ED050B">
      <w:pPr>
        <w:ind w:left="811" w:hanging="24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7.</w:t>
      </w:r>
      <w:r>
        <w:rPr>
          <w:rFonts w:ascii="標楷體" w:eastAsia="標楷體" w:hAnsi="標楷體"/>
          <w:color w:val="000000"/>
        </w:rPr>
        <w:t>與</w:t>
      </w:r>
      <w:proofErr w:type="spellStart"/>
      <w:r>
        <w:rPr>
          <w:rFonts w:ascii="標楷體" w:eastAsia="標楷體" w:hAnsi="標楷體"/>
          <w:color w:val="000000"/>
        </w:rPr>
        <w:t>pimecrolimus</w:t>
      </w:r>
      <w:proofErr w:type="spellEnd"/>
      <w:proofErr w:type="gramStart"/>
      <w:r>
        <w:rPr>
          <w:rFonts w:ascii="標楷體" w:eastAsia="標楷體" w:hAnsi="標楷體"/>
          <w:color w:val="000000"/>
        </w:rPr>
        <w:t>併</w:t>
      </w:r>
      <w:proofErr w:type="gramEnd"/>
      <w:r>
        <w:rPr>
          <w:rFonts w:ascii="標楷體" w:eastAsia="標楷體" w:hAnsi="標楷體"/>
          <w:color w:val="000000"/>
        </w:rPr>
        <w:t>用時</w:t>
      </w:r>
      <w:r>
        <w:rPr>
          <w:rFonts w:ascii="標楷體" w:eastAsia="標楷體" w:hAnsi="標楷體"/>
          <w:color w:val="000000"/>
        </w:rPr>
        <w:t xml:space="preserve"> (99/12/1)</w:t>
      </w:r>
      <w:r>
        <w:rPr>
          <w:rFonts w:ascii="標楷體" w:eastAsia="標楷體" w:hAnsi="標楷體"/>
          <w:color w:val="000000"/>
        </w:rPr>
        <w:t>：</w:t>
      </w:r>
    </w:p>
    <w:p w:rsidR="00CA3F27" w:rsidRDefault="00ED050B">
      <w:pPr>
        <w:ind w:left="1049" w:hanging="34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(1)</w:t>
      </w:r>
      <w:r>
        <w:rPr>
          <w:rFonts w:ascii="標楷體" w:eastAsia="標楷體" w:hAnsi="標楷體"/>
          <w:color w:val="000000"/>
        </w:rPr>
        <w:t>成人：患部面積</w:t>
      </w:r>
      <w:r>
        <w:rPr>
          <w:rFonts w:ascii="標楷體" w:eastAsia="標楷體" w:hAnsi="標楷體"/>
          <w:color w:val="000000"/>
        </w:rPr>
        <w:t>30%~50%</w:t>
      </w:r>
      <w:r>
        <w:rPr>
          <w:rFonts w:ascii="標楷體" w:eastAsia="標楷體" w:hAnsi="標楷體"/>
          <w:color w:val="000000"/>
        </w:rPr>
        <w:t>，每星期兩者合併用量不超過</w:t>
      </w:r>
      <w:r>
        <w:rPr>
          <w:rFonts w:ascii="標楷體" w:eastAsia="標楷體" w:hAnsi="標楷體"/>
          <w:color w:val="000000"/>
        </w:rPr>
        <w:t>30gm</w:t>
      </w:r>
      <w:r>
        <w:rPr>
          <w:rFonts w:ascii="標楷體" w:eastAsia="標楷體" w:hAnsi="標楷體"/>
          <w:color w:val="000000"/>
        </w:rPr>
        <w:t>；患部面積</w:t>
      </w:r>
      <w:r>
        <w:rPr>
          <w:rFonts w:ascii="標楷體" w:eastAsia="標楷體" w:hAnsi="標楷體"/>
          <w:color w:val="000000"/>
        </w:rPr>
        <w:t>&gt;50%</w:t>
      </w:r>
      <w:r>
        <w:rPr>
          <w:rFonts w:ascii="標楷體" w:eastAsia="標楷體" w:hAnsi="標楷體"/>
          <w:color w:val="000000"/>
        </w:rPr>
        <w:t>，兩者每星期合併用量不超過</w:t>
      </w:r>
      <w:r>
        <w:rPr>
          <w:rFonts w:ascii="標楷體" w:eastAsia="標楷體" w:hAnsi="標楷體"/>
          <w:color w:val="000000"/>
        </w:rPr>
        <w:t>60gm</w:t>
      </w:r>
      <w:r>
        <w:rPr>
          <w:rFonts w:ascii="標楷體" w:eastAsia="標楷體" w:hAnsi="標楷體"/>
          <w:color w:val="000000"/>
        </w:rPr>
        <w:t>。</w:t>
      </w:r>
    </w:p>
    <w:p w:rsidR="00CA3F27" w:rsidRDefault="00ED050B">
      <w:pPr>
        <w:ind w:left="1049" w:hanging="34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(2)</w:t>
      </w:r>
      <w:r>
        <w:rPr>
          <w:rFonts w:ascii="標楷體" w:eastAsia="標楷體" w:hAnsi="標楷體"/>
          <w:color w:val="000000"/>
        </w:rPr>
        <w:t>孩童：患部面積</w:t>
      </w:r>
      <w:r>
        <w:rPr>
          <w:rFonts w:ascii="標楷體" w:eastAsia="標楷體" w:hAnsi="標楷體"/>
          <w:color w:val="000000"/>
        </w:rPr>
        <w:t>30%~50%</w:t>
      </w:r>
      <w:r>
        <w:rPr>
          <w:rFonts w:ascii="標楷體" w:eastAsia="標楷體" w:hAnsi="標楷體"/>
          <w:color w:val="000000"/>
        </w:rPr>
        <w:t>，每兩星期兩者合併用量不超過</w:t>
      </w:r>
      <w:r>
        <w:rPr>
          <w:rFonts w:ascii="標楷體" w:eastAsia="標楷體" w:hAnsi="標楷體"/>
          <w:color w:val="000000"/>
        </w:rPr>
        <w:t>30gm</w:t>
      </w:r>
      <w:r>
        <w:rPr>
          <w:rFonts w:ascii="標楷體" w:eastAsia="標楷體" w:hAnsi="標楷體"/>
          <w:color w:val="000000"/>
        </w:rPr>
        <w:t>；患部面積</w:t>
      </w:r>
      <w:r>
        <w:rPr>
          <w:rFonts w:ascii="標楷體" w:eastAsia="標楷體" w:hAnsi="標楷體"/>
          <w:color w:val="000000"/>
        </w:rPr>
        <w:t>&gt;50%</w:t>
      </w:r>
      <w:r>
        <w:rPr>
          <w:rFonts w:ascii="標楷體" w:eastAsia="標楷體" w:hAnsi="標楷體"/>
          <w:color w:val="000000"/>
        </w:rPr>
        <w:t>，每星期兩者合併用量不超過</w:t>
      </w:r>
      <w:r>
        <w:rPr>
          <w:rFonts w:ascii="標楷體" w:eastAsia="標楷體" w:hAnsi="標楷體"/>
          <w:color w:val="000000"/>
        </w:rPr>
        <w:t>30gm</w:t>
      </w:r>
      <w:r>
        <w:rPr>
          <w:rFonts w:ascii="標楷體" w:eastAsia="標楷體" w:hAnsi="標楷體"/>
          <w:color w:val="000000"/>
        </w:rPr>
        <w:t>。</w:t>
      </w:r>
    </w:p>
    <w:p w:rsidR="00CA3F27" w:rsidRDefault="00ED050B">
      <w:pPr>
        <w:ind w:left="1049" w:hanging="34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(3)</w:t>
      </w:r>
      <w:r>
        <w:rPr>
          <w:rFonts w:ascii="標楷體" w:eastAsia="標楷體" w:hAnsi="標楷體"/>
          <w:color w:val="000000"/>
        </w:rPr>
        <w:t>若因病情需要兩者合併使用量需超過限制者，應於病歷詳細記錄理由。</w:t>
      </w:r>
    </w:p>
    <w:p w:rsidR="00CA3F27" w:rsidRDefault="00ED050B">
      <w:pPr>
        <w:ind w:left="1438" w:hanging="87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lastRenderedPageBreak/>
        <w:t>備註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00"/>
        </w:rPr>
        <w:t>Rule of nines</w:t>
      </w:r>
      <w:r>
        <w:rPr>
          <w:rFonts w:ascii="標楷體" w:eastAsia="標楷體" w:hAnsi="標楷體"/>
          <w:color w:val="000000"/>
        </w:rPr>
        <w:t>計算法：頭頸</w:t>
      </w:r>
      <w:r>
        <w:rPr>
          <w:rFonts w:ascii="標楷體" w:eastAsia="標楷體" w:hAnsi="標楷體"/>
          <w:color w:val="000000"/>
        </w:rPr>
        <w:t>9%</w:t>
      </w:r>
      <w:r>
        <w:rPr>
          <w:rFonts w:ascii="標楷體" w:eastAsia="標楷體" w:hAnsi="標楷體"/>
          <w:color w:val="000000"/>
        </w:rPr>
        <w:t>，兩上肢</w:t>
      </w:r>
      <w:r>
        <w:rPr>
          <w:rFonts w:ascii="標楷體" w:eastAsia="標楷體" w:hAnsi="標楷體"/>
          <w:color w:val="000000"/>
        </w:rPr>
        <w:t>18%</w:t>
      </w:r>
      <w:r>
        <w:rPr>
          <w:rFonts w:ascii="標楷體" w:eastAsia="標楷體" w:hAnsi="標楷體"/>
          <w:color w:val="000000"/>
        </w:rPr>
        <w:t>，軀幹</w:t>
      </w:r>
      <w:r>
        <w:rPr>
          <w:rFonts w:ascii="標楷體" w:eastAsia="標楷體" w:hAnsi="標楷體"/>
          <w:color w:val="000000"/>
        </w:rPr>
        <w:t>18%</w:t>
      </w:r>
      <w:r>
        <w:rPr>
          <w:rFonts w:ascii="標楷體" w:eastAsia="標楷體" w:hAnsi="標楷體"/>
          <w:color w:val="000000"/>
        </w:rPr>
        <w:t>，背</w:t>
      </w:r>
      <w:r>
        <w:rPr>
          <w:rFonts w:ascii="標楷體" w:eastAsia="標楷體" w:hAnsi="標楷體"/>
          <w:color w:val="000000"/>
        </w:rPr>
        <w:t>18%</w:t>
      </w:r>
      <w:r>
        <w:rPr>
          <w:rFonts w:ascii="標楷體" w:eastAsia="標楷體" w:hAnsi="標楷體"/>
          <w:color w:val="000000"/>
        </w:rPr>
        <w:t>，兩下肢</w:t>
      </w:r>
      <w:r>
        <w:rPr>
          <w:rFonts w:ascii="標楷體" w:eastAsia="標楷體" w:hAnsi="標楷體"/>
          <w:color w:val="000000"/>
        </w:rPr>
        <w:t>36%</w:t>
      </w:r>
      <w:r>
        <w:rPr>
          <w:rFonts w:ascii="標楷體" w:eastAsia="標楷體" w:hAnsi="標楷體"/>
          <w:color w:val="000000"/>
        </w:rPr>
        <w:t>，陰部</w:t>
      </w:r>
      <w:r>
        <w:rPr>
          <w:rFonts w:ascii="標楷體" w:eastAsia="標楷體" w:hAnsi="標楷體"/>
          <w:color w:val="000000"/>
        </w:rPr>
        <w:t>1%</w:t>
      </w:r>
      <w:r>
        <w:rPr>
          <w:rFonts w:ascii="標楷體" w:eastAsia="標楷體" w:hAnsi="標楷體"/>
          <w:color w:val="000000"/>
        </w:rPr>
        <w:t>。</w:t>
      </w:r>
    </w:p>
    <w:p w:rsidR="00CA3F27" w:rsidRDefault="00ED050B">
      <w:pPr>
        <w:ind w:left="811" w:hanging="24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備註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：兒童患部面積計算如附表十七</w:t>
      </w:r>
      <w:r>
        <w:rPr>
          <w:rFonts w:ascii="標楷體" w:eastAsia="標楷體" w:hAnsi="標楷體"/>
          <w:color w:val="000000"/>
        </w:rPr>
        <w:t xml:space="preserve"> (From Roger M. </w:t>
      </w:r>
      <w:proofErr w:type="spellStart"/>
      <w:r>
        <w:rPr>
          <w:rFonts w:ascii="標楷體" w:eastAsia="標楷體" w:hAnsi="標楷體"/>
          <w:color w:val="000000"/>
        </w:rPr>
        <w:t>Barkin</w:t>
      </w:r>
      <w:proofErr w:type="spellEnd"/>
      <w:r>
        <w:rPr>
          <w:rFonts w:ascii="標楷體" w:eastAsia="標楷體" w:hAnsi="標楷體"/>
          <w:color w:val="000000"/>
        </w:rPr>
        <w:t>)</w:t>
      </w:r>
    </w:p>
    <w:p w:rsidR="00CA3F27" w:rsidRDefault="00ED050B">
      <w:pPr>
        <w:ind w:left="682" w:hanging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13.11.Pimecrolimus (</w:t>
      </w:r>
      <w:proofErr w:type="spellStart"/>
      <w:r>
        <w:rPr>
          <w:rFonts w:ascii="標楷體" w:eastAsia="標楷體" w:hAnsi="標楷體"/>
          <w:color w:val="000000"/>
        </w:rPr>
        <w:t>Elidel</w:t>
      </w:r>
      <w:proofErr w:type="spellEnd"/>
      <w:r>
        <w:rPr>
          <w:rFonts w:ascii="標楷體" w:eastAsia="標楷體" w:hAnsi="標楷體"/>
          <w:color w:val="000000"/>
        </w:rPr>
        <w:t xml:space="preserve"> 1% )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00"/>
        </w:rPr>
        <w:t>(92/11/1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93/8/1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94/3/1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95/7/1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99/12/1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110/12/1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111/2/1)</w:t>
      </w:r>
    </w:p>
    <w:p w:rsidR="00CA3F27" w:rsidRDefault="00ED050B">
      <w:pPr>
        <w:ind w:left="809" w:hanging="10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限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歲以上且患部面積</w:t>
      </w:r>
      <w:r>
        <w:rPr>
          <w:rFonts w:ascii="標楷體" w:eastAsia="標楷體" w:hAnsi="標楷體"/>
          <w:color w:val="000000"/>
        </w:rPr>
        <w:t>&gt;30%</w:t>
      </w:r>
      <w:r>
        <w:rPr>
          <w:rFonts w:ascii="標楷體" w:eastAsia="標楷體" w:hAnsi="標楷體"/>
          <w:color w:val="000000"/>
        </w:rPr>
        <w:t>之中、</w:t>
      </w:r>
      <w:proofErr w:type="gramStart"/>
      <w:r>
        <w:rPr>
          <w:rFonts w:ascii="標楷體" w:eastAsia="標楷體" w:hAnsi="標楷體"/>
          <w:color w:val="000000"/>
        </w:rPr>
        <w:t>重度異位</w:t>
      </w:r>
      <w:proofErr w:type="gramEnd"/>
      <w:r>
        <w:rPr>
          <w:rFonts w:ascii="標楷體" w:eastAsia="標楷體" w:hAnsi="標楷體"/>
          <w:color w:val="000000"/>
        </w:rPr>
        <w:t>性皮膚炎，或敏感性皮膚部位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頭頸部、眼瞼、</w:t>
      </w:r>
      <w:proofErr w:type="gramStart"/>
      <w:r>
        <w:rPr>
          <w:rFonts w:ascii="標楷體" w:eastAsia="標楷體" w:hAnsi="標楷體"/>
          <w:color w:val="000000"/>
        </w:rPr>
        <w:t>耳後</w:t>
      </w:r>
      <w:proofErr w:type="gramEnd"/>
      <w:r>
        <w:rPr>
          <w:rFonts w:ascii="標楷體" w:eastAsia="標楷體" w:hAnsi="標楷體"/>
          <w:color w:val="000000"/>
        </w:rPr>
        <w:t>區、生殖器、皮膚彎曲處、腋下、鼠蹊部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異位性皮膚炎之下列病患第二線使用：</w:t>
      </w:r>
      <w:r>
        <w:rPr>
          <w:rFonts w:ascii="標楷體" w:eastAsia="標楷體" w:hAnsi="標楷體"/>
          <w:color w:val="000000"/>
        </w:rPr>
        <w:t>(94/3/1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95/7/1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110/12/1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111/2/1)</w:t>
      </w:r>
    </w:p>
    <w:p w:rsidR="00CA3F27" w:rsidRDefault="00ED050B">
      <w:pPr>
        <w:ind w:left="811" w:hanging="24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成人患部面積</w:t>
      </w:r>
      <w:r>
        <w:rPr>
          <w:rFonts w:ascii="標楷體" w:eastAsia="標楷體" w:hAnsi="標楷體"/>
          <w:color w:val="000000"/>
        </w:rPr>
        <w:t>30%~50%</w:t>
      </w:r>
      <w:r>
        <w:rPr>
          <w:rFonts w:ascii="標楷體" w:eastAsia="標楷體" w:hAnsi="標楷體"/>
          <w:color w:val="000000"/>
        </w:rPr>
        <w:t>，每星期不超過</w:t>
      </w:r>
      <w:r>
        <w:rPr>
          <w:rFonts w:ascii="標楷體" w:eastAsia="標楷體" w:hAnsi="標楷體"/>
          <w:color w:val="000000"/>
        </w:rPr>
        <w:t>30gm</w:t>
      </w:r>
      <w:r>
        <w:rPr>
          <w:rFonts w:ascii="標楷體" w:eastAsia="標楷體" w:hAnsi="標楷體"/>
          <w:color w:val="000000"/>
        </w:rPr>
        <w:t>；患部面積</w:t>
      </w:r>
      <w:r>
        <w:rPr>
          <w:rFonts w:ascii="標楷體" w:eastAsia="標楷體" w:hAnsi="標楷體"/>
          <w:color w:val="000000"/>
        </w:rPr>
        <w:t>&gt;50%</w:t>
      </w:r>
      <w:r>
        <w:rPr>
          <w:rFonts w:ascii="標楷體" w:eastAsia="標楷體" w:hAnsi="標楷體"/>
          <w:color w:val="000000"/>
        </w:rPr>
        <w:t>，每星期不超過</w:t>
      </w:r>
      <w:r>
        <w:rPr>
          <w:rFonts w:ascii="標楷體" w:eastAsia="標楷體" w:hAnsi="標楷體"/>
          <w:color w:val="000000"/>
        </w:rPr>
        <w:t>60gm</w:t>
      </w:r>
      <w:r>
        <w:rPr>
          <w:rFonts w:ascii="標楷體" w:eastAsia="標楷體" w:hAnsi="標楷體"/>
          <w:color w:val="000000"/>
        </w:rPr>
        <w:t>。</w:t>
      </w:r>
      <w:r>
        <w:rPr>
          <w:rFonts w:ascii="標楷體" w:eastAsia="標楷體" w:hAnsi="標楷體"/>
          <w:color w:val="000000"/>
        </w:rPr>
        <w:t>(94/3/1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99/12/1)</w:t>
      </w:r>
    </w:p>
    <w:p w:rsidR="00CA3F27" w:rsidRDefault="00ED050B">
      <w:pPr>
        <w:ind w:left="811" w:hanging="24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</w:rPr>
        <w:t>孩童患部面積</w:t>
      </w:r>
      <w:r>
        <w:rPr>
          <w:rFonts w:ascii="標楷體" w:eastAsia="標楷體" w:hAnsi="標楷體"/>
          <w:color w:val="000000"/>
        </w:rPr>
        <w:t>30%~50%</w:t>
      </w:r>
      <w:r>
        <w:rPr>
          <w:rFonts w:ascii="標楷體" w:eastAsia="標楷體" w:hAnsi="標楷體"/>
          <w:color w:val="000000"/>
        </w:rPr>
        <w:t>，每兩星期不超過</w:t>
      </w:r>
      <w:r>
        <w:rPr>
          <w:rFonts w:ascii="標楷體" w:eastAsia="標楷體" w:hAnsi="標楷體"/>
          <w:color w:val="000000"/>
        </w:rPr>
        <w:t>30gm</w:t>
      </w:r>
      <w:r>
        <w:rPr>
          <w:rFonts w:ascii="標楷體" w:eastAsia="標楷體" w:hAnsi="標楷體"/>
          <w:color w:val="000000"/>
        </w:rPr>
        <w:t>；患部面積</w:t>
      </w:r>
      <w:r>
        <w:rPr>
          <w:rFonts w:ascii="標楷體" w:eastAsia="標楷體" w:hAnsi="標楷體"/>
          <w:color w:val="000000"/>
        </w:rPr>
        <w:t>&gt;50%</w:t>
      </w:r>
      <w:r>
        <w:rPr>
          <w:rFonts w:ascii="標楷體" w:eastAsia="標楷體" w:hAnsi="標楷體"/>
          <w:color w:val="000000"/>
        </w:rPr>
        <w:t>，每星期不超過</w:t>
      </w:r>
      <w:r>
        <w:rPr>
          <w:rFonts w:ascii="標楷體" w:eastAsia="標楷體" w:hAnsi="標楷體"/>
          <w:color w:val="000000"/>
        </w:rPr>
        <w:t>30gm</w:t>
      </w:r>
      <w:r>
        <w:rPr>
          <w:rFonts w:ascii="標楷體" w:eastAsia="標楷體" w:hAnsi="標楷體"/>
          <w:color w:val="000000"/>
        </w:rPr>
        <w:t>。</w:t>
      </w:r>
      <w:r>
        <w:rPr>
          <w:rFonts w:ascii="標楷體" w:eastAsia="標楷體" w:hAnsi="標楷體"/>
          <w:color w:val="000000"/>
        </w:rPr>
        <w:t>(99/12/1)</w:t>
      </w:r>
    </w:p>
    <w:p w:rsidR="00CA3F27" w:rsidRDefault="00ED050B">
      <w:pPr>
        <w:ind w:left="811" w:hanging="24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3.</w:t>
      </w:r>
      <w:r>
        <w:rPr>
          <w:rFonts w:ascii="標楷體" w:eastAsia="標楷體" w:hAnsi="標楷體"/>
          <w:color w:val="000000"/>
        </w:rPr>
        <w:t>敏感性皮膚部位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頭頸部、眼瞼、</w:t>
      </w:r>
      <w:proofErr w:type="gramStart"/>
      <w:r>
        <w:rPr>
          <w:rFonts w:ascii="標楷體" w:eastAsia="標楷體" w:hAnsi="標楷體"/>
          <w:color w:val="000000"/>
        </w:rPr>
        <w:t>耳後區</w:t>
      </w:r>
      <w:proofErr w:type="gramEnd"/>
      <w:r>
        <w:rPr>
          <w:rFonts w:ascii="標楷體" w:eastAsia="標楷體" w:hAnsi="標楷體"/>
          <w:color w:val="000000"/>
        </w:rPr>
        <w:t>、生殖器、皮膚彎曲處、腋下、鼠蹊部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異位性皮膚炎部分：成人每月不超過</w:t>
      </w:r>
      <w:r>
        <w:rPr>
          <w:rFonts w:ascii="標楷體" w:eastAsia="標楷體" w:hAnsi="標楷體"/>
          <w:color w:val="000000"/>
        </w:rPr>
        <w:t>30</w:t>
      </w:r>
      <w:r>
        <w:rPr>
          <w:rFonts w:ascii="標楷體" w:eastAsia="標楷體" w:hAnsi="標楷體"/>
          <w:color w:val="000000"/>
        </w:rPr>
        <w:t>gm</w:t>
      </w:r>
      <w:r>
        <w:rPr>
          <w:rFonts w:ascii="標楷體" w:eastAsia="標楷體" w:hAnsi="標楷體"/>
          <w:color w:val="000000"/>
        </w:rPr>
        <w:t>，孩童每月不超過不超過</w:t>
      </w:r>
      <w:r>
        <w:rPr>
          <w:rFonts w:ascii="標楷體" w:eastAsia="標楷體" w:hAnsi="標楷體"/>
          <w:color w:val="000000"/>
        </w:rPr>
        <w:t>20gm</w:t>
      </w:r>
      <w:r>
        <w:rPr>
          <w:rFonts w:ascii="標楷體" w:eastAsia="標楷體" w:hAnsi="標楷體"/>
          <w:color w:val="000000"/>
        </w:rPr>
        <w:t>，且不得與全身用藥分開計算。</w:t>
      </w:r>
      <w:r>
        <w:rPr>
          <w:rFonts w:ascii="標楷體" w:eastAsia="標楷體" w:hAnsi="標楷體"/>
          <w:color w:val="000000"/>
        </w:rPr>
        <w:t>(110/12/1)</w:t>
      </w:r>
    </w:p>
    <w:p w:rsidR="00CA3F27" w:rsidRDefault="00ED050B">
      <w:pPr>
        <w:ind w:left="811" w:hanging="24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4.</w:t>
      </w:r>
      <w:r>
        <w:rPr>
          <w:rFonts w:ascii="標楷體" w:eastAsia="標楷體" w:hAnsi="標楷體"/>
          <w:color w:val="000000"/>
        </w:rPr>
        <w:t>使用一個月後，症狀若無改善，應改用其他藥物治療。</w:t>
      </w:r>
    </w:p>
    <w:p w:rsidR="00CA3F27" w:rsidRDefault="00ED050B">
      <w:pPr>
        <w:ind w:left="811" w:hanging="24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5.</w:t>
      </w:r>
      <w:r>
        <w:rPr>
          <w:rFonts w:ascii="標楷體" w:eastAsia="標楷體" w:hAnsi="標楷體"/>
          <w:color w:val="000000"/>
        </w:rPr>
        <w:t>以三個月為一個療程，作間歇性長期治療者，若需繼續治療，每月限使用</w:t>
      </w:r>
      <w:r>
        <w:rPr>
          <w:rFonts w:ascii="標楷體" w:eastAsia="標楷體" w:hAnsi="標楷體"/>
          <w:color w:val="000000"/>
        </w:rPr>
        <w:t>30</w:t>
      </w:r>
      <w:r>
        <w:rPr>
          <w:rFonts w:ascii="標楷體" w:eastAsia="標楷體" w:hAnsi="標楷體"/>
          <w:color w:val="000000"/>
        </w:rPr>
        <w:t>公克。（</w:t>
      </w:r>
      <w:r>
        <w:rPr>
          <w:rFonts w:ascii="標楷體" w:eastAsia="標楷體" w:hAnsi="標楷體"/>
          <w:color w:val="000000"/>
        </w:rPr>
        <w:t>93/8/1</w:t>
      </w:r>
      <w:r>
        <w:rPr>
          <w:rFonts w:ascii="標楷體" w:eastAsia="標楷體" w:hAnsi="標楷體"/>
          <w:color w:val="000000"/>
        </w:rPr>
        <w:t>）</w:t>
      </w:r>
    </w:p>
    <w:p w:rsidR="00CA3F27" w:rsidRDefault="00ED050B">
      <w:pPr>
        <w:ind w:left="811" w:hanging="24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6.</w:t>
      </w:r>
      <w:r>
        <w:rPr>
          <w:rFonts w:ascii="標楷體" w:eastAsia="標楷體" w:hAnsi="標楷體"/>
          <w:color w:val="000000"/>
        </w:rPr>
        <w:t>不可合併紫外線治療。（</w:t>
      </w:r>
      <w:r>
        <w:rPr>
          <w:rFonts w:ascii="標楷體" w:eastAsia="標楷體" w:hAnsi="標楷體"/>
          <w:color w:val="000000"/>
        </w:rPr>
        <w:t>93/8/1</w:t>
      </w:r>
      <w:r>
        <w:rPr>
          <w:rFonts w:ascii="標楷體" w:eastAsia="標楷體" w:hAnsi="標楷體"/>
          <w:color w:val="000000"/>
        </w:rPr>
        <w:t>）</w:t>
      </w:r>
    </w:p>
    <w:p w:rsidR="00CA3F27" w:rsidRDefault="00ED050B">
      <w:pPr>
        <w:ind w:left="811" w:hanging="24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7.</w:t>
      </w:r>
      <w:r>
        <w:rPr>
          <w:rFonts w:ascii="標楷體" w:eastAsia="標楷體" w:hAnsi="標楷體"/>
          <w:color w:val="000000"/>
        </w:rPr>
        <w:t>與</w:t>
      </w:r>
      <w:r>
        <w:rPr>
          <w:rFonts w:ascii="標楷體" w:eastAsia="標楷體" w:hAnsi="標楷體"/>
          <w:color w:val="000000"/>
        </w:rPr>
        <w:t>tacrolimus</w:t>
      </w:r>
      <w:proofErr w:type="gramStart"/>
      <w:r>
        <w:rPr>
          <w:rFonts w:ascii="標楷體" w:eastAsia="標楷體" w:hAnsi="標楷體"/>
          <w:color w:val="000000"/>
        </w:rPr>
        <w:t>併</w:t>
      </w:r>
      <w:proofErr w:type="gramEnd"/>
      <w:r>
        <w:rPr>
          <w:rFonts w:ascii="標楷體" w:eastAsia="標楷體" w:hAnsi="標楷體"/>
          <w:color w:val="000000"/>
        </w:rPr>
        <w:t>用時</w:t>
      </w:r>
      <w:r>
        <w:rPr>
          <w:rFonts w:ascii="標楷體" w:eastAsia="標楷體" w:hAnsi="標楷體"/>
          <w:color w:val="000000"/>
        </w:rPr>
        <w:t>(99/12/1)</w:t>
      </w:r>
      <w:r>
        <w:rPr>
          <w:rFonts w:ascii="標楷體" w:eastAsia="標楷體" w:hAnsi="標楷體"/>
          <w:color w:val="000000"/>
        </w:rPr>
        <w:t>：</w:t>
      </w:r>
    </w:p>
    <w:p w:rsidR="00CA3F27" w:rsidRDefault="00ED050B">
      <w:pPr>
        <w:ind w:left="1049" w:hanging="34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(1)</w:t>
      </w:r>
      <w:r>
        <w:rPr>
          <w:rFonts w:ascii="標楷體" w:eastAsia="標楷體" w:hAnsi="標楷體"/>
          <w:color w:val="000000"/>
        </w:rPr>
        <w:t>成人：患部面積</w:t>
      </w:r>
      <w:r>
        <w:rPr>
          <w:rFonts w:ascii="標楷體" w:eastAsia="標楷體" w:hAnsi="標楷體"/>
          <w:color w:val="000000"/>
        </w:rPr>
        <w:t>30%~50%</w:t>
      </w:r>
      <w:r>
        <w:rPr>
          <w:rFonts w:ascii="標楷體" w:eastAsia="標楷體" w:hAnsi="標楷體"/>
          <w:color w:val="000000"/>
        </w:rPr>
        <w:t>，每星期兩者合併用量不超過</w:t>
      </w:r>
      <w:r>
        <w:rPr>
          <w:rFonts w:ascii="標楷體" w:eastAsia="標楷體" w:hAnsi="標楷體"/>
          <w:color w:val="000000"/>
        </w:rPr>
        <w:t>30gm</w:t>
      </w:r>
      <w:r>
        <w:rPr>
          <w:rFonts w:ascii="標楷體" w:eastAsia="標楷體" w:hAnsi="標楷體"/>
          <w:color w:val="000000"/>
        </w:rPr>
        <w:t>；患部面積</w:t>
      </w:r>
      <w:r>
        <w:rPr>
          <w:rFonts w:ascii="標楷體" w:eastAsia="標楷體" w:hAnsi="標楷體"/>
          <w:color w:val="000000"/>
        </w:rPr>
        <w:t>&gt;50%</w:t>
      </w:r>
      <w:r>
        <w:rPr>
          <w:rFonts w:ascii="標楷體" w:eastAsia="標楷體" w:hAnsi="標楷體"/>
          <w:color w:val="000000"/>
        </w:rPr>
        <w:t>，兩者每星期合併用量不超過</w:t>
      </w:r>
      <w:r>
        <w:rPr>
          <w:rFonts w:ascii="標楷體" w:eastAsia="標楷體" w:hAnsi="標楷體"/>
          <w:color w:val="000000"/>
        </w:rPr>
        <w:t>60gm</w:t>
      </w:r>
      <w:r>
        <w:rPr>
          <w:rFonts w:ascii="標楷體" w:eastAsia="標楷體" w:hAnsi="標楷體"/>
          <w:color w:val="000000"/>
        </w:rPr>
        <w:t>。</w:t>
      </w:r>
    </w:p>
    <w:p w:rsidR="00CA3F27" w:rsidRDefault="00ED050B">
      <w:pPr>
        <w:ind w:left="1049" w:hanging="34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(2)</w:t>
      </w:r>
      <w:r>
        <w:rPr>
          <w:rFonts w:ascii="標楷體" w:eastAsia="標楷體" w:hAnsi="標楷體"/>
          <w:color w:val="000000"/>
        </w:rPr>
        <w:t>孩童：患部面積</w:t>
      </w:r>
      <w:r>
        <w:rPr>
          <w:rFonts w:ascii="標楷體" w:eastAsia="標楷體" w:hAnsi="標楷體"/>
          <w:color w:val="000000"/>
        </w:rPr>
        <w:t>30%~50%</w:t>
      </w:r>
      <w:r>
        <w:rPr>
          <w:rFonts w:ascii="標楷體" w:eastAsia="標楷體" w:hAnsi="標楷體"/>
          <w:color w:val="000000"/>
        </w:rPr>
        <w:t>，每兩星期兩者合併用量不</w:t>
      </w:r>
      <w:r>
        <w:rPr>
          <w:rFonts w:ascii="標楷體" w:eastAsia="標楷體" w:hAnsi="標楷體"/>
          <w:color w:val="000000"/>
        </w:rPr>
        <w:t>超過</w:t>
      </w:r>
      <w:r>
        <w:rPr>
          <w:rFonts w:ascii="標楷體" w:eastAsia="標楷體" w:hAnsi="標楷體"/>
          <w:color w:val="000000"/>
        </w:rPr>
        <w:t>30gm</w:t>
      </w:r>
      <w:r>
        <w:rPr>
          <w:rFonts w:ascii="標楷體" w:eastAsia="標楷體" w:hAnsi="標楷體"/>
          <w:color w:val="000000"/>
        </w:rPr>
        <w:t>；患部面積</w:t>
      </w:r>
      <w:r>
        <w:rPr>
          <w:rFonts w:ascii="標楷體" w:eastAsia="標楷體" w:hAnsi="標楷體"/>
          <w:color w:val="000000"/>
        </w:rPr>
        <w:t>&gt;50%</w:t>
      </w:r>
      <w:r>
        <w:rPr>
          <w:rFonts w:ascii="標楷體" w:eastAsia="標楷體" w:hAnsi="標楷體"/>
          <w:color w:val="000000"/>
        </w:rPr>
        <w:t>，每星期兩者合併用量不超過</w:t>
      </w:r>
      <w:r>
        <w:rPr>
          <w:rFonts w:ascii="標楷體" w:eastAsia="標楷體" w:hAnsi="標楷體"/>
          <w:color w:val="000000"/>
        </w:rPr>
        <w:t>30gm</w:t>
      </w:r>
      <w:r>
        <w:rPr>
          <w:rFonts w:ascii="標楷體" w:eastAsia="標楷體" w:hAnsi="標楷體"/>
          <w:color w:val="000000"/>
        </w:rPr>
        <w:t>。</w:t>
      </w:r>
    </w:p>
    <w:p w:rsidR="00CA3F27" w:rsidRDefault="00ED050B">
      <w:pPr>
        <w:ind w:left="1049" w:hanging="34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(3)</w:t>
      </w:r>
      <w:r>
        <w:rPr>
          <w:rFonts w:ascii="標楷體" w:eastAsia="標楷體" w:hAnsi="標楷體"/>
          <w:color w:val="000000"/>
        </w:rPr>
        <w:t>若因病情需要兩者合併使用量需超過限制者，應於病歷詳細記錄理由。</w:t>
      </w:r>
    </w:p>
    <w:p w:rsidR="00CA3F27" w:rsidRDefault="00ED050B">
      <w:pPr>
        <w:ind w:left="432" w:hanging="38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13.12.Amorolfine (</w:t>
      </w:r>
      <w:r>
        <w:rPr>
          <w:rFonts w:ascii="標楷體" w:eastAsia="標楷體" w:hAnsi="標楷體"/>
          <w:color w:val="000000"/>
        </w:rPr>
        <w:t>如</w:t>
      </w:r>
      <w:proofErr w:type="spellStart"/>
      <w:r>
        <w:rPr>
          <w:rFonts w:ascii="標楷體" w:eastAsia="標楷體" w:hAnsi="標楷體"/>
          <w:color w:val="000000"/>
        </w:rPr>
        <w:t>Amocoat</w:t>
      </w:r>
      <w:proofErr w:type="spell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00"/>
        </w:rPr>
        <w:t>(99/4/1)</w:t>
      </w:r>
    </w:p>
    <w:p w:rsidR="00CA3F27" w:rsidRDefault="00ED050B">
      <w:pPr>
        <w:ind w:left="811" w:hanging="24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限用於皮真菌、酵母菌及黴菌引起之甲癬。</w:t>
      </w:r>
    </w:p>
    <w:p w:rsidR="00CA3F27" w:rsidRDefault="00ED050B">
      <w:pPr>
        <w:ind w:left="811" w:hanging="24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</w:rPr>
        <w:t>每年限使用一瓶</w:t>
      </w:r>
      <w:r>
        <w:rPr>
          <w:rFonts w:ascii="標楷體" w:eastAsia="標楷體" w:hAnsi="標楷體"/>
          <w:color w:val="000000"/>
        </w:rPr>
        <w:t>5mL</w:t>
      </w:r>
      <w:r>
        <w:rPr>
          <w:rFonts w:ascii="標楷體" w:eastAsia="標楷體" w:hAnsi="標楷體"/>
          <w:color w:val="000000"/>
        </w:rPr>
        <w:t>。</w:t>
      </w:r>
    </w:p>
    <w:p w:rsidR="00CA3F27" w:rsidRDefault="00ED050B">
      <w:pPr>
        <w:ind w:left="811" w:hanging="24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3.</w:t>
      </w:r>
      <w:r>
        <w:rPr>
          <w:rFonts w:ascii="標楷體" w:eastAsia="標楷體" w:hAnsi="標楷體"/>
          <w:color w:val="000000"/>
        </w:rPr>
        <w:t>許可證類別若變更為指示用藥，將不予給付。</w:t>
      </w:r>
    </w:p>
    <w:p w:rsidR="00CA3F27" w:rsidRDefault="00ED050B">
      <w:pPr>
        <w:ind w:left="4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13.13.Podophyllotoxin (</w:t>
      </w:r>
      <w:r>
        <w:rPr>
          <w:rFonts w:ascii="標楷體" w:eastAsia="標楷體" w:hAnsi="標楷體"/>
          <w:color w:val="000000"/>
        </w:rPr>
        <w:t>如</w:t>
      </w:r>
      <w:r>
        <w:rPr>
          <w:rFonts w:ascii="標楷體" w:eastAsia="標楷體" w:hAnsi="標楷體"/>
          <w:color w:val="000000"/>
        </w:rPr>
        <w:t>Wart Del Cream)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00"/>
        </w:rPr>
        <w:t xml:space="preserve">(102/9/1) </w:t>
      </w:r>
    </w:p>
    <w:p w:rsidR="00CA3F27" w:rsidRDefault="00ED050B">
      <w:pPr>
        <w:ind w:left="811" w:hanging="24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限皮膚、泌尿、婦產專科醫師或經病理診斷確認，使用於生殖器疣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包括外生殖器及肛門附近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之治療。</w:t>
      </w:r>
    </w:p>
    <w:p w:rsidR="00CA3F27" w:rsidRDefault="00ED050B">
      <w:pPr>
        <w:ind w:left="782" w:hanging="21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</w:rPr>
        <w:t>每次限給付乙支</w:t>
      </w:r>
      <w:r>
        <w:rPr>
          <w:rFonts w:ascii="標楷體" w:eastAsia="標楷體" w:hAnsi="標楷體"/>
          <w:color w:val="000000"/>
        </w:rPr>
        <w:t>(5gm)</w:t>
      </w:r>
      <w:r>
        <w:rPr>
          <w:rFonts w:ascii="標楷體" w:eastAsia="標楷體" w:hAnsi="標楷體"/>
          <w:color w:val="000000"/>
        </w:rPr>
        <w:t>，一個月內不得重複處方，每次療程</w:t>
      </w:r>
      <w:proofErr w:type="gramStart"/>
      <w:r>
        <w:rPr>
          <w:rFonts w:ascii="標楷體" w:eastAsia="標楷體" w:hAnsi="標楷體"/>
          <w:color w:val="000000"/>
        </w:rPr>
        <w:t>間應相隔</w:t>
      </w:r>
      <w:proofErr w:type="gramEnd"/>
      <w:r>
        <w:rPr>
          <w:rFonts w:ascii="標楷體" w:eastAsia="標楷體" w:hAnsi="標楷體"/>
          <w:color w:val="000000"/>
        </w:rPr>
        <w:t>至少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個月，治療期間不得與其它冷凍、電燒、雷射治療合併申報。</w:t>
      </w:r>
    </w:p>
    <w:p w:rsidR="00CA3F27" w:rsidRDefault="00ED050B">
      <w:pPr>
        <w:ind w:left="780" w:hanging="21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lastRenderedPageBreak/>
        <w:t>3.</w:t>
      </w:r>
      <w:r>
        <w:rPr>
          <w:rFonts w:ascii="標楷體" w:eastAsia="標楷體" w:hAnsi="標楷體"/>
          <w:color w:val="000000"/>
        </w:rPr>
        <w:t>若病灶侵犯生殖器部位超過</w:t>
      </w:r>
      <w:r>
        <w:rPr>
          <w:rFonts w:ascii="標楷體" w:eastAsia="標楷體" w:hAnsi="標楷體"/>
          <w:color w:val="000000"/>
        </w:rPr>
        <w:t>50%</w:t>
      </w:r>
      <w:r>
        <w:rPr>
          <w:rFonts w:ascii="標楷體" w:eastAsia="標楷體" w:hAnsi="標楷體"/>
          <w:color w:val="000000"/>
        </w:rPr>
        <w:t>，每療程處方之總劑量以</w:t>
      </w:r>
      <w:r>
        <w:rPr>
          <w:rFonts w:ascii="標楷體" w:eastAsia="標楷體" w:hAnsi="標楷體"/>
          <w:color w:val="000000"/>
        </w:rPr>
        <w:t>10gm</w:t>
      </w:r>
      <w:r>
        <w:rPr>
          <w:rFonts w:ascii="標楷體" w:eastAsia="標楷體" w:hAnsi="標楷體"/>
          <w:color w:val="000000"/>
        </w:rPr>
        <w:t>為上限，並且需於</w:t>
      </w:r>
      <w:proofErr w:type="gramStart"/>
      <w:r>
        <w:rPr>
          <w:rFonts w:ascii="標楷體" w:eastAsia="標楷體" w:hAnsi="標楷體"/>
          <w:color w:val="000000"/>
        </w:rPr>
        <w:t>病歷上詳載</w:t>
      </w:r>
      <w:proofErr w:type="gramEnd"/>
      <w:r>
        <w:rPr>
          <w:rFonts w:ascii="標楷體" w:eastAsia="標楷體" w:hAnsi="標楷體"/>
          <w:color w:val="000000"/>
        </w:rPr>
        <w:t>，併得合併申報冷凍、電燒或雷射治療。</w:t>
      </w:r>
    </w:p>
    <w:p w:rsidR="00CA3F27" w:rsidRDefault="00ED050B">
      <w:pPr>
        <w:ind w:left="4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13.14.Ingenol (</w:t>
      </w:r>
      <w:r>
        <w:rPr>
          <w:rFonts w:ascii="標楷體" w:eastAsia="標楷體" w:hAnsi="標楷體"/>
          <w:color w:val="000000"/>
        </w:rPr>
        <w:t>如</w:t>
      </w:r>
      <w:proofErr w:type="spellStart"/>
      <w:r>
        <w:rPr>
          <w:rFonts w:ascii="標楷體" w:eastAsia="標楷體" w:hAnsi="標楷體"/>
          <w:color w:val="000000"/>
        </w:rPr>
        <w:t>Picato</w:t>
      </w:r>
      <w:proofErr w:type="spellEnd"/>
      <w:r>
        <w:rPr>
          <w:rFonts w:ascii="標楷體" w:eastAsia="標楷體" w:hAnsi="標楷體"/>
          <w:color w:val="000000"/>
        </w:rPr>
        <w:t xml:space="preserve">) 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00"/>
        </w:rPr>
        <w:t>(105/11/1)</w:t>
      </w:r>
    </w:p>
    <w:p w:rsidR="00CA3F27" w:rsidRDefault="00ED050B">
      <w:pPr>
        <w:ind w:left="848" w:hanging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限用於治療局部性、非過度角化</w:t>
      </w:r>
      <w:r>
        <w:rPr>
          <w:rFonts w:ascii="標楷體" w:eastAsia="標楷體" w:hAnsi="標楷體"/>
          <w:color w:val="000000"/>
        </w:rPr>
        <w:t xml:space="preserve"> (non-hyperkeratotic)</w:t>
      </w:r>
      <w:r>
        <w:rPr>
          <w:rFonts w:ascii="標楷體" w:eastAsia="標楷體" w:hAnsi="標楷體"/>
          <w:color w:val="000000"/>
        </w:rPr>
        <w:t>、非肥厚型</w:t>
      </w:r>
      <w:r>
        <w:rPr>
          <w:rFonts w:ascii="標楷體" w:eastAsia="標楷體" w:hAnsi="標楷體"/>
          <w:color w:val="000000"/>
        </w:rPr>
        <w:t>(non-hypertrophic)</w:t>
      </w:r>
      <w:r>
        <w:rPr>
          <w:rFonts w:ascii="標楷體" w:eastAsia="標楷體" w:hAnsi="標楷體"/>
          <w:color w:val="000000"/>
        </w:rPr>
        <w:t>光</w:t>
      </w:r>
      <w:proofErr w:type="gramStart"/>
      <w:r>
        <w:rPr>
          <w:rFonts w:ascii="標楷體" w:eastAsia="標楷體" w:hAnsi="標楷體"/>
          <w:color w:val="000000"/>
        </w:rPr>
        <w:t>化性角</w:t>
      </w:r>
      <w:proofErr w:type="gramEnd"/>
      <w:r>
        <w:rPr>
          <w:rFonts w:ascii="標楷體" w:eastAsia="標楷體" w:hAnsi="標楷體"/>
          <w:color w:val="000000"/>
        </w:rPr>
        <w:t>化症</w:t>
      </w:r>
    </w:p>
    <w:p w:rsidR="00CA3F27" w:rsidRDefault="00ED050B">
      <w:pPr>
        <w:ind w:left="796" w:hanging="230"/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限用於局部性</w:t>
      </w:r>
      <w:r>
        <w:rPr>
          <w:rFonts w:ascii="標楷體" w:eastAsia="標楷體" w:hAnsi="標楷體"/>
          <w:color w:val="000000"/>
        </w:rPr>
        <w:t>治療</w:t>
      </w:r>
      <w:r>
        <w:rPr>
          <w:rFonts w:ascii="標楷體" w:eastAsia="標楷體" w:hAnsi="標楷體"/>
          <w:color w:val="000000"/>
        </w:rPr>
        <w:t>25cm</w:t>
      </w:r>
      <w:r>
        <w:rPr>
          <w:rFonts w:ascii="標楷體" w:eastAsia="標楷體" w:hAnsi="標楷體"/>
          <w:color w:val="000000"/>
          <w:vertAlign w:val="superscript"/>
        </w:rPr>
        <w:t>2</w:t>
      </w:r>
      <w:r>
        <w:rPr>
          <w:rFonts w:ascii="標楷體" w:eastAsia="標楷體" w:hAnsi="標楷體"/>
          <w:color w:val="000000"/>
        </w:rPr>
        <w:t>的連續治療面積內，</w:t>
      </w:r>
      <w:r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個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含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以上病灶數量。</w:t>
      </w:r>
      <w:r>
        <w:rPr>
          <w:rFonts w:ascii="標楷體" w:eastAsia="標楷體" w:hAnsi="標楷體"/>
          <w:color w:val="000000"/>
        </w:rPr>
        <w:t xml:space="preserve"> </w:t>
      </w:r>
    </w:p>
    <w:p w:rsidR="00CA3F27" w:rsidRDefault="00ED050B">
      <w:pPr>
        <w:ind w:left="796" w:hanging="23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</w:rPr>
        <w:t>須經皮膚科醫師診斷為光</w:t>
      </w:r>
      <w:proofErr w:type="gramStart"/>
      <w:r>
        <w:rPr>
          <w:rFonts w:ascii="標楷體" w:eastAsia="標楷體" w:hAnsi="標楷體"/>
          <w:color w:val="000000"/>
        </w:rPr>
        <w:t>化性角</w:t>
      </w:r>
      <w:proofErr w:type="gramEnd"/>
      <w:r>
        <w:rPr>
          <w:rFonts w:ascii="標楷體" w:eastAsia="標楷體" w:hAnsi="標楷體"/>
          <w:color w:val="000000"/>
        </w:rPr>
        <w:t>化症，並附照片備查。</w:t>
      </w:r>
    </w:p>
    <w:p w:rsidR="00CA3F27" w:rsidRDefault="00ED050B">
      <w:pPr>
        <w:ind w:left="796" w:hanging="23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3.</w:t>
      </w:r>
      <w:r>
        <w:rPr>
          <w:rFonts w:ascii="標楷體" w:eastAsia="標楷體" w:hAnsi="標楷體"/>
          <w:color w:val="000000"/>
        </w:rPr>
        <w:t>療程</w:t>
      </w:r>
      <w:r>
        <w:rPr>
          <w:rFonts w:ascii="標楷體" w:eastAsia="標楷體" w:hAnsi="標楷體"/>
          <w:color w:val="000000"/>
        </w:rPr>
        <w:t xml:space="preserve">: </w:t>
      </w:r>
    </w:p>
    <w:p w:rsidR="00CA3F27" w:rsidRDefault="00ED050B">
      <w:pPr>
        <w:ind w:left="1077" w:hanging="3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(1)150</w:t>
      </w:r>
      <w:r>
        <w:rPr>
          <w:rFonts w:ascii="標楷體" w:eastAsia="標楷體" w:hAnsi="標楷體"/>
          <w:color w:val="000000"/>
        </w:rPr>
        <w:t>微克</w:t>
      </w:r>
      <w:r>
        <w:rPr>
          <w:rFonts w:ascii="標楷體" w:eastAsia="標楷體" w:hAnsi="標楷體"/>
          <w:color w:val="000000"/>
        </w:rPr>
        <w:t>/</w:t>
      </w:r>
      <w:r>
        <w:rPr>
          <w:rFonts w:ascii="標楷體" w:eastAsia="標楷體" w:hAnsi="標楷體"/>
          <w:color w:val="000000"/>
        </w:rPr>
        <w:t>克</w:t>
      </w:r>
      <w:r>
        <w:rPr>
          <w:rFonts w:ascii="標楷體" w:eastAsia="標楷體" w:hAnsi="標楷體"/>
          <w:color w:val="000000"/>
        </w:rPr>
        <w:t>(0.015%)</w:t>
      </w:r>
      <w:r>
        <w:rPr>
          <w:rFonts w:ascii="標楷體" w:eastAsia="標楷體" w:hAnsi="標楷體"/>
          <w:color w:val="000000"/>
        </w:rPr>
        <w:t>用於臉部或頭皮，每天一次、連續塗抹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天，每部位每一次療程限處方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支；</w:t>
      </w:r>
      <w:r>
        <w:rPr>
          <w:rFonts w:ascii="標楷體" w:eastAsia="標楷體" w:hAnsi="標楷體"/>
          <w:color w:val="000000"/>
        </w:rPr>
        <w:t xml:space="preserve"> 500</w:t>
      </w:r>
      <w:r>
        <w:rPr>
          <w:rFonts w:ascii="標楷體" w:eastAsia="標楷體" w:hAnsi="標楷體"/>
          <w:color w:val="000000"/>
        </w:rPr>
        <w:t>微克</w:t>
      </w:r>
      <w:r>
        <w:rPr>
          <w:rFonts w:ascii="標楷體" w:eastAsia="標楷體" w:hAnsi="標楷體"/>
          <w:color w:val="000000"/>
        </w:rPr>
        <w:t>/</w:t>
      </w:r>
      <w:r>
        <w:rPr>
          <w:rFonts w:ascii="標楷體" w:eastAsia="標楷體" w:hAnsi="標楷體"/>
          <w:color w:val="000000"/>
        </w:rPr>
        <w:t>克</w:t>
      </w:r>
      <w:r>
        <w:rPr>
          <w:rFonts w:ascii="標楷體" w:eastAsia="標楷體" w:hAnsi="標楷體"/>
          <w:color w:val="000000"/>
        </w:rPr>
        <w:t>(0.05%)</w:t>
      </w:r>
      <w:r>
        <w:rPr>
          <w:rFonts w:ascii="標楷體" w:eastAsia="標楷體" w:hAnsi="標楷體"/>
          <w:color w:val="000000"/>
        </w:rPr>
        <w:t>用於身軀或四肢，每天一次，連續塗抹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天，每部位每一次療程限處方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支。</w:t>
      </w:r>
    </w:p>
    <w:p w:rsidR="00CA3F27" w:rsidRDefault="00ED050B">
      <w:pPr>
        <w:ind w:left="1077" w:hanging="3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(2)</w:t>
      </w:r>
      <w:r>
        <w:rPr>
          <w:rFonts w:ascii="標楷體" w:eastAsia="標楷體" w:hAnsi="標楷體"/>
          <w:color w:val="000000"/>
        </w:rPr>
        <w:t>若未達完全清除、或病灶復發或出現新病灶，須進行第二次療程，須距第一次療程八</w:t>
      </w:r>
      <w:proofErr w:type="gramStart"/>
      <w:r>
        <w:rPr>
          <w:rFonts w:ascii="標楷體" w:eastAsia="標楷體" w:hAnsi="標楷體"/>
          <w:color w:val="000000"/>
        </w:rPr>
        <w:t>週</w:t>
      </w:r>
      <w:proofErr w:type="gramEnd"/>
      <w:r>
        <w:rPr>
          <w:rFonts w:ascii="標楷體" w:eastAsia="標楷體" w:hAnsi="標楷體"/>
          <w:color w:val="000000"/>
        </w:rPr>
        <w:t>以上，一年內以兩療程為限。</w:t>
      </w:r>
    </w:p>
    <w:p w:rsidR="00CA3F27" w:rsidRDefault="00ED050B">
      <w:pPr>
        <w:ind w:left="1077" w:hanging="3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(3)</w:t>
      </w:r>
      <w:r>
        <w:rPr>
          <w:rFonts w:ascii="標楷體" w:eastAsia="標楷體" w:hAnsi="標楷體"/>
          <w:color w:val="000000"/>
        </w:rPr>
        <w:t>於局部治療範圍處，八</w:t>
      </w:r>
      <w:proofErr w:type="gramStart"/>
      <w:r>
        <w:rPr>
          <w:rFonts w:ascii="標楷體" w:eastAsia="標楷體" w:hAnsi="標楷體"/>
          <w:color w:val="000000"/>
        </w:rPr>
        <w:t>週</w:t>
      </w:r>
      <w:proofErr w:type="gramEnd"/>
      <w:r>
        <w:rPr>
          <w:rFonts w:ascii="標楷體" w:eastAsia="標楷體" w:hAnsi="標楷體"/>
          <w:color w:val="000000"/>
        </w:rPr>
        <w:t>內不得同時併用其他光</w:t>
      </w:r>
      <w:proofErr w:type="gramStart"/>
      <w:r>
        <w:rPr>
          <w:rFonts w:ascii="標楷體" w:eastAsia="標楷體" w:hAnsi="標楷體"/>
          <w:color w:val="000000"/>
        </w:rPr>
        <w:t>化性</w:t>
      </w:r>
      <w:proofErr w:type="gramEnd"/>
      <w:r>
        <w:rPr>
          <w:rFonts w:ascii="標楷體" w:eastAsia="標楷體" w:hAnsi="標楷體"/>
          <w:color w:val="000000"/>
        </w:rPr>
        <w:t>角化症治療，如冷凍</w:t>
      </w:r>
      <w:r>
        <w:rPr>
          <w:rFonts w:ascii="標楷體" w:eastAsia="標楷體" w:hAnsi="標楷體"/>
          <w:color w:val="000000"/>
        </w:rPr>
        <w:t>治療、雷射、電燒等。</w:t>
      </w:r>
    </w:p>
    <w:p w:rsidR="00CA3F27" w:rsidRDefault="00ED050B">
      <w:pPr>
        <w:ind w:left="4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13.15.Permethrin</w:t>
      </w:r>
      <w:r>
        <w:rPr>
          <w:rFonts w:ascii="標楷體" w:eastAsia="標楷體" w:hAnsi="標楷體"/>
          <w:color w:val="000000"/>
        </w:rPr>
        <w:t>外用製劑：（</w:t>
      </w:r>
      <w:r>
        <w:rPr>
          <w:rFonts w:ascii="標楷體" w:eastAsia="標楷體" w:hAnsi="標楷體"/>
          <w:color w:val="000000"/>
        </w:rPr>
        <w:t>106/9/1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111/6/1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113/12/1</w:t>
      </w:r>
      <w:r>
        <w:rPr>
          <w:rFonts w:ascii="標楷體" w:eastAsia="標楷體" w:hAnsi="標楷體"/>
          <w:color w:val="000000"/>
        </w:rPr>
        <w:t>）</w:t>
      </w:r>
    </w:p>
    <w:p w:rsidR="00CA3F27" w:rsidRDefault="00ED050B">
      <w:pPr>
        <w:ind w:left="796" w:hanging="23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每人每次處方使用</w:t>
      </w:r>
      <w:r>
        <w:rPr>
          <w:rFonts w:ascii="標楷體" w:eastAsia="標楷體" w:hAnsi="標楷體"/>
          <w:color w:val="000000"/>
        </w:rPr>
        <w:t>30gm</w:t>
      </w:r>
      <w:r>
        <w:rPr>
          <w:rFonts w:ascii="標楷體" w:eastAsia="標楷體" w:hAnsi="標楷體"/>
          <w:color w:val="000000"/>
        </w:rPr>
        <w:t>一支，需要時得於</w:t>
      </w:r>
      <w:r>
        <w:rPr>
          <w:rFonts w:ascii="標楷體" w:eastAsia="標楷體" w:hAnsi="標楷體"/>
          <w:color w:val="000000"/>
        </w:rPr>
        <w:t>7</w:t>
      </w:r>
      <w:r>
        <w:rPr>
          <w:rFonts w:ascii="標楷體" w:eastAsia="標楷體" w:hAnsi="標楷體"/>
          <w:color w:val="000000"/>
        </w:rPr>
        <w:t>天後再處方使用一支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限</w:t>
      </w:r>
      <w:r>
        <w:rPr>
          <w:rFonts w:ascii="標楷體" w:eastAsia="標楷體" w:hAnsi="標楷體"/>
          <w:color w:val="000000"/>
        </w:rPr>
        <w:t>30gm)</w:t>
      </w:r>
      <w:r>
        <w:rPr>
          <w:rFonts w:ascii="標楷體" w:eastAsia="標楷體" w:hAnsi="標楷體"/>
          <w:color w:val="000000"/>
        </w:rPr>
        <w:t>；若第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次處方使用</w:t>
      </w:r>
      <w:r>
        <w:rPr>
          <w:rFonts w:ascii="標楷體" w:eastAsia="標楷體" w:hAnsi="標楷體"/>
          <w:color w:val="000000"/>
        </w:rPr>
        <w:t>60gm</w:t>
      </w:r>
      <w:r>
        <w:rPr>
          <w:rFonts w:ascii="標楷體" w:eastAsia="標楷體" w:hAnsi="標楷體"/>
          <w:color w:val="000000"/>
        </w:rPr>
        <w:t>一支，則</w:t>
      </w:r>
      <w:r>
        <w:rPr>
          <w:rFonts w:ascii="標楷體" w:eastAsia="標楷體" w:hAnsi="標楷體"/>
          <w:color w:val="000000"/>
        </w:rPr>
        <w:t>7</w:t>
      </w:r>
      <w:r>
        <w:rPr>
          <w:rFonts w:ascii="標楷體" w:eastAsia="標楷體" w:hAnsi="標楷體"/>
          <w:color w:val="000000"/>
        </w:rPr>
        <w:t>天後之第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次治療不得再處方一支</w:t>
      </w:r>
      <w:r>
        <w:rPr>
          <w:rFonts w:ascii="標楷體" w:eastAsia="標楷體" w:hAnsi="標楷體"/>
          <w:color w:val="000000"/>
        </w:rPr>
        <w:t>(30gm</w:t>
      </w:r>
      <w:r>
        <w:rPr>
          <w:rFonts w:ascii="標楷體" w:eastAsia="標楷體" w:hAnsi="標楷體"/>
          <w:color w:val="000000"/>
        </w:rPr>
        <w:t>或</w:t>
      </w:r>
      <w:r>
        <w:rPr>
          <w:rFonts w:ascii="標楷體" w:eastAsia="標楷體" w:hAnsi="標楷體"/>
          <w:color w:val="000000"/>
        </w:rPr>
        <w:t>60gm)</w:t>
      </w:r>
      <w:r>
        <w:rPr>
          <w:rFonts w:ascii="標楷體" w:eastAsia="標楷體" w:hAnsi="標楷體"/>
          <w:color w:val="000000"/>
        </w:rPr>
        <w:t>。（</w:t>
      </w:r>
      <w:r>
        <w:rPr>
          <w:rFonts w:ascii="標楷體" w:eastAsia="標楷體" w:hAnsi="標楷體"/>
          <w:color w:val="000000"/>
        </w:rPr>
        <w:t>106/9/1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111/6/1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113/12/1</w:t>
      </w:r>
      <w:r>
        <w:rPr>
          <w:rFonts w:ascii="標楷體" w:eastAsia="標楷體" w:hAnsi="標楷體"/>
          <w:color w:val="000000"/>
        </w:rPr>
        <w:t>）</w:t>
      </w:r>
    </w:p>
    <w:p w:rsidR="00CA3F27" w:rsidRDefault="00ED050B">
      <w:pPr>
        <w:ind w:left="796" w:hanging="23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</w:rPr>
        <w:t>半年內需使用第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次時，須經皮膚科醫師確診處方。</w:t>
      </w:r>
    </w:p>
    <w:p w:rsidR="00CA3F27" w:rsidRDefault="00ED050B">
      <w:pPr>
        <w:ind w:left="43"/>
      </w:pPr>
      <w:r>
        <w:rPr>
          <w:rFonts w:ascii="標楷體" w:eastAsia="標楷體" w:hAnsi="標楷體"/>
          <w:color w:val="000000"/>
        </w:rPr>
        <w:t>13.16.Ivermectin (</w:t>
      </w:r>
      <w:r>
        <w:rPr>
          <w:rFonts w:ascii="標楷體" w:eastAsia="標楷體" w:hAnsi="標楷體"/>
          <w:color w:val="000000"/>
        </w:rPr>
        <w:t>如</w:t>
      </w:r>
      <w:proofErr w:type="spellStart"/>
      <w:r>
        <w:rPr>
          <w:rFonts w:ascii="標楷體" w:eastAsia="標楷體" w:hAnsi="標楷體"/>
          <w:color w:val="000000"/>
        </w:rPr>
        <w:t>Stromectol</w:t>
      </w:r>
      <w:proofErr w:type="spell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：（</w:t>
      </w:r>
      <w:r>
        <w:rPr>
          <w:rFonts w:ascii="標楷體" w:eastAsia="標楷體" w:hAnsi="標楷體"/>
          <w:color w:val="000000"/>
        </w:rPr>
        <w:t>107/8/1</w:t>
      </w:r>
      <w:r>
        <w:rPr>
          <w:rFonts w:ascii="標楷體" w:eastAsia="標楷體" w:hAnsi="標楷體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112/12/1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113/4/1</w:t>
      </w:r>
      <w:r>
        <w:rPr>
          <w:rFonts w:ascii="標楷體" w:eastAsia="標楷體" w:hAnsi="標楷體"/>
          <w:color w:val="000000"/>
        </w:rPr>
        <w:t>）</w:t>
      </w:r>
    </w:p>
    <w:p w:rsidR="00CA3F27" w:rsidRDefault="00ED050B">
      <w:pPr>
        <w:ind w:left="796" w:hanging="23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proofErr w:type="gramStart"/>
      <w:r>
        <w:rPr>
          <w:rFonts w:ascii="標楷體" w:eastAsia="標楷體" w:hAnsi="標楷體"/>
          <w:color w:val="000000"/>
        </w:rPr>
        <w:t>限鏡檢</w:t>
      </w:r>
      <w:proofErr w:type="gramEnd"/>
      <w:r>
        <w:rPr>
          <w:rFonts w:ascii="標楷體" w:eastAsia="標楷體" w:hAnsi="標楷體"/>
          <w:color w:val="000000"/>
        </w:rPr>
        <w:t>呈陽性之確診的疥瘡病患使用，須附照片備查。</w:t>
      </w:r>
    </w:p>
    <w:p w:rsidR="00CA3F27" w:rsidRDefault="00ED050B">
      <w:pPr>
        <w:ind w:left="796" w:hanging="23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2.</w:t>
      </w:r>
      <w:proofErr w:type="gramStart"/>
      <w:r>
        <w:rPr>
          <w:rFonts w:ascii="標楷體" w:eastAsia="標楷體" w:hAnsi="標楷體"/>
          <w:color w:val="000000"/>
        </w:rPr>
        <w:t>結痂性疥瘡</w:t>
      </w:r>
      <w:proofErr w:type="gramEnd"/>
      <w:r>
        <w:rPr>
          <w:rFonts w:ascii="標楷體" w:eastAsia="標楷體" w:hAnsi="標楷體"/>
          <w:color w:val="000000"/>
        </w:rPr>
        <w:t>患者，可合併外用疥瘡藥物治療，但需附照片備查，且每次處方時，限仍有新典型臨床病灶</w:t>
      </w:r>
      <w:proofErr w:type="gramStart"/>
      <w:r>
        <w:rPr>
          <w:rFonts w:ascii="標楷體" w:eastAsia="標楷體" w:hAnsi="標楷體"/>
          <w:color w:val="000000"/>
        </w:rPr>
        <w:t>及鏡檢</w:t>
      </w:r>
      <w:proofErr w:type="gramEnd"/>
      <w:r>
        <w:rPr>
          <w:rFonts w:ascii="標楷體" w:eastAsia="標楷體" w:hAnsi="標楷體"/>
          <w:color w:val="000000"/>
        </w:rPr>
        <w:t>呈陽性者。</w:t>
      </w:r>
    </w:p>
    <w:p w:rsidR="00CA3F27" w:rsidRDefault="00ED050B">
      <w:pPr>
        <w:ind w:left="796" w:hanging="230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3.</w:t>
      </w:r>
      <w:r>
        <w:rPr>
          <w:rFonts w:ascii="標楷體" w:eastAsia="標楷體" w:hAnsi="標楷體"/>
          <w:color w:val="000000"/>
          <w:kern w:val="0"/>
          <w:szCs w:val="24"/>
        </w:rPr>
        <w:t>保險對象收容於矯正機關者，依據「全民健康保險提供保險對象收容於矯正機關者醫療服務計畫」辦理。（</w:t>
      </w:r>
      <w:r>
        <w:rPr>
          <w:rFonts w:ascii="標楷體" w:eastAsia="標楷體" w:hAnsi="標楷體"/>
          <w:color w:val="000000"/>
          <w:kern w:val="0"/>
          <w:szCs w:val="24"/>
        </w:rPr>
        <w:t>112/12/1</w:t>
      </w:r>
      <w:r>
        <w:rPr>
          <w:rFonts w:ascii="標楷體" w:eastAsia="標楷體" w:hAnsi="標楷體"/>
          <w:color w:val="000000"/>
          <w:kern w:val="0"/>
          <w:szCs w:val="24"/>
        </w:rPr>
        <w:t>）</w:t>
      </w:r>
    </w:p>
    <w:p w:rsidR="00CA3F27" w:rsidRDefault="00ED050B">
      <w:pPr>
        <w:ind w:left="796" w:hanging="230"/>
      </w:pPr>
      <w:r>
        <w:rPr>
          <w:rFonts w:ascii="標楷體" w:eastAsia="標楷體" w:hAnsi="標楷體"/>
          <w:color w:val="000000"/>
          <w:kern w:val="0"/>
        </w:rPr>
        <w:t>4.</w:t>
      </w:r>
      <w:r>
        <w:rPr>
          <w:rFonts w:ascii="標楷體" w:eastAsia="標楷體" w:hAnsi="標楷體"/>
          <w:color w:val="000000"/>
          <w:kern w:val="0"/>
        </w:rPr>
        <w:t>醫師於住宿型長期照顧機構為住民處方時，不</w:t>
      </w:r>
      <w:proofErr w:type="gramStart"/>
      <w:r>
        <w:rPr>
          <w:rFonts w:ascii="標楷體" w:eastAsia="標楷體" w:hAnsi="標楷體"/>
          <w:color w:val="000000"/>
          <w:kern w:val="0"/>
        </w:rPr>
        <w:t>限鏡檢確</w:t>
      </w:r>
      <w:proofErr w:type="gramEnd"/>
      <w:r>
        <w:rPr>
          <w:rFonts w:ascii="標楷體" w:eastAsia="標楷體" w:hAnsi="標楷體"/>
          <w:color w:val="000000"/>
          <w:kern w:val="0"/>
        </w:rPr>
        <w:t>診者使用，惟須附照片備查。（</w:t>
      </w:r>
      <w:r>
        <w:rPr>
          <w:rFonts w:ascii="標楷體" w:eastAsia="標楷體" w:hAnsi="標楷體"/>
          <w:color w:val="000000"/>
          <w:kern w:val="0"/>
        </w:rPr>
        <w:t>113/4/1</w:t>
      </w:r>
      <w:r>
        <w:rPr>
          <w:rFonts w:ascii="標楷體" w:eastAsia="標楷體" w:hAnsi="標楷體"/>
          <w:color w:val="000000"/>
          <w:kern w:val="0"/>
        </w:rPr>
        <w:t>）</w:t>
      </w:r>
    </w:p>
    <w:p w:rsidR="00CA3F27" w:rsidRDefault="00ED050B">
      <w:pPr>
        <w:ind w:left="480" w:hanging="480"/>
        <w:rPr>
          <w:rFonts w:ascii="標楷體" w:eastAsia="標楷體" w:hAnsi="標楷體"/>
          <w:color w:val="000000"/>
          <w:szCs w:val="24"/>
        </w:rPr>
      </w:pPr>
      <w:bookmarkStart w:id="1" w:name="_Hlk191288397"/>
      <w:r>
        <w:rPr>
          <w:rFonts w:ascii="標楷體" w:eastAsia="標楷體" w:hAnsi="標楷體"/>
          <w:color w:val="000000"/>
          <w:szCs w:val="24"/>
        </w:rPr>
        <w:t>13.17.</w:t>
      </w:r>
      <w:bookmarkEnd w:id="1"/>
      <w:r>
        <w:rPr>
          <w:rFonts w:ascii="標楷體" w:eastAsia="標楷體" w:hAnsi="標楷體"/>
          <w:color w:val="000000"/>
          <w:szCs w:val="24"/>
        </w:rPr>
        <w:t>Dupilumab (</w:t>
      </w:r>
      <w:r>
        <w:rPr>
          <w:rFonts w:ascii="標楷體" w:eastAsia="標楷體" w:hAnsi="標楷體"/>
          <w:color w:val="000000"/>
          <w:szCs w:val="24"/>
        </w:rPr>
        <w:t>如</w:t>
      </w:r>
      <w:proofErr w:type="spellStart"/>
      <w:r>
        <w:rPr>
          <w:rFonts w:ascii="標楷體" w:eastAsia="標楷體" w:hAnsi="標楷體"/>
          <w:color w:val="000000"/>
          <w:szCs w:val="24"/>
        </w:rPr>
        <w:t>Dupixent</w:t>
      </w:r>
      <w:proofErr w:type="spellEnd"/>
      <w:r>
        <w:rPr>
          <w:rFonts w:ascii="標楷體" w:eastAsia="標楷體" w:hAnsi="標楷體"/>
          <w:color w:val="000000"/>
          <w:szCs w:val="24"/>
        </w:rPr>
        <w:t xml:space="preserve">) ; </w:t>
      </w:r>
      <w:proofErr w:type="spellStart"/>
      <w:r>
        <w:rPr>
          <w:rFonts w:ascii="標楷體" w:eastAsia="標楷體" w:hAnsi="標楷體"/>
          <w:color w:val="000000"/>
          <w:szCs w:val="24"/>
        </w:rPr>
        <w:t>upadacitinib</w:t>
      </w:r>
      <w:proofErr w:type="spellEnd"/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如</w:t>
      </w:r>
      <w:proofErr w:type="spellStart"/>
      <w:r>
        <w:rPr>
          <w:rFonts w:ascii="標楷體" w:eastAsia="標楷體" w:hAnsi="標楷體"/>
          <w:color w:val="000000"/>
          <w:szCs w:val="24"/>
        </w:rPr>
        <w:t>Rinvoq</w:t>
      </w:r>
      <w:proofErr w:type="spellEnd"/>
      <w:r>
        <w:rPr>
          <w:rFonts w:ascii="標楷體" w:eastAsia="標楷體" w:hAnsi="標楷體"/>
          <w:color w:val="000000"/>
          <w:szCs w:val="24"/>
        </w:rPr>
        <w:t xml:space="preserve">) ; </w:t>
      </w:r>
      <w:proofErr w:type="spellStart"/>
      <w:r>
        <w:rPr>
          <w:rFonts w:ascii="標楷體" w:eastAsia="標楷體" w:hAnsi="標楷體"/>
          <w:color w:val="000000"/>
          <w:szCs w:val="24"/>
        </w:rPr>
        <w:t>abrocitinib</w:t>
      </w:r>
      <w:proofErr w:type="spellEnd"/>
      <w:r>
        <w:rPr>
          <w:rFonts w:ascii="標楷體" w:eastAsia="標楷體" w:hAnsi="標楷體"/>
          <w:color w:val="000000"/>
          <w:szCs w:val="24"/>
        </w:rPr>
        <w:t xml:space="preserve"> (</w:t>
      </w:r>
      <w:r>
        <w:rPr>
          <w:rFonts w:ascii="標楷體" w:eastAsia="標楷體" w:hAnsi="標楷體"/>
          <w:color w:val="000000"/>
          <w:szCs w:val="24"/>
        </w:rPr>
        <w:t>如</w:t>
      </w:r>
      <w:proofErr w:type="spellStart"/>
      <w:r>
        <w:rPr>
          <w:rFonts w:ascii="標楷體" w:eastAsia="標楷體" w:hAnsi="標楷體"/>
          <w:color w:val="000000"/>
          <w:szCs w:val="24"/>
        </w:rPr>
        <w:t>Cibinqo</w:t>
      </w:r>
      <w:proofErr w:type="spellEnd"/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：（</w:t>
      </w:r>
      <w:r>
        <w:rPr>
          <w:rFonts w:ascii="標楷體" w:eastAsia="標楷體" w:hAnsi="標楷體"/>
          <w:color w:val="000000"/>
          <w:szCs w:val="24"/>
        </w:rPr>
        <w:t>108/12/1</w:t>
      </w:r>
      <w:r>
        <w:rPr>
          <w:rFonts w:ascii="標楷體" w:eastAsia="標楷體" w:hAnsi="標楷體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109/8/1</w:t>
      </w:r>
      <w:r>
        <w:rPr>
          <w:rFonts w:ascii="標楷體" w:eastAsia="標楷體" w:hAnsi="標楷體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111/8/1</w:t>
      </w:r>
      <w:r>
        <w:rPr>
          <w:rFonts w:ascii="標楷體" w:eastAsia="標楷體" w:hAnsi="標楷體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112/4/1</w:t>
      </w:r>
      <w:r>
        <w:rPr>
          <w:rFonts w:ascii="標楷體" w:eastAsia="標楷體" w:hAnsi="標楷體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112/6/1</w:t>
      </w:r>
      <w:r>
        <w:rPr>
          <w:rFonts w:ascii="標楷體" w:eastAsia="標楷體" w:hAnsi="標楷體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112/8/1</w:t>
      </w:r>
      <w:r>
        <w:rPr>
          <w:rFonts w:ascii="標楷體" w:eastAsia="標楷體" w:hAnsi="標楷體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113/2/1</w:t>
      </w:r>
      <w:r>
        <w:rPr>
          <w:rFonts w:ascii="標楷體" w:eastAsia="標楷體" w:hAnsi="標楷體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113/8/1</w:t>
      </w:r>
      <w:r>
        <w:rPr>
          <w:rFonts w:ascii="標楷體" w:eastAsia="標楷體" w:hAnsi="標楷體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114/6/1</w:t>
      </w:r>
      <w:r>
        <w:rPr>
          <w:rFonts w:ascii="標楷體" w:eastAsia="標楷體" w:hAnsi="標楷體"/>
          <w:color w:val="000000"/>
          <w:szCs w:val="24"/>
        </w:rPr>
        <w:t>）</w:t>
      </w:r>
    </w:p>
    <w:p w:rsidR="00CA3F27" w:rsidRDefault="00ED050B">
      <w:pPr>
        <w:snapToGrid w:val="0"/>
        <w:ind w:left="284" w:hanging="283"/>
      </w:pPr>
      <w:bookmarkStart w:id="2" w:name="_Hlk191288427"/>
      <w:r>
        <w:rPr>
          <w:rFonts w:ascii="標楷體" w:eastAsia="標楷體" w:hAnsi="標楷體"/>
          <w:szCs w:val="24"/>
        </w:rPr>
        <w:t>13.17.1.Dupilumab(</w:t>
      </w:r>
      <w:r>
        <w:rPr>
          <w:rFonts w:ascii="標楷體" w:eastAsia="標楷體" w:hAnsi="標楷體"/>
          <w:szCs w:val="24"/>
        </w:rPr>
        <w:t>如</w:t>
      </w:r>
      <w:proofErr w:type="spellStart"/>
      <w:r>
        <w:rPr>
          <w:rFonts w:ascii="標楷體" w:eastAsia="標楷體" w:hAnsi="標楷體"/>
          <w:szCs w:val="24"/>
        </w:rPr>
        <w:t>Dupixent</w:t>
      </w:r>
      <w:proofErr w:type="spellEnd"/>
      <w:r>
        <w:rPr>
          <w:rFonts w:ascii="標楷體" w:eastAsia="標楷體" w:hAnsi="標楷體"/>
          <w:szCs w:val="24"/>
        </w:rPr>
        <w:t xml:space="preserve">) ; </w:t>
      </w:r>
      <w:proofErr w:type="spellStart"/>
      <w:r>
        <w:rPr>
          <w:rFonts w:ascii="標楷體" w:eastAsia="標楷體" w:hAnsi="標楷體"/>
          <w:szCs w:val="24"/>
        </w:rPr>
        <w:t>upadacitinib</w:t>
      </w:r>
      <w:proofErr w:type="spellEnd"/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如</w:t>
      </w:r>
      <w:proofErr w:type="spellStart"/>
      <w:r>
        <w:rPr>
          <w:rFonts w:ascii="標楷體" w:eastAsia="標楷體" w:hAnsi="標楷體"/>
          <w:szCs w:val="24"/>
        </w:rPr>
        <w:t>Rinvoq</w:t>
      </w:r>
      <w:proofErr w:type="spellEnd"/>
      <w:r>
        <w:rPr>
          <w:rFonts w:ascii="標楷體" w:eastAsia="標楷體" w:hAnsi="標楷體"/>
          <w:szCs w:val="24"/>
        </w:rPr>
        <w:t xml:space="preserve">) ; </w:t>
      </w:r>
      <w:proofErr w:type="spellStart"/>
      <w:r>
        <w:rPr>
          <w:rFonts w:ascii="標楷體" w:eastAsia="標楷體" w:hAnsi="標楷體"/>
          <w:szCs w:val="24"/>
        </w:rPr>
        <w:t>abrocitinib</w:t>
      </w:r>
      <w:proofErr w:type="spellEnd"/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如</w:t>
      </w:r>
      <w:proofErr w:type="spellStart"/>
      <w:r>
        <w:rPr>
          <w:rFonts w:ascii="標楷體" w:eastAsia="標楷體" w:hAnsi="標楷體"/>
          <w:szCs w:val="24"/>
        </w:rPr>
        <w:t>Cibinqo</w:t>
      </w:r>
      <w:proofErr w:type="spellEnd"/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/>
          <w:szCs w:val="24"/>
        </w:rPr>
        <w:t>113/2/1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/>
          <w:szCs w:val="24"/>
        </w:rPr>
        <w:t>113/8/1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/>
          <w:szCs w:val="24"/>
        </w:rPr>
        <w:t>114/6/1</w:t>
      </w:r>
      <w:r>
        <w:rPr>
          <w:rFonts w:ascii="標楷體" w:eastAsia="標楷體" w:hAnsi="標楷體"/>
          <w:szCs w:val="24"/>
        </w:rPr>
        <w:t>）</w:t>
      </w:r>
      <w:r>
        <w:rPr>
          <w:rFonts w:ascii="標楷體" w:eastAsia="標楷體" w:hAnsi="標楷體"/>
          <w:szCs w:val="24"/>
        </w:rPr>
        <w:t>(12</w:t>
      </w:r>
      <w:r>
        <w:rPr>
          <w:rFonts w:ascii="標楷體" w:eastAsia="標楷體" w:hAnsi="標楷體"/>
          <w:szCs w:val="24"/>
        </w:rPr>
        <w:t>歲以上病人治療部分</w:t>
      </w:r>
      <w:r>
        <w:rPr>
          <w:rFonts w:ascii="標楷體" w:eastAsia="標楷體" w:hAnsi="標楷體"/>
          <w:szCs w:val="24"/>
        </w:rPr>
        <w:t>)</w:t>
      </w:r>
    </w:p>
    <w:bookmarkEnd w:id="2"/>
    <w:p w:rsidR="00CA3F27" w:rsidRDefault="00ED050B">
      <w:pPr>
        <w:suppressAutoHyphens w:val="0"/>
        <w:ind w:left="796" w:hanging="230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1.</w:t>
      </w:r>
      <w:r>
        <w:rPr>
          <w:rFonts w:ascii="標楷體" w:eastAsia="標楷體" w:hAnsi="標楷體"/>
          <w:color w:val="000000"/>
          <w:szCs w:val="24"/>
        </w:rPr>
        <w:t>處方科別如下：</w:t>
      </w:r>
      <w:r>
        <w:rPr>
          <w:rFonts w:ascii="標楷體" w:eastAsia="標楷體" w:hAnsi="標楷體"/>
          <w:color w:val="000000"/>
          <w:szCs w:val="24"/>
        </w:rPr>
        <w:t>(111/8/1)</w:t>
      </w:r>
    </w:p>
    <w:p w:rsidR="00CA3F27" w:rsidRDefault="00ED050B">
      <w:pPr>
        <w:suppressAutoHyphens w:val="0"/>
        <w:ind w:left="1077" w:hanging="367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lastRenderedPageBreak/>
        <w:t>(1)18</w:t>
      </w:r>
      <w:r>
        <w:rPr>
          <w:rFonts w:ascii="標楷體" w:eastAsia="標楷體" w:hAnsi="標楷體"/>
          <w:color w:val="000000"/>
          <w:szCs w:val="24"/>
        </w:rPr>
        <w:t>歲以上患者：限皮膚科及風濕免疫科專科醫師處方。</w:t>
      </w:r>
    </w:p>
    <w:p w:rsidR="00CA3F27" w:rsidRDefault="00ED050B">
      <w:pPr>
        <w:suppressAutoHyphens w:val="0"/>
        <w:ind w:left="1077" w:hanging="367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(2)12</w:t>
      </w:r>
      <w:r>
        <w:rPr>
          <w:rFonts w:ascii="標楷體" w:eastAsia="標楷體" w:hAnsi="標楷體"/>
          <w:color w:val="000000"/>
          <w:szCs w:val="24"/>
        </w:rPr>
        <w:t>歲以上至未滿</w:t>
      </w:r>
      <w:r>
        <w:rPr>
          <w:rFonts w:ascii="標楷體" w:eastAsia="標楷體" w:hAnsi="標楷體"/>
          <w:color w:val="000000"/>
          <w:szCs w:val="24"/>
        </w:rPr>
        <w:t>18</w:t>
      </w:r>
      <w:r>
        <w:rPr>
          <w:rFonts w:ascii="標楷體" w:eastAsia="標楷體" w:hAnsi="標楷體"/>
          <w:color w:val="000000"/>
          <w:szCs w:val="24"/>
        </w:rPr>
        <w:t>歲患者：限皮膚科專科醫師，或具兒童過敏免疫風濕專長之兒科專科醫師處方。</w:t>
      </w:r>
    </w:p>
    <w:p w:rsidR="00CA3F27" w:rsidRDefault="00ED050B">
      <w:pPr>
        <w:suppressAutoHyphens w:val="0"/>
        <w:ind w:left="796" w:hanging="230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2.</w:t>
      </w:r>
      <w:r>
        <w:rPr>
          <w:rFonts w:ascii="標楷體" w:eastAsia="標楷體" w:hAnsi="標楷體"/>
          <w:color w:val="000000"/>
          <w:szCs w:val="24"/>
        </w:rPr>
        <w:t>限用於經照光治療及其他系統性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全身性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治療無效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治療需</w:t>
      </w:r>
      <w:r>
        <w:rPr>
          <w:rFonts w:ascii="標楷體" w:eastAsia="標楷體" w:hAnsi="標楷體"/>
          <w:color w:val="000000"/>
          <w:szCs w:val="24"/>
        </w:rPr>
        <w:t>6</w:t>
      </w:r>
      <w:r>
        <w:rPr>
          <w:rFonts w:ascii="標楷體" w:eastAsia="標楷體" w:hAnsi="標楷體"/>
          <w:color w:val="000000"/>
          <w:szCs w:val="24"/>
        </w:rPr>
        <w:t>個月的完整療程，得合併它院就診病歷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，或因醫療因素而無法接受照光治療及其他系統性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全身性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治療之全身慢性中重度之異位性皮膚炎患者。</w:t>
      </w:r>
      <w:r>
        <w:rPr>
          <w:rFonts w:ascii="標楷體" w:eastAsia="標楷體" w:hAnsi="標楷體"/>
          <w:color w:val="000000"/>
          <w:szCs w:val="24"/>
        </w:rPr>
        <w:t>(111/8/1)</w:t>
      </w:r>
    </w:p>
    <w:p w:rsidR="00CA3F27" w:rsidRDefault="00ED050B">
      <w:pPr>
        <w:suppressAutoHyphens w:val="0"/>
        <w:ind w:left="1077" w:hanging="367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(1)</w:t>
      </w:r>
      <w:r>
        <w:rPr>
          <w:rFonts w:ascii="標楷體" w:eastAsia="標楷體" w:hAnsi="標楷體"/>
          <w:color w:val="000000"/>
          <w:szCs w:val="24"/>
        </w:rPr>
        <w:t>所稱慢性中重度之異位性皮膚炎，指病灶持續至少</w:t>
      </w:r>
      <w:r>
        <w:rPr>
          <w:rFonts w:ascii="標楷體" w:eastAsia="標楷體" w:hAnsi="標楷體"/>
          <w:color w:val="000000"/>
          <w:szCs w:val="24"/>
        </w:rPr>
        <w:t>6</w:t>
      </w:r>
      <w:r>
        <w:rPr>
          <w:rFonts w:ascii="標楷體" w:eastAsia="標楷體" w:hAnsi="標楷體"/>
          <w:color w:val="000000"/>
          <w:szCs w:val="24"/>
        </w:rPr>
        <w:t>個月，且</w:t>
      </w:r>
      <w:r>
        <w:rPr>
          <w:rFonts w:ascii="標楷體" w:eastAsia="標楷體" w:hAnsi="標楷體"/>
          <w:color w:val="000000"/>
          <w:szCs w:val="24"/>
        </w:rPr>
        <w:t xml:space="preserve">Eczema area severity index (EASI) </w:t>
      </w:r>
      <w:proofErr w:type="gramStart"/>
      <w:r>
        <w:rPr>
          <w:rFonts w:ascii="標楷體" w:eastAsia="標楷體" w:hAnsi="標楷體"/>
          <w:color w:val="000000"/>
          <w:szCs w:val="24"/>
        </w:rPr>
        <w:t>≧</w:t>
      </w:r>
      <w:proofErr w:type="gramEnd"/>
      <w:r>
        <w:rPr>
          <w:rFonts w:ascii="標楷體" w:eastAsia="標楷體" w:hAnsi="標楷體"/>
          <w:color w:val="000000"/>
          <w:szCs w:val="24"/>
        </w:rPr>
        <w:t>16</w:t>
      </w:r>
      <w:r>
        <w:rPr>
          <w:rFonts w:ascii="標楷體" w:eastAsia="標楷體" w:hAnsi="標楷體"/>
          <w:color w:val="000000"/>
          <w:szCs w:val="24"/>
        </w:rPr>
        <w:t>且異位性皮膚炎皮膚紅腫體表面積需</w:t>
      </w:r>
      <w:r>
        <w:rPr>
          <w:rFonts w:ascii="標楷體" w:eastAsia="標楷體" w:hAnsi="標楷體"/>
          <w:color w:val="000000"/>
          <w:szCs w:val="24"/>
        </w:rPr>
        <w:t>≧30%</w:t>
      </w:r>
      <w:r>
        <w:rPr>
          <w:rFonts w:ascii="標楷體" w:eastAsia="標楷體" w:hAnsi="標楷體"/>
          <w:color w:val="000000"/>
          <w:szCs w:val="24"/>
        </w:rPr>
        <w:t>且</w:t>
      </w:r>
      <w:r>
        <w:rPr>
          <w:rFonts w:ascii="標楷體" w:eastAsia="標楷體" w:hAnsi="標楷體"/>
          <w:color w:val="000000"/>
          <w:szCs w:val="24"/>
        </w:rPr>
        <w:t>Investigator's</w:t>
      </w:r>
      <w:r>
        <w:rPr>
          <w:rFonts w:ascii="標楷體" w:eastAsia="標楷體" w:hAnsi="標楷體"/>
          <w:color w:val="000000"/>
          <w:szCs w:val="24"/>
        </w:rPr>
        <w:t xml:space="preserve">  Global Assessment (IGA):3~4</w:t>
      </w:r>
      <w:r>
        <w:rPr>
          <w:rFonts w:ascii="標楷體" w:eastAsia="標楷體" w:hAnsi="標楷體"/>
          <w:color w:val="000000"/>
          <w:szCs w:val="24"/>
        </w:rPr>
        <w:t>。</w:t>
      </w:r>
      <w:r>
        <w:rPr>
          <w:rFonts w:ascii="標楷體" w:eastAsia="標楷體" w:hAnsi="標楷體"/>
          <w:color w:val="000000"/>
          <w:szCs w:val="24"/>
        </w:rPr>
        <w:t>(111/8/1)</w:t>
      </w:r>
    </w:p>
    <w:p w:rsidR="00CA3F27" w:rsidRDefault="00ED050B">
      <w:pPr>
        <w:suppressAutoHyphens w:val="0"/>
        <w:ind w:left="1133" w:hanging="425"/>
        <w:textAlignment w:val="auto"/>
        <w:rPr>
          <w:rFonts w:ascii="標楷體" w:eastAsia="標楷體" w:hAnsi="標楷體"/>
          <w:color w:val="000000"/>
          <w:szCs w:val="24"/>
        </w:rPr>
      </w:pPr>
      <w:proofErr w:type="gramStart"/>
      <w:r>
        <w:rPr>
          <w:rFonts w:ascii="標楷體" w:eastAsia="標楷體" w:hAnsi="標楷體"/>
          <w:color w:val="000000"/>
          <w:szCs w:val="24"/>
        </w:rPr>
        <w:t>註</w:t>
      </w:r>
      <w:proofErr w:type="gramEnd"/>
      <w:r>
        <w:rPr>
          <w:rFonts w:ascii="標楷體" w:eastAsia="標楷體" w:hAnsi="標楷體"/>
          <w:color w:val="000000"/>
          <w:szCs w:val="24"/>
        </w:rPr>
        <w:t>：</w:t>
      </w:r>
      <w:r>
        <w:rPr>
          <w:rFonts w:ascii="標楷體" w:eastAsia="標楷體" w:hAnsi="標楷體"/>
          <w:color w:val="000000"/>
          <w:szCs w:val="24"/>
        </w:rPr>
        <w:t>Eczema area severity index (EASI)</w:t>
      </w:r>
      <w:r>
        <w:rPr>
          <w:rFonts w:ascii="標楷體" w:eastAsia="標楷體" w:hAnsi="標楷體"/>
          <w:color w:val="000000"/>
          <w:szCs w:val="24"/>
        </w:rPr>
        <w:t>之異位性皮膚炎面積計算，只含皮膚紅腫濕疹部位，單純的皮膚</w:t>
      </w:r>
      <w:proofErr w:type="gramStart"/>
      <w:r>
        <w:rPr>
          <w:rFonts w:ascii="標楷體" w:eastAsia="標楷體" w:hAnsi="標楷體"/>
          <w:color w:val="000000"/>
          <w:szCs w:val="24"/>
        </w:rPr>
        <w:t>乾燥、</w:t>
      </w:r>
      <w:proofErr w:type="gramEnd"/>
      <w:r>
        <w:rPr>
          <w:rFonts w:ascii="標楷體" w:eastAsia="標楷體" w:hAnsi="標楷體"/>
          <w:color w:val="000000"/>
          <w:szCs w:val="24"/>
        </w:rPr>
        <w:t>脫皮、抓痕，不可列入計算。</w:t>
      </w:r>
    </w:p>
    <w:p w:rsidR="00CA3F27" w:rsidRDefault="00ED050B">
      <w:pPr>
        <w:suppressAutoHyphens w:val="0"/>
        <w:ind w:left="1077" w:hanging="367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(2)</w:t>
      </w:r>
      <w:r>
        <w:rPr>
          <w:rFonts w:ascii="標楷體" w:eastAsia="標楷體" w:hAnsi="標楷體"/>
          <w:color w:val="000000"/>
          <w:szCs w:val="24"/>
        </w:rPr>
        <w:t>所稱治療無效，指經完整療程後，</w:t>
      </w:r>
      <w:r>
        <w:rPr>
          <w:rFonts w:ascii="標楷體" w:eastAsia="標楷體" w:hAnsi="標楷體"/>
          <w:color w:val="000000"/>
          <w:szCs w:val="24"/>
        </w:rPr>
        <w:t>3</w:t>
      </w:r>
      <w:r>
        <w:rPr>
          <w:rFonts w:ascii="標楷體" w:eastAsia="標楷體" w:hAnsi="標楷體"/>
          <w:color w:val="000000"/>
          <w:szCs w:val="24"/>
        </w:rPr>
        <w:t>個月內連續兩次評估，嚴重度均符合</w:t>
      </w:r>
      <w:proofErr w:type="gramStart"/>
      <w:r>
        <w:rPr>
          <w:rFonts w:ascii="標楷體" w:eastAsia="標楷體" w:hAnsi="標楷體"/>
          <w:color w:val="000000"/>
          <w:szCs w:val="24"/>
        </w:rPr>
        <w:t>上列第</w:t>
      </w:r>
      <w:proofErr w:type="gramEnd"/>
      <w:r>
        <w:rPr>
          <w:rFonts w:ascii="標楷體" w:eastAsia="標楷體" w:hAnsi="標楷體"/>
          <w:color w:val="000000"/>
          <w:szCs w:val="24"/>
        </w:rPr>
        <w:t>(1)</w:t>
      </w:r>
      <w:r>
        <w:rPr>
          <w:rFonts w:ascii="標楷體" w:eastAsia="標楷體" w:hAnsi="標楷體"/>
          <w:color w:val="000000"/>
          <w:szCs w:val="24"/>
        </w:rPr>
        <w:t>點情況，且兩次評估</w:t>
      </w:r>
      <w:proofErr w:type="gramStart"/>
      <w:r>
        <w:rPr>
          <w:rFonts w:ascii="標楷體" w:eastAsia="標楷體" w:hAnsi="標楷體"/>
          <w:color w:val="000000"/>
          <w:szCs w:val="24"/>
        </w:rPr>
        <w:t>之間相隔至</w:t>
      </w:r>
      <w:proofErr w:type="gramEnd"/>
      <w:r>
        <w:rPr>
          <w:rFonts w:ascii="標楷體" w:eastAsia="標楷體" w:hAnsi="標楷體"/>
          <w:color w:val="000000"/>
          <w:szCs w:val="24"/>
        </w:rPr>
        <w:t>少</w:t>
      </w:r>
      <w:r>
        <w:rPr>
          <w:rFonts w:ascii="標楷體" w:eastAsia="標楷體" w:hAnsi="標楷體"/>
          <w:color w:val="000000"/>
          <w:szCs w:val="24"/>
        </w:rPr>
        <w:t>4</w:t>
      </w:r>
      <w:r>
        <w:rPr>
          <w:rFonts w:ascii="標楷體" w:eastAsia="標楷體" w:hAnsi="標楷體"/>
          <w:color w:val="000000"/>
          <w:szCs w:val="24"/>
        </w:rPr>
        <w:t>週。。</w:t>
      </w:r>
    </w:p>
    <w:p w:rsidR="00CA3F27" w:rsidRDefault="00ED050B">
      <w:pPr>
        <w:ind w:left="1276" w:hanging="3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Ⅰ.</w:t>
      </w:r>
      <w:r>
        <w:rPr>
          <w:rFonts w:ascii="標楷體" w:eastAsia="標楷體" w:hAnsi="標楷體"/>
          <w:color w:val="000000"/>
          <w:szCs w:val="24"/>
        </w:rPr>
        <w:t>治療必須包括足量之照光治療及包括以下三種系統性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全身性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治療之至少二種，包括</w:t>
      </w:r>
      <w:r>
        <w:rPr>
          <w:rFonts w:ascii="標楷體" w:eastAsia="標楷體" w:hAnsi="標楷體"/>
          <w:color w:val="000000"/>
          <w:szCs w:val="24"/>
        </w:rPr>
        <w:t>methotrexate</w:t>
      </w:r>
      <w:r>
        <w:rPr>
          <w:rFonts w:ascii="標楷體" w:eastAsia="標楷體" w:hAnsi="標楷體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azathioprine</w:t>
      </w:r>
      <w:r>
        <w:rPr>
          <w:rFonts w:ascii="標楷體" w:eastAsia="標楷體" w:hAnsi="標楷體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cyclospor</w:t>
      </w:r>
      <w:r>
        <w:rPr>
          <w:rFonts w:ascii="標楷體" w:eastAsia="標楷體" w:hAnsi="標楷體"/>
          <w:color w:val="000000"/>
          <w:szCs w:val="24"/>
        </w:rPr>
        <w:t>in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CA3F27" w:rsidRDefault="00ED050B">
      <w:pPr>
        <w:ind w:left="1276" w:hanging="3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Ⅱ.</w:t>
      </w:r>
      <w:r>
        <w:rPr>
          <w:rFonts w:ascii="標楷體" w:eastAsia="標楷體" w:hAnsi="標楷體"/>
          <w:color w:val="000000"/>
          <w:szCs w:val="24"/>
        </w:rPr>
        <w:t>照光治療應依學理，如光化療法</w:t>
      </w:r>
      <w:r>
        <w:rPr>
          <w:rFonts w:ascii="標楷體" w:eastAsia="標楷體" w:hAnsi="標楷體"/>
          <w:color w:val="000000"/>
          <w:szCs w:val="24"/>
        </w:rPr>
        <w:t>(PUVA)</w:t>
      </w:r>
      <w:r>
        <w:rPr>
          <w:rFonts w:ascii="標楷體" w:eastAsia="標楷體" w:hAnsi="標楷體"/>
          <w:color w:val="000000"/>
          <w:szCs w:val="24"/>
        </w:rPr>
        <w:t>及窄頻</w:t>
      </w:r>
      <w:r>
        <w:rPr>
          <w:rFonts w:ascii="標楷體" w:eastAsia="標楷體" w:hAnsi="標楷體"/>
          <w:color w:val="000000"/>
          <w:szCs w:val="24"/>
        </w:rPr>
        <w:t>UVB(</w:t>
      </w:r>
      <w:proofErr w:type="spellStart"/>
      <w:r>
        <w:rPr>
          <w:rFonts w:ascii="標楷體" w:eastAsia="標楷體" w:hAnsi="標楷體"/>
          <w:color w:val="000000"/>
          <w:szCs w:val="24"/>
        </w:rPr>
        <w:t>nb</w:t>
      </w:r>
      <w:proofErr w:type="spellEnd"/>
      <w:r>
        <w:rPr>
          <w:rFonts w:ascii="標楷體" w:eastAsia="標楷體" w:hAnsi="標楷體"/>
          <w:color w:val="000000"/>
          <w:szCs w:val="24"/>
        </w:rPr>
        <w:t>-UVB)</w:t>
      </w:r>
      <w:r>
        <w:rPr>
          <w:rFonts w:ascii="標楷體" w:eastAsia="標楷體" w:hAnsi="標楷體"/>
          <w:color w:val="000000"/>
          <w:szCs w:val="24"/>
        </w:rPr>
        <w:t>必須每週至少</w:t>
      </w:r>
      <w:r>
        <w:rPr>
          <w:rFonts w:ascii="標楷體" w:eastAsia="標楷體" w:hAnsi="標楷體"/>
          <w:color w:val="000000"/>
          <w:szCs w:val="24"/>
        </w:rPr>
        <w:t>2</w:t>
      </w:r>
      <w:r>
        <w:rPr>
          <w:rFonts w:ascii="標楷體" w:eastAsia="標楷體" w:hAnsi="標楷體"/>
          <w:color w:val="000000"/>
          <w:szCs w:val="24"/>
        </w:rPr>
        <w:t>次，療程達</w:t>
      </w:r>
      <w:r>
        <w:rPr>
          <w:rFonts w:ascii="標楷體" w:eastAsia="標楷體" w:hAnsi="標楷體"/>
          <w:color w:val="000000"/>
          <w:szCs w:val="24"/>
        </w:rPr>
        <w:t>12</w:t>
      </w:r>
      <w:proofErr w:type="gramStart"/>
      <w:r>
        <w:rPr>
          <w:rFonts w:ascii="標楷體" w:eastAsia="標楷體" w:hAnsi="標楷體"/>
          <w:color w:val="000000"/>
          <w:szCs w:val="24"/>
        </w:rPr>
        <w:t>週</w:t>
      </w:r>
      <w:proofErr w:type="gramEnd"/>
      <w:r>
        <w:rPr>
          <w:rFonts w:ascii="標楷體" w:eastAsia="標楷體" w:hAnsi="標楷體"/>
          <w:color w:val="000000"/>
          <w:szCs w:val="24"/>
        </w:rPr>
        <w:t>。申請時必須附病歷影印及詳細照光劑量紀錄。</w:t>
      </w:r>
    </w:p>
    <w:p w:rsidR="00CA3F27" w:rsidRDefault="00ED050B">
      <w:pPr>
        <w:ind w:left="1276" w:hanging="3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Ⅲ.</w:t>
      </w:r>
      <w:r>
        <w:rPr>
          <w:rFonts w:ascii="標楷體" w:eastAsia="標楷體" w:hAnsi="標楷體"/>
          <w:color w:val="000000"/>
          <w:szCs w:val="24"/>
        </w:rPr>
        <w:t>前開免疫抑制劑之劑量：</w:t>
      </w:r>
    </w:p>
    <w:p w:rsidR="00CA3F27" w:rsidRDefault="00ED050B">
      <w:pPr>
        <w:ind w:left="1560" w:hanging="3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i.18</w:t>
      </w:r>
      <w:r>
        <w:rPr>
          <w:rFonts w:ascii="標楷體" w:eastAsia="標楷體" w:hAnsi="標楷體"/>
          <w:color w:val="000000"/>
          <w:szCs w:val="24"/>
        </w:rPr>
        <w:t>歲以上患者：</w:t>
      </w:r>
      <w:r>
        <w:rPr>
          <w:rFonts w:ascii="標楷體" w:eastAsia="標楷體" w:hAnsi="標楷體"/>
          <w:color w:val="000000"/>
          <w:szCs w:val="24"/>
        </w:rPr>
        <w:t>Methotrexate</w:t>
      </w:r>
      <w:r>
        <w:rPr>
          <w:rFonts w:ascii="標楷體" w:eastAsia="標楷體" w:hAnsi="標楷體"/>
          <w:color w:val="000000"/>
          <w:szCs w:val="24"/>
        </w:rPr>
        <w:t>合理劑量需達每週</w:t>
      </w:r>
      <w:r>
        <w:rPr>
          <w:rFonts w:ascii="標楷體" w:eastAsia="標楷體" w:hAnsi="標楷體"/>
          <w:color w:val="000000"/>
          <w:szCs w:val="24"/>
        </w:rPr>
        <w:t>15mg</w:t>
      </w:r>
      <w:r>
        <w:rPr>
          <w:rFonts w:ascii="標楷體" w:eastAsia="標楷體" w:hAnsi="標楷體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azathioprine</w:t>
      </w:r>
      <w:r>
        <w:rPr>
          <w:rFonts w:ascii="標楷體" w:eastAsia="標楷體" w:hAnsi="標楷體"/>
          <w:color w:val="000000"/>
          <w:szCs w:val="24"/>
        </w:rPr>
        <w:t>為</w:t>
      </w:r>
      <w:r>
        <w:rPr>
          <w:rFonts w:ascii="標楷體" w:eastAsia="標楷體" w:hAnsi="標楷體"/>
          <w:color w:val="000000"/>
          <w:szCs w:val="24"/>
        </w:rPr>
        <w:t>2mg/kg/d</w:t>
      </w:r>
      <w:r>
        <w:rPr>
          <w:rFonts w:ascii="標楷體" w:eastAsia="標楷體" w:hAnsi="標楷體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cyclosporin</w:t>
      </w:r>
      <w:r>
        <w:rPr>
          <w:rFonts w:ascii="標楷體" w:eastAsia="標楷體" w:hAnsi="標楷體"/>
          <w:color w:val="000000"/>
          <w:szCs w:val="24"/>
        </w:rPr>
        <w:t>為</w:t>
      </w:r>
      <w:r>
        <w:rPr>
          <w:rFonts w:ascii="標楷體" w:eastAsia="標楷體" w:hAnsi="標楷體"/>
          <w:color w:val="000000"/>
          <w:szCs w:val="24"/>
        </w:rPr>
        <w:t>5mg/kg/d</w:t>
      </w:r>
      <w:r>
        <w:rPr>
          <w:rFonts w:ascii="標楷體" w:eastAsia="標楷體" w:hAnsi="標楷體"/>
          <w:color w:val="000000"/>
          <w:szCs w:val="24"/>
        </w:rPr>
        <w:t>，足量治療至少各分別使用</w:t>
      </w:r>
      <w:r>
        <w:rPr>
          <w:rFonts w:ascii="標楷體" w:eastAsia="標楷體" w:hAnsi="標楷體"/>
          <w:color w:val="000000"/>
          <w:szCs w:val="24"/>
        </w:rPr>
        <w:t>12</w:t>
      </w:r>
      <w:proofErr w:type="gramStart"/>
      <w:r>
        <w:rPr>
          <w:rFonts w:ascii="標楷體" w:eastAsia="標楷體" w:hAnsi="標楷體"/>
          <w:color w:val="000000"/>
          <w:szCs w:val="24"/>
        </w:rPr>
        <w:t>週</w:t>
      </w:r>
      <w:proofErr w:type="gramEnd"/>
      <w:r>
        <w:rPr>
          <w:rFonts w:ascii="標楷體" w:eastAsia="標楷體" w:hAnsi="標楷體"/>
          <w:color w:val="000000"/>
          <w:szCs w:val="24"/>
        </w:rPr>
        <w:t>無效或是有客觀證據產生不良反應</w:t>
      </w:r>
      <w:r>
        <w:rPr>
          <w:rFonts w:ascii="標楷體" w:eastAsia="標楷體" w:hAnsi="標楷體"/>
          <w:color w:val="000000"/>
          <w:szCs w:val="24"/>
        </w:rPr>
        <w:t>(</w:t>
      </w:r>
      <w:proofErr w:type="gramStart"/>
      <w:r>
        <w:rPr>
          <w:rFonts w:ascii="標楷體" w:eastAsia="標楷體" w:hAnsi="標楷體"/>
          <w:color w:val="000000"/>
          <w:szCs w:val="24"/>
        </w:rPr>
        <w:t>如相</w:t>
      </w:r>
      <w:proofErr w:type="gramEnd"/>
      <w:r>
        <w:rPr>
          <w:rFonts w:ascii="標楷體" w:eastAsia="標楷體" w:hAnsi="標楷體"/>
          <w:color w:val="000000"/>
          <w:szCs w:val="24"/>
        </w:rPr>
        <w:t>隔至少</w:t>
      </w:r>
      <w:r>
        <w:rPr>
          <w:rFonts w:ascii="標楷體" w:eastAsia="標楷體" w:hAnsi="標楷體"/>
          <w:color w:val="000000"/>
          <w:szCs w:val="24"/>
        </w:rPr>
        <w:t>4</w:t>
      </w:r>
      <w:r>
        <w:rPr>
          <w:rFonts w:ascii="標楷體" w:eastAsia="標楷體" w:hAnsi="標楷體"/>
          <w:color w:val="000000"/>
          <w:szCs w:val="24"/>
        </w:rPr>
        <w:t>週，兩次肝功能</w:t>
      </w:r>
      <w:r>
        <w:rPr>
          <w:rFonts w:ascii="標楷體" w:eastAsia="標楷體" w:hAnsi="標楷體"/>
          <w:color w:val="000000"/>
          <w:szCs w:val="24"/>
        </w:rPr>
        <w:t>AST/ALT &gt;2.5 UNL</w:t>
      </w:r>
      <w:r>
        <w:rPr>
          <w:rFonts w:ascii="標楷體" w:eastAsia="標楷體" w:hAnsi="標楷體"/>
          <w:color w:val="000000"/>
          <w:szCs w:val="24"/>
        </w:rPr>
        <w:t>，白血球低於</w:t>
      </w:r>
      <w:r>
        <w:rPr>
          <w:rFonts w:ascii="標楷體" w:eastAsia="標楷體" w:hAnsi="標楷體"/>
          <w:color w:val="000000"/>
          <w:szCs w:val="24"/>
        </w:rPr>
        <w:t>4000/</w:t>
      </w:r>
      <w:proofErr w:type="spellStart"/>
      <w:r>
        <w:rPr>
          <w:rFonts w:ascii="標楷體" w:eastAsia="標楷體" w:hAnsi="標楷體"/>
          <w:color w:val="000000"/>
          <w:szCs w:val="24"/>
        </w:rPr>
        <w:t>μL</w:t>
      </w:r>
      <w:proofErr w:type="spellEnd"/>
      <w:r>
        <w:rPr>
          <w:rFonts w:ascii="標楷體" w:eastAsia="標楷體" w:hAnsi="標楷體"/>
          <w:color w:val="000000"/>
          <w:szCs w:val="24"/>
        </w:rPr>
        <w:t>，高血壓或腎功能異常，或是至少</w:t>
      </w:r>
      <w:r>
        <w:rPr>
          <w:rFonts w:ascii="標楷體" w:eastAsia="標楷體" w:hAnsi="標楷體"/>
          <w:color w:val="000000"/>
          <w:szCs w:val="24"/>
        </w:rPr>
        <w:t>兩次經培養確診之皰疹性皮膚炎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或有禁忌症後，且不應同時合併使用兩種或以上傳統用藥。</w:t>
      </w:r>
    </w:p>
    <w:p w:rsidR="00CA3F27" w:rsidRDefault="00ED050B">
      <w:pPr>
        <w:ind w:left="1560" w:hanging="3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ii.12</w:t>
      </w:r>
      <w:r>
        <w:rPr>
          <w:rFonts w:ascii="標楷體" w:eastAsia="標楷體" w:hAnsi="標楷體"/>
          <w:color w:val="000000"/>
          <w:szCs w:val="24"/>
        </w:rPr>
        <w:t>歲以上至未滿</w:t>
      </w:r>
      <w:r>
        <w:rPr>
          <w:rFonts w:ascii="標楷體" w:eastAsia="標楷體" w:hAnsi="標楷體"/>
          <w:color w:val="000000"/>
          <w:szCs w:val="24"/>
        </w:rPr>
        <w:t>18</w:t>
      </w:r>
      <w:r>
        <w:rPr>
          <w:rFonts w:ascii="標楷體" w:eastAsia="標楷體" w:hAnsi="標楷體"/>
          <w:color w:val="000000"/>
          <w:szCs w:val="24"/>
        </w:rPr>
        <w:t>歲患者：</w:t>
      </w:r>
      <w:r>
        <w:rPr>
          <w:rFonts w:ascii="標楷體" w:eastAsia="標楷體" w:hAnsi="標楷體"/>
          <w:color w:val="000000"/>
          <w:szCs w:val="24"/>
        </w:rPr>
        <w:t>Methotrexate</w:t>
      </w:r>
      <w:r>
        <w:rPr>
          <w:rFonts w:ascii="標楷體" w:eastAsia="標楷體" w:hAnsi="標楷體"/>
          <w:color w:val="000000"/>
          <w:szCs w:val="24"/>
        </w:rPr>
        <w:t>合理劑量需達每週</w:t>
      </w:r>
      <w:r>
        <w:rPr>
          <w:rFonts w:ascii="標楷體" w:eastAsia="標楷體" w:hAnsi="標楷體"/>
          <w:color w:val="000000"/>
          <w:szCs w:val="24"/>
        </w:rPr>
        <w:t>10mg</w:t>
      </w:r>
      <w:r>
        <w:rPr>
          <w:rFonts w:ascii="標楷體" w:eastAsia="標楷體" w:hAnsi="標楷體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azathioprine</w:t>
      </w:r>
      <w:r>
        <w:rPr>
          <w:rFonts w:ascii="標楷體" w:eastAsia="標楷體" w:hAnsi="標楷體"/>
          <w:color w:val="000000"/>
          <w:szCs w:val="24"/>
        </w:rPr>
        <w:t>為</w:t>
      </w:r>
      <w:r>
        <w:rPr>
          <w:rFonts w:ascii="標楷體" w:eastAsia="標楷體" w:hAnsi="標楷體"/>
          <w:color w:val="000000"/>
          <w:szCs w:val="24"/>
        </w:rPr>
        <w:t>1.0mg/kg/d</w:t>
      </w:r>
      <w:r>
        <w:rPr>
          <w:rFonts w:ascii="標楷體" w:eastAsia="標楷體" w:hAnsi="標楷體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cyclosporin</w:t>
      </w:r>
      <w:r>
        <w:rPr>
          <w:rFonts w:ascii="標楷體" w:eastAsia="標楷體" w:hAnsi="標楷體"/>
          <w:color w:val="000000"/>
          <w:szCs w:val="24"/>
        </w:rPr>
        <w:t>為</w:t>
      </w:r>
      <w:r>
        <w:rPr>
          <w:rFonts w:ascii="標楷體" w:eastAsia="標楷體" w:hAnsi="標楷體"/>
          <w:color w:val="000000"/>
          <w:szCs w:val="24"/>
        </w:rPr>
        <w:t>2.5mg/kg/d</w:t>
      </w:r>
      <w:r>
        <w:rPr>
          <w:rFonts w:ascii="標楷體" w:eastAsia="標楷體" w:hAnsi="標楷體"/>
          <w:color w:val="000000"/>
          <w:szCs w:val="24"/>
        </w:rPr>
        <w:t>，足量治療至少各分別使用</w:t>
      </w:r>
      <w:r>
        <w:rPr>
          <w:rFonts w:ascii="標楷體" w:eastAsia="標楷體" w:hAnsi="標楷體"/>
          <w:color w:val="000000"/>
          <w:szCs w:val="24"/>
        </w:rPr>
        <w:t>12</w:t>
      </w:r>
      <w:proofErr w:type="gramStart"/>
      <w:r>
        <w:rPr>
          <w:rFonts w:ascii="標楷體" w:eastAsia="標楷體" w:hAnsi="標楷體"/>
          <w:color w:val="000000"/>
          <w:szCs w:val="24"/>
        </w:rPr>
        <w:t>週</w:t>
      </w:r>
      <w:proofErr w:type="gramEnd"/>
      <w:r>
        <w:rPr>
          <w:rFonts w:ascii="標楷體" w:eastAsia="標楷體" w:hAnsi="標楷體"/>
          <w:color w:val="000000"/>
          <w:szCs w:val="24"/>
        </w:rPr>
        <w:t>治療無效或是有客觀證據產生不良反應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如肝功能</w:t>
      </w:r>
      <w:r>
        <w:rPr>
          <w:rFonts w:ascii="標楷體" w:eastAsia="標楷體" w:hAnsi="標楷體"/>
          <w:color w:val="000000"/>
          <w:szCs w:val="24"/>
        </w:rPr>
        <w:t>AST/ALT &gt;2.5 UNL</w:t>
      </w:r>
      <w:r>
        <w:rPr>
          <w:rFonts w:ascii="標楷體" w:eastAsia="標楷體" w:hAnsi="標楷體"/>
          <w:color w:val="000000"/>
          <w:szCs w:val="24"/>
        </w:rPr>
        <w:t>，白血球低於</w:t>
      </w:r>
      <w:r>
        <w:rPr>
          <w:rFonts w:ascii="標楷體" w:eastAsia="標楷體" w:hAnsi="標楷體"/>
          <w:color w:val="000000"/>
          <w:szCs w:val="24"/>
        </w:rPr>
        <w:t>4000/</w:t>
      </w:r>
      <w:proofErr w:type="spellStart"/>
      <w:r>
        <w:rPr>
          <w:rFonts w:ascii="標楷體" w:eastAsia="標楷體" w:hAnsi="標楷體"/>
          <w:color w:val="000000"/>
          <w:szCs w:val="24"/>
        </w:rPr>
        <w:t>μL</w:t>
      </w:r>
      <w:proofErr w:type="spellEnd"/>
      <w:r>
        <w:rPr>
          <w:rFonts w:ascii="標楷體" w:eastAsia="標楷體" w:hAnsi="標楷體"/>
          <w:color w:val="000000"/>
          <w:szCs w:val="24"/>
        </w:rPr>
        <w:t>，高血壓或腎功能異常，或是經培養確診之皰疹性皮膚炎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或有禁忌症後，且不應同時合併使用兩種或以上傳統用藥。</w:t>
      </w:r>
    </w:p>
    <w:p w:rsidR="00CA3F27" w:rsidRDefault="00ED050B">
      <w:pPr>
        <w:ind w:left="1560" w:hanging="3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iii.</w:t>
      </w:r>
      <w:r>
        <w:rPr>
          <w:rFonts w:ascii="標楷體" w:eastAsia="標楷體" w:hAnsi="標楷體"/>
          <w:color w:val="000000"/>
          <w:szCs w:val="24"/>
        </w:rPr>
        <w:t>若臨床</w:t>
      </w:r>
      <w:r>
        <w:rPr>
          <w:rFonts w:ascii="標楷體" w:eastAsia="標楷體" w:hAnsi="標楷體"/>
          <w:color w:val="000000"/>
          <w:szCs w:val="24"/>
        </w:rPr>
        <w:t>上發生無法耐受或特殊體質者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例如</w:t>
      </w:r>
      <w:r>
        <w:rPr>
          <w:rFonts w:ascii="標楷體" w:eastAsia="標楷體" w:hAnsi="標楷體"/>
          <w:color w:val="000000"/>
          <w:szCs w:val="24"/>
        </w:rPr>
        <w:t>NUDT15</w:t>
      </w:r>
      <w:r>
        <w:rPr>
          <w:rFonts w:ascii="標楷體" w:eastAsia="標楷體" w:hAnsi="標楷體"/>
          <w:color w:val="000000"/>
          <w:szCs w:val="24"/>
        </w:rPr>
        <w:t>或</w:t>
      </w:r>
      <w:r>
        <w:rPr>
          <w:rFonts w:ascii="標楷體" w:eastAsia="標楷體" w:hAnsi="標楷體"/>
          <w:color w:val="000000"/>
          <w:szCs w:val="24"/>
        </w:rPr>
        <w:t>TPMT</w:t>
      </w:r>
      <w:r>
        <w:rPr>
          <w:rFonts w:ascii="標楷體" w:eastAsia="標楷體" w:hAnsi="標楷體"/>
          <w:color w:val="000000"/>
          <w:szCs w:val="24"/>
        </w:rPr>
        <w:t>代謝不良基因變異型、肝腎功能不佳、或曾因服用上述藥物發生嚴重感染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，得降低前述系統性治療藥物之合理劑量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病歷中須詳述說明及紀載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CA3F27" w:rsidRDefault="00ED050B">
      <w:pPr>
        <w:suppressAutoHyphens w:val="0"/>
        <w:ind w:left="1077" w:hanging="367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(3)</w:t>
      </w:r>
      <w:r>
        <w:rPr>
          <w:rFonts w:ascii="標楷體" w:eastAsia="標楷體" w:hAnsi="標楷體"/>
          <w:color w:val="000000"/>
          <w:szCs w:val="24"/>
        </w:rPr>
        <w:t>所稱醫療因素，係指如光過敏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經</w:t>
      </w:r>
      <w:r>
        <w:rPr>
          <w:rFonts w:ascii="標楷體" w:eastAsia="標楷體" w:hAnsi="標楷體"/>
          <w:color w:val="000000"/>
          <w:szCs w:val="24"/>
        </w:rPr>
        <w:t>photo patch test)</w:t>
      </w:r>
      <w:r>
        <w:rPr>
          <w:rFonts w:ascii="標楷體" w:eastAsia="標楷體" w:hAnsi="標楷體"/>
          <w:color w:val="000000"/>
          <w:szCs w:val="24"/>
        </w:rPr>
        <w:t>、白化症（</w:t>
      </w:r>
      <w:r>
        <w:rPr>
          <w:rFonts w:ascii="標楷體" w:eastAsia="標楷體" w:hAnsi="標楷體"/>
          <w:color w:val="000000"/>
          <w:szCs w:val="24"/>
        </w:rPr>
        <w:t>Albinism</w:t>
      </w:r>
      <w:r>
        <w:rPr>
          <w:rFonts w:ascii="標楷體" w:eastAsia="標楷體" w:hAnsi="標楷體"/>
          <w:color w:val="000000"/>
          <w:szCs w:val="24"/>
        </w:rPr>
        <w:t>）及多形性日光疹</w:t>
      </w:r>
      <w:r>
        <w:rPr>
          <w:rFonts w:ascii="標楷體" w:eastAsia="標楷體" w:hAnsi="標楷體"/>
          <w:color w:val="000000"/>
          <w:szCs w:val="24"/>
        </w:rPr>
        <w:t>(PMLE)</w:t>
      </w:r>
      <w:r>
        <w:rPr>
          <w:rFonts w:ascii="標楷體" w:eastAsia="標楷體" w:hAnsi="標楷體"/>
          <w:color w:val="000000"/>
          <w:szCs w:val="24"/>
        </w:rPr>
        <w:t>，或光照會使原有疾病惡化者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如紅斑性狼瘡</w:t>
      </w:r>
      <w:r>
        <w:rPr>
          <w:rFonts w:ascii="標楷體" w:eastAsia="標楷體" w:hAnsi="標楷體"/>
          <w:color w:val="000000"/>
          <w:szCs w:val="24"/>
        </w:rPr>
        <w:t>(LE)</w:t>
      </w:r>
      <w:r>
        <w:rPr>
          <w:rFonts w:ascii="標楷體" w:eastAsia="標楷體" w:hAnsi="標楷體"/>
          <w:color w:val="000000"/>
          <w:szCs w:val="24"/>
        </w:rPr>
        <w:t>、</w:t>
      </w:r>
      <w:proofErr w:type="gramStart"/>
      <w:r>
        <w:rPr>
          <w:rFonts w:ascii="標楷體" w:eastAsia="標楷體" w:hAnsi="標楷體"/>
          <w:color w:val="000000"/>
          <w:szCs w:val="24"/>
        </w:rPr>
        <w:t>皮肌炎</w:t>
      </w:r>
      <w:proofErr w:type="gramEnd"/>
      <w:r>
        <w:rPr>
          <w:rFonts w:ascii="標楷體" w:eastAsia="標楷體" w:hAnsi="標楷體"/>
          <w:color w:val="000000"/>
          <w:szCs w:val="24"/>
        </w:rPr>
        <w:t>(DM)</w:t>
      </w:r>
      <w:r>
        <w:rPr>
          <w:rFonts w:ascii="標楷體" w:eastAsia="標楷體" w:hAnsi="標楷體"/>
          <w:color w:val="000000"/>
          <w:szCs w:val="24"/>
        </w:rPr>
        <w:t>、</w:t>
      </w:r>
      <w:proofErr w:type="gramStart"/>
      <w:r>
        <w:rPr>
          <w:rFonts w:ascii="標楷體" w:eastAsia="標楷體" w:hAnsi="標楷體"/>
          <w:color w:val="000000"/>
          <w:szCs w:val="24"/>
        </w:rPr>
        <w:t>著色性乾</w:t>
      </w:r>
      <w:proofErr w:type="gramEnd"/>
      <w:r>
        <w:rPr>
          <w:rFonts w:ascii="標楷體" w:eastAsia="標楷體" w:hAnsi="標楷體"/>
          <w:color w:val="000000"/>
          <w:szCs w:val="24"/>
        </w:rPr>
        <w:t>皮症</w:t>
      </w:r>
      <w:r>
        <w:rPr>
          <w:rFonts w:ascii="標楷體" w:eastAsia="標楷體" w:hAnsi="標楷體"/>
          <w:color w:val="000000"/>
          <w:szCs w:val="24"/>
        </w:rPr>
        <w:t>(XP)</w:t>
      </w:r>
      <w:r>
        <w:rPr>
          <w:rFonts w:ascii="標楷體" w:eastAsia="標楷體" w:hAnsi="標楷體"/>
          <w:color w:val="000000"/>
          <w:szCs w:val="24"/>
        </w:rPr>
        <w:t>、</w:t>
      </w:r>
      <w:proofErr w:type="gramStart"/>
      <w:r>
        <w:rPr>
          <w:rFonts w:ascii="標楷體" w:eastAsia="標楷體" w:hAnsi="標楷體"/>
          <w:color w:val="000000"/>
          <w:szCs w:val="24"/>
        </w:rPr>
        <w:t>紫質</w:t>
      </w:r>
      <w:proofErr w:type="gramEnd"/>
      <w:r>
        <w:rPr>
          <w:rFonts w:ascii="標楷體" w:eastAsia="標楷體" w:hAnsi="標楷體"/>
          <w:color w:val="000000"/>
          <w:szCs w:val="24"/>
        </w:rPr>
        <w:t>症</w:t>
      </w:r>
      <w:r>
        <w:rPr>
          <w:rFonts w:ascii="標楷體" w:eastAsia="標楷體" w:hAnsi="標楷體"/>
          <w:color w:val="000000"/>
          <w:szCs w:val="24"/>
        </w:rPr>
        <w:t>(PCT)</w:t>
      </w:r>
      <w:r>
        <w:rPr>
          <w:rFonts w:ascii="標楷體" w:eastAsia="標楷體" w:hAnsi="標楷體"/>
          <w:color w:val="000000"/>
          <w:szCs w:val="24"/>
        </w:rPr>
        <w:t>及基底細胞母斑症候群</w:t>
      </w:r>
      <w:r>
        <w:rPr>
          <w:rFonts w:ascii="標楷體" w:eastAsia="標楷體" w:hAnsi="標楷體"/>
          <w:color w:val="000000"/>
          <w:szCs w:val="24"/>
        </w:rPr>
        <w:t>(NBCCS))</w:t>
      </w:r>
      <w:r>
        <w:rPr>
          <w:rFonts w:ascii="標楷體" w:eastAsia="標楷體" w:hAnsi="標楷體"/>
          <w:color w:val="000000"/>
          <w:szCs w:val="24"/>
        </w:rPr>
        <w:t>，或經皮</w:t>
      </w:r>
      <w:r>
        <w:rPr>
          <w:rFonts w:ascii="標楷體" w:eastAsia="標楷體" w:hAnsi="標楷體"/>
          <w:color w:val="000000"/>
          <w:szCs w:val="24"/>
        </w:rPr>
        <w:lastRenderedPageBreak/>
        <w:t>膚科醫師確診之光敏感性疾病〔慢性光激性皮炎</w:t>
      </w:r>
      <w:r>
        <w:rPr>
          <w:rFonts w:ascii="標楷體" w:eastAsia="標楷體" w:hAnsi="標楷體"/>
          <w:color w:val="000000"/>
          <w:szCs w:val="24"/>
        </w:rPr>
        <w:t>(chron</w:t>
      </w:r>
      <w:r>
        <w:rPr>
          <w:rFonts w:ascii="標楷體" w:eastAsia="標楷體" w:hAnsi="標楷體"/>
          <w:color w:val="000000"/>
          <w:szCs w:val="24"/>
        </w:rPr>
        <w:t>ic actinic dermatitis)</w:t>
      </w:r>
      <w:r>
        <w:rPr>
          <w:rFonts w:ascii="標楷體" w:eastAsia="標楷體" w:hAnsi="標楷體"/>
          <w:color w:val="000000"/>
          <w:szCs w:val="24"/>
        </w:rPr>
        <w:t>、日光性蕁麻疹</w:t>
      </w:r>
      <w:r>
        <w:rPr>
          <w:rFonts w:ascii="標楷體" w:eastAsia="標楷體" w:hAnsi="標楷體"/>
          <w:color w:val="000000"/>
          <w:szCs w:val="24"/>
        </w:rPr>
        <w:t>(solar urticaria)</w:t>
      </w:r>
      <w:r>
        <w:rPr>
          <w:rFonts w:ascii="標楷體" w:eastAsia="標楷體" w:hAnsi="標楷體"/>
          <w:color w:val="000000"/>
          <w:szCs w:val="24"/>
        </w:rPr>
        <w:t>〕、皮膚癌</w:t>
      </w:r>
      <w:r>
        <w:rPr>
          <w:rFonts w:ascii="標楷體" w:eastAsia="標楷體" w:hAnsi="標楷體"/>
          <w:color w:val="000000"/>
          <w:szCs w:val="24"/>
        </w:rPr>
        <w:t xml:space="preserve">(skin cancer) </w:t>
      </w:r>
      <w:r>
        <w:rPr>
          <w:rFonts w:ascii="標楷體" w:eastAsia="標楷體" w:hAnsi="標楷體"/>
          <w:color w:val="000000"/>
          <w:szCs w:val="24"/>
        </w:rPr>
        <w:t>或有皮膚癌家族史。</w:t>
      </w:r>
      <w:r>
        <w:rPr>
          <w:rFonts w:ascii="標楷體" w:eastAsia="標楷體" w:hAnsi="標楷體"/>
          <w:color w:val="000000"/>
          <w:szCs w:val="24"/>
        </w:rPr>
        <w:t xml:space="preserve"> </w:t>
      </w:r>
    </w:p>
    <w:p w:rsidR="00CA3F27" w:rsidRDefault="00ED050B">
      <w:pPr>
        <w:suppressAutoHyphens w:val="0"/>
        <w:ind w:left="796" w:hanging="230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3.</w:t>
      </w:r>
      <w:r>
        <w:rPr>
          <w:rFonts w:ascii="標楷體" w:eastAsia="標楷體" w:hAnsi="標楷體"/>
          <w:color w:val="000000"/>
          <w:szCs w:val="24"/>
        </w:rPr>
        <w:t>需經事前審查核准後使用。</w:t>
      </w:r>
    </w:p>
    <w:p w:rsidR="00CA3F27" w:rsidRDefault="00ED050B">
      <w:pPr>
        <w:suppressAutoHyphens w:val="0"/>
        <w:ind w:left="1077" w:hanging="367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(1)</w:t>
      </w:r>
      <w:r>
        <w:rPr>
          <w:rFonts w:ascii="標楷體" w:eastAsia="標楷體" w:hAnsi="標楷體"/>
          <w:color w:val="000000"/>
          <w:szCs w:val="24"/>
        </w:rPr>
        <w:t>初次申請時，以</w:t>
      </w:r>
      <w:r>
        <w:rPr>
          <w:rFonts w:ascii="標楷體" w:eastAsia="標楷體" w:hAnsi="標楷體"/>
          <w:color w:val="000000"/>
          <w:szCs w:val="24"/>
        </w:rPr>
        <w:t>6</w:t>
      </w:r>
      <w:r>
        <w:rPr>
          <w:rFonts w:ascii="標楷體" w:eastAsia="標楷體" w:hAnsi="標楷體"/>
          <w:color w:val="000000"/>
          <w:szCs w:val="24"/>
        </w:rPr>
        <w:t>個月為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/>
          <w:color w:val="000000"/>
          <w:szCs w:val="24"/>
        </w:rPr>
        <w:t>個療程。經</w:t>
      </w:r>
      <w:proofErr w:type="gramStart"/>
      <w:r>
        <w:rPr>
          <w:rFonts w:ascii="標楷體" w:eastAsia="標楷體" w:hAnsi="標楷體"/>
          <w:color w:val="000000"/>
          <w:szCs w:val="24"/>
        </w:rPr>
        <w:t>評估需續用</w:t>
      </w:r>
      <w:proofErr w:type="gramEnd"/>
      <w:r>
        <w:rPr>
          <w:rFonts w:ascii="標楷體" w:eastAsia="標楷體" w:hAnsi="標楷體"/>
          <w:color w:val="000000"/>
          <w:szCs w:val="24"/>
        </w:rPr>
        <w:t>者，每</w:t>
      </w:r>
      <w:r>
        <w:rPr>
          <w:rFonts w:ascii="標楷體" w:eastAsia="標楷體" w:hAnsi="標楷體"/>
          <w:color w:val="000000"/>
          <w:szCs w:val="24"/>
        </w:rPr>
        <w:t>6</w:t>
      </w:r>
      <w:r>
        <w:rPr>
          <w:rFonts w:ascii="標楷體" w:eastAsia="標楷體" w:hAnsi="標楷體"/>
          <w:color w:val="000000"/>
          <w:szCs w:val="24"/>
        </w:rPr>
        <w:t>個月需再次提出事前審查申請續用評估，且應於期滿前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/>
          <w:color w:val="000000"/>
          <w:szCs w:val="24"/>
        </w:rPr>
        <w:t>個月提出，並於</w:t>
      </w:r>
      <w:proofErr w:type="gramStart"/>
      <w:r>
        <w:rPr>
          <w:rFonts w:ascii="標楷體" w:eastAsia="標楷體" w:hAnsi="標楷體"/>
          <w:color w:val="000000"/>
          <w:szCs w:val="24"/>
        </w:rPr>
        <w:t>申請時檢</w:t>
      </w:r>
      <w:proofErr w:type="gramEnd"/>
      <w:r>
        <w:rPr>
          <w:rFonts w:ascii="標楷體" w:eastAsia="標楷體" w:hAnsi="標楷體"/>
          <w:color w:val="000000"/>
          <w:szCs w:val="24"/>
        </w:rPr>
        <w:t>附照片。</w:t>
      </w:r>
    </w:p>
    <w:p w:rsidR="00CA3F27" w:rsidRDefault="00ED050B">
      <w:pPr>
        <w:suppressAutoHyphens w:val="0"/>
        <w:ind w:left="1077" w:hanging="367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(2)</w:t>
      </w:r>
      <w:r>
        <w:rPr>
          <w:rFonts w:ascii="標楷體" w:eastAsia="標楷體" w:hAnsi="標楷體"/>
          <w:color w:val="000000"/>
          <w:szCs w:val="24"/>
        </w:rPr>
        <w:t>初次申請經核准，於治療滿</w:t>
      </w:r>
      <w:r>
        <w:rPr>
          <w:rFonts w:ascii="標楷體" w:eastAsia="標楷體" w:hAnsi="標楷體"/>
          <w:color w:val="000000"/>
          <w:szCs w:val="24"/>
        </w:rPr>
        <w:t>6</w:t>
      </w:r>
      <w:r>
        <w:rPr>
          <w:rFonts w:ascii="標楷體" w:eastAsia="標楷體" w:hAnsi="標楷體"/>
          <w:color w:val="000000"/>
          <w:szCs w:val="24"/>
        </w:rPr>
        <w:t>個月後，經</w:t>
      </w:r>
      <w:proofErr w:type="gramStart"/>
      <w:r>
        <w:rPr>
          <w:rFonts w:ascii="標楷體" w:eastAsia="標楷體" w:hAnsi="標楷體"/>
          <w:color w:val="000000"/>
          <w:szCs w:val="24"/>
        </w:rPr>
        <w:t>評估需續用</w:t>
      </w:r>
      <w:proofErr w:type="gramEnd"/>
      <w:r>
        <w:rPr>
          <w:rFonts w:ascii="標楷體" w:eastAsia="標楷體" w:hAnsi="標楷體"/>
          <w:color w:val="000000"/>
          <w:szCs w:val="24"/>
        </w:rPr>
        <w:t>者，申請續用時，需檢附照片證明初次申請治療</w:t>
      </w:r>
      <w:r>
        <w:rPr>
          <w:rFonts w:ascii="標楷體" w:eastAsia="標楷體" w:hAnsi="標楷體"/>
          <w:color w:val="000000"/>
          <w:szCs w:val="24"/>
        </w:rPr>
        <w:t>6</w:t>
      </w:r>
      <w:r>
        <w:rPr>
          <w:rFonts w:ascii="標楷體" w:eastAsia="標楷體" w:hAnsi="標楷體"/>
          <w:color w:val="000000"/>
          <w:szCs w:val="24"/>
        </w:rPr>
        <w:t>個月後，與初次治療前之療效達</w:t>
      </w:r>
      <w:r>
        <w:rPr>
          <w:rFonts w:ascii="標楷體" w:eastAsia="標楷體" w:hAnsi="標楷體"/>
          <w:color w:val="000000"/>
          <w:szCs w:val="24"/>
        </w:rPr>
        <w:t xml:space="preserve">EASI </w:t>
      </w:r>
      <w:r>
        <w:rPr>
          <w:rFonts w:ascii="標楷體" w:eastAsia="標楷體" w:hAnsi="標楷體"/>
          <w:color w:val="000000"/>
          <w:szCs w:val="24"/>
        </w:rPr>
        <w:t>50</w:t>
      </w:r>
      <w:r>
        <w:rPr>
          <w:rFonts w:ascii="標楷體" w:eastAsia="標楷體" w:hAnsi="標楷體"/>
          <w:color w:val="000000"/>
          <w:szCs w:val="24"/>
        </w:rPr>
        <w:t>方可申請使用。停藥超過</w:t>
      </w:r>
      <w:r>
        <w:rPr>
          <w:rFonts w:ascii="標楷體" w:eastAsia="標楷體" w:hAnsi="標楷體"/>
          <w:color w:val="000000"/>
          <w:szCs w:val="24"/>
        </w:rPr>
        <w:t>3</w:t>
      </w:r>
      <w:r>
        <w:rPr>
          <w:rFonts w:ascii="標楷體" w:eastAsia="標楷體" w:hAnsi="標楷體"/>
          <w:color w:val="000000"/>
          <w:szCs w:val="24"/>
        </w:rPr>
        <w:t>個月再申請者，視同新申請案件，否則視為續用案件。</w:t>
      </w:r>
      <w:r>
        <w:rPr>
          <w:rFonts w:ascii="標楷體" w:eastAsia="標楷體" w:hAnsi="標楷體"/>
          <w:color w:val="000000"/>
          <w:szCs w:val="24"/>
        </w:rPr>
        <w:t xml:space="preserve"> </w:t>
      </w:r>
    </w:p>
    <w:p w:rsidR="00CA3F27" w:rsidRDefault="00ED050B">
      <w:pPr>
        <w:suppressAutoHyphens w:val="0"/>
        <w:ind w:left="1077" w:hanging="367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(3)</w:t>
      </w:r>
      <w:r>
        <w:rPr>
          <w:rFonts w:ascii="標楷體" w:eastAsia="標楷體" w:hAnsi="標楷體"/>
          <w:color w:val="000000"/>
          <w:szCs w:val="24"/>
        </w:rPr>
        <w:t>使用劑量：</w:t>
      </w:r>
      <w:r>
        <w:rPr>
          <w:rFonts w:ascii="標楷體" w:eastAsia="標楷體" w:hAnsi="標楷體"/>
          <w:color w:val="000000"/>
          <w:szCs w:val="24"/>
        </w:rPr>
        <w:t>(112/4/1</w:t>
      </w:r>
      <w:r>
        <w:rPr>
          <w:rFonts w:ascii="標楷體" w:eastAsia="標楷體" w:hAnsi="標楷體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112/6/1</w:t>
      </w:r>
      <w:r>
        <w:rPr>
          <w:rFonts w:ascii="標楷體" w:eastAsia="標楷體" w:hAnsi="標楷體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112/8/1</w:t>
      </w:r>
      <w:r>
        <w:rPr>
          <w:rFonts w:ascii="標楷體" w:eastAsia="標楷體" w:hAnsi="標楷體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113/8/1)</w:t>
      </w:r>
    </w:p>
    <w:p w:rsidR="00CA3F27" w:rsidRDefault="00ED050B">
      <w:pPr>
        <w:ind w:left="1276" w:hanging="383"/>
        <w:rPr>
          <w:rFonts w:ascii="標楷體" w:eastAsia="標楷體" w:hAnsi="標楷體"/>
          <w:color w:val="000000"/>
          <w:szCs w:val="24"/>
        </w:rPr>
      </w:pPr>
      <w:proofErr w:type="spellStart"/>
      <w:r>
        <w:rPr>
          <w:rFonts w:ascii="標楷體" w:eastAsia="標楷體" w:hAnsi="標楷體"/>
          <w:color w:val="000000"/>
          <w:szCs w:val="24"/>
        </w:rPr>
        <w:t>I.dupilumab</w:t>
      </w:r>
      <w:proofErr w:type="spellEnd"/>
      <w:r>
        <w:rPr>
          <w:rFonts w:ascii="標楷體" w:eastAsia="標楷體" w:hAnsi="標楷體"/>
          <w:color w:val="000000"/>
          <w:szCs w:val="24"/>
        </w:rPr>
        <w:t>：</w:t>
      </w:r>
    </w:p>
    <w:p w:rsidR="00CA3F27" w:rsidRDefault="00ED050B">
      <w:pPr>
        <w:ind w:left="1560" w:hanging="3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i.18</w:t>
      </w:r>
      <w:r>
        <w:rPr>
          <w:rFonts w:ascii="標楷體" w:eastAsia="標楷體" w:hAnsi="標楷體"/>
          <w:color w:val="000000"/>
          <w:szCs w:val="24"/>
        </w:rPr>
        <w:t>歲以上</w:t>
      </w:r>
      <w:r>
        <w:rPr>
          <w:rFonts w:ascii="標楷體" w:eastAsia="標楷體" w:hAnsi="標楷體"/>
          <w:color w:val="000000"/>
          <w:szCs w:val="24"/>
        </w:rPr>
        <w:t>:</w:t>
      </w:r>
      <w:r>
        <w:rPr>
          <w:rFonts w:ascii="標楷體" w:eastAsia="標楷體" w:hAnsi="標楷體"/>
          <w:color w:val="000000"/>
          <w:szCs w:val="24"/>
        </w:rPr>
        <w:t>起始劑量</w:t>
      </w:r>
      <w:r>
        <w:rPr>
          <w:rFonts w:ascii="標楷體" w:eastAsia="標楷體" w:hAnsi="標楷體"/>
          <w:color w:val="000000"/>
          <w:szCs w:val="24"/>
        </w:rPr>
        <w:t>600mg (</w:t>
      </w:r>
      <w:r>
        <w:rPr>
          <w:rFonts w:ascii="標楷體" w:eastAsia="標楷體" w:hAnsi="標楷體"/>
          <w:color w:val="000000"/>
          <w:szCs w:val="24"/>
        </w:rPr>
        <w:t>限</w:t>
      </w:r>
      <w:r>
        <w:rPr>
          <w:rFonts w:ascii="標楷體" w:eastAsia="標楷體" w:hAnsi="標楷體"/>
          <w:color w:val="000000"/>
          <w:szCs w:val="24"/>
        </w:rPr>
        <w:t>300mg</w:t>
      </w:r>
      <w:r>
        <w:rPr>
          <w:rFonts w:ascii="標楷體" w:eastAsia="標楷體" w:hAnsi="標楷體"/>
          <w:color w:val="000000"/>
          <w:szCs w:val="24"/>
        </w:rPr>
        <w:t>注射</w:t>
      </w:r>
      <w:r>
        <w:rPr>
          <w:rFonts w:ascii="標楷體" w:eastAsia="標楷體" w:hAnsi="標楷體"/>
          <w:color w:val="000000"/>
          <w:szCs w:val="24"/>
        </w:rPr>
        <w:t>2</w:t>
      </w:r>
      <w:r>
        <w:rPr>
          <w:rFonts w:ascii="標楷體" w:eastAsia="標楷體" w:hAnsi="標楷體"/>
          <w:color w:val="000000"/>
          <w:szCs w:val="24"/>
        </w:rPr>
        <w:t>劑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，接著以</w:t>
      </w:r>
      <w:r>
        <w:rPr>
          <w:rFonts w:ascii="標楷體" w:eastAsia="標楷體" w:hAnsi="標楷體"/>
          <w:color w:val="000000"/>
          <w:szCs w:val="24"/>
        </w:rPr>
        <w:t>300mg</w:t>
      </w:r>
      <w:r>
        <w:rPr>
          <w:rFonts w:ascii="標楷體" w:eastAsia="標楷體" w:hAnsi="標楷體"/>
          <w:color w:val="000000"/>
          <w:szCs w:val="24"/>
        </w:rPr>
        <w:t>隔</w:t>
      </w:r>
      <w:proofErr w:type="gramStart"/>
      <w:r>
        <w:rPr>
          <w:rFonts w:ascii="標楷體" w:eastAsia="標楷體" w:hAnsi="標楷體"/>
          <w:color w:val="000000"/>
          <w:szCs w:val="24"/>
        </w:rPr>
        <w:t>週</w:t>
      </w:r>
      <w:proofErr w:type="gramEnd"/>
      <w:r>
        <w:rPr>
          <w:rFonts w:ascii="標楷體" w:eastAsia="標楷體" w:hAnsi="標楷體"/>
          <w:color w:val="000000"/>
          <w:szCs w:val="24"/>
        </w:rPr>
        <w:t>注射一次，且於</w:t>
      </w:r>
      <w:r>
        <w:rPr>
          <w:rFonts w:ascii="標楷體" w:eastAsia="標楷體" w:hAnsi="標楷體"/>
          <w:color w:val="000000"/>
          <w:szCs w:val="24"/>
        </w:rPr>
        <w:t>16</w:t>
      </w:r>
      <w:r>
        <w:rPr>
          <w:rFonts w:ascii="標楷體" w:eastAsia="標楷體" w:hAnsi="標楷體"/>
          <w:color w:val="000000"/>
          <w:szCs w:val="24"/>
        </w:rPr>
        <w:t>週時，須先行評估，至少有</w:t>
      </w:r>
      <w:r>
        <w:rPr>
          <w:rFonts w:ascii="標楷體" w:eastAsia="標楷體" w:hAnsi="標楷體"/>
          <w:color w:val="000000"/>
          <w:szCs w:val="24"/>
        </w:rPr>
        <w:t>EASI 50</w:t>
      </w:r>
      <w:r>
        <w:rPr>
          <w:rFonts w:ascii="標楷體" w:eastAsia="標楷體" w:hAnsi="標楷體"/>
          <w:color w:val="000000"/>
          <w:szCs w:val="24"/>
        </w:rPr>
        <w:t>療效方可使用。</w:t>
      </w:r>
    </w:p>
    <w:p w:rsidR="00CA3F27" w:rsidRDefault="00ED050B">
      <w:pPr>
        <w:ind w:left="1560" w:hanging="3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ii.12</w:t>
      </w:r>
      <w:r>
        <w:rPr>
          <w:rFonts w:ascii="標楷體" w:eastAsia="標楷體" w:hAnsi="標楷體"/>
          <w:color w:val="000000"/>
          <w:szCs w:val="24"/>
        </w:rPr>
        <w:t>歲以上至未滿</w:t>
      </w:r>
      <w:r>
        <w:rPr>
          <w:rFonts w:ascii="標楷體" w:eastAsia="標楷體" w:hAnsi="標楷體"/>
          <w:color w:val="000000"/>
          <w:szCs w:val="24"/>
        </w:rPr>
        <w:t>18</w:t>
      </w:r>
      <w:r>
        <w:rPr>
          <w:rFonts w:ascii="標楷體" w:eastAsia="標楷體" w:hAnsi="標楷體"/>
          <w:color w:val="000000"/>
          <w:szCs w:val="24"/>
        </w:rPr>
        <w:t>歲：</w:t>
      </w:r>
    </w:p>
    <w:p w:rsidR="00CA3F27" w:rsidRDefault="00ED050B">
      <w:pPr>
        <w:ind w:left="1701" w:hanging="513"/>
      </w:pP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新細明體" w:hAnsi="新細明體" w:cs="新細明體"/>
          <w:color w:val="000000"/>
          <w:szCs w:val="24"/>
        </w:rPr>
        <w:t>ⅰ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szCs w:val="24"/>
        </w:rPr>
        <w:t>體重</w:t>
      </w:r>
      <w:r>
        <w:rPr>
          <w:rFonts w:ascii="標楷體" w:eastAsia="標楷體" w:hAnsi="標楷體"/>
          <w:color w:val="000000"/>
          <w:szCs w:val="24"/>
        </w:rPr>
        <w:t>15</w:t>
      </w:r>
      <w:r>
        <w:rPr>
          <w:rFonts w:ascii="標楷體" w:eastAsia="標楷體" w:hAnsi="標楷體"/>
          <w:color w:val="000000"/>
          <w:szCs w:val="24"/>
        </w:rPr>
        <w:t>公斤以上至未滿</w:t>
      </w:r>
      <w:r>
        <w:rPr>
          <w:rFonts w:ascii="標楷體" w:eastAsia="標楷體" w:hAnsi="標楷體"/>
          <w:color w:val="000000"/>
          <w:szCs w:val="24"/>
        </w:rPr>
        <w:t>30</w:t>
      </w:r>
      <w:r>
        <w:rPr>
          <w:rFonts w:ascii="標楷體" w:eastAsia="標楷體" w:hAnsi="標楷體"/>
          <w:color w:val="000000"/>
          <w:szCs w:val="24"/>
        </w:rPr>
        <w:t>公斤：起始劑量</w:t>
      </w:r>
      <w:r>
        <w:rPr>
          <w:rFonts w:ascii="標楷體" w:eastAsia="標楷體" w:hAnsi="標楷體"/>
          <w:color w:val="000000"/>
          <w:szCs w:val="24"/>
        </w:rPr>
        <w:t>600mg (</w:t>
      </w:r>
      <w:r>
        <w:rPr>
          <w:rFonts w:ascii="標楷體" w:eastAsia="標楷體" w:hAnsi="標楷體"/>
          <w:color w:val="000000"/>
          <w:szCs w:val="24"/>
        </w:rPr>
        <w:t>限</w:t>
      </w:r>
      <w:r>
        <w:rPr>
          <w:rFonts w:ascii="標楷體" w:eastAsia="標楷體" w:hAnsi="標楷體"/>
          <w:color w:val="000000"/>
          <w:szCs w:val="24"/>
        </w:rPr>
        <w:t>300mg</w:t>
      </w:r>
      <w:r>
        <w:rPr>
          <w:rFonts w:ascii="標楷體" w:eastAsia="標楷體" w:hAnsi="標楷體"/>
          <w:color w:val="000000"/>
          <w:szCs w:val="24"/>
        </w:rPr>
        <w:t>注射兩劑</w:t>
      </w:r>
      <w:r>
        <w:rPr>
          <w:rFonts w:ascii="標楷體" w:eastAsia="標楷體" w:hAnsi="標楷體"/>
          <w:color w:val="000000"/>
          <w:szCs w:val="24"/>
        </w:rPr>
        <w:t xml:space="preserve">) </w:t>
      </w:r>
      <w:r>
        <w:rPr>
          <w:rFonts w:ascii="標楷體" w:eastAsia="標楷體" w:hAnsi="標楷體"/>
          <w:color w:val="000000"/>
          <w:szCs w:val="24"/>
        </w:rPr>
        <w:t>，接著以</w:t>
      </w:r>
      <w:r>
        <w:rPr>
          <w:rFonts w:ascii="標楷體" w:eastAsia="標楷體" w:hAnsi="標楷體"/>
          <w:color w:val="000000"/>
          <w:szCs w:val="24"/>
        </w:rPr>
        <w:t>300mg</w:t>
      </w:r>
      <w:r>
        <w:rPr>
          <w:rFonts w:ascii="標楷體" w:eastAsia="標楷體" w:hAnsi="標楷體"/>
          <w:color w:val="000000"/>
          <w:szCs w:val="24"/>
        </w:rPr>
        <w:t>隔</w:t>
      </w:r>
      <w:r>
        <w:rPr>
          <w:rFonts w:ascii="標楷體" w:eastAsia="標楷體" w:hAnsi="標楷體"/>
          <w:color w:val="000000"/>
          <w:szCs w:val="24"/>
        </w:rPr>
        <w:t>4</w:t>
      </w:r>
      <w:proofErr w:type="gramStart"/>
      <w:r>
        <w:rPr>
          <w:rFonts w:ascii="標楷體" w:eastAsia="標楷體" w:hAnsi="標楷體"/>
          <w:color w:val="000000"/>
          <w:szCs w:val="24"/>
        </w:rPr>
        <w:t>週</w:t>
      </w:r>
      <w:proofErr w:type="gramEnd"/>
      <w:r>
        <w:rPr>
          <w:rFonts w:ascii="標楷體" w:eastAsia="標楷體" w:hAnsi="標楷體"/>
          <w:color w:val="000000"/>
          <w:szCs w:val="24"/>
        </w:rPr>
        <w:t>注射一次，且於</w:t>
      </w:r>
      <w:r>
        <w:rPr>
          <w:rFonts w:ascii="標楷體" w:eastAsia="標楷體" w:hAnsi="標楷體"/>
          <w:color w:val="000000"/>
          <w:szCs w:val="24"/>
        </w:rPr>
        <w:t>16</w:t>
      </w:r>
      <w:r>
        <w:rPr>
          <w:rFonts w:ascii="標楷體" w:eastAsia="標楷體" w:hAnsi="標楷體"/>
          <w:color w:val="000000"/>
          <w:szCs w:val="24"/>
        </w:rPr>
        <w:t>週時，須先行評估，至少有</w:t>
      </w:r>
      <w:r>
        <w:rPr>
          <w:rFonts w:ascii="標楷體" w:eastAsia="標楷體" w:hAnsi="標楷體"/>
          <w:color w:val="000000"/>
          <w:szCs w:val="24"/>
        </w:rPr>
        <w:t>EASI 50</w:t>
      </w:r>
      <w:r>
        <w:rPr>
          <w:rFonts w:ascii="標楷體" w:eastAsia="標楷體" w:hAnsi="標楷體"/>
          <w:color w:val="000000"/>
          <w:szCs w:val="24"/>
        </w:rPr>
        <w:t>療效方可使用。</w:t>
      </w:r>
    </w:p>
    <w:p w:rsidR="00CA3F27" w:rsidRDefault="00ED050B">
      <w:pPr>
        <w:ind w:left="1701" w:hanging="513"/>
      </w:pP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新細明體" w:hAnsi="新細明體" w:cs="新細明體"/>
          <w:color w:val="000000"/>
          <w:szCs w:val="24"/>
        </w:rPr>
        <w:t>ⅱ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體重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公斤以上至未滿</w:t>
      </w:r>
      <w:r>
        <w:rPr>
          <w:rFonts w:ascii="標楷體" w:eastAsia="標楷體" w:hAnsi="標楷體"/>
          <w:szCs w:val="24"/>
        </w:rPr>
        <w:t>60</w:t>
      </w:r>
      <w:r>
        <w:rPr>
          <w:rFonts w:ascii="標楷體" w:eastAsia="標楷體" w:hAnsi="標楷體"/>
          <w:szCs w:val="24"/>
        </w:rPr>
        <w:t>公斤：起始劑量</w:t>
      </w:r>
      <w:r>
        <w:rPr>
          <w:rFonts w:ascii="標楷體" w:eastAsia="標楷體" w:hAnsi="標楷體"/>
          <w:szCs w:val="24"/>
        </w:rPr>
        <w:t>400mg (</w:t>
      </w:r>
      <w:r>
        <w:rPr>
          <w:rFonts w:ascii="標楷體" w:eastAsia="標楷體" w:hAnsi="標楷體"/>
          <w:szCs w:val="24"/>
        </w:rPr>
        <w:t>限</w:t>
      </w:r>
      <w:r>
        <w:rPr>
          <w:rFonts w:ascii="標楷體" w:eastAsia="標楷體" w:hAnsi="標楷體"/>
          <w:szCs w:val="24"/>
        </w:rPr>
        <w:t>200mg</w:t>
      </w:r>
      <w:r>
        <w:rPr>
          <w:rFonts w:ascii="標楷體" w:eastAsia="標楷體" w:hAnsi="標楷體"/>
          <w:szCs w:val="24"/>
        </w:rPr>
        <w:t>注射兩劑</w:t>
      </w:r>
      <w:r>
        <w:rPr>
          <w:rFonts w:ascii="標楷體" w:eastAsia="標楷體" w:hAnsi="標楷體"/>
          <w:szCs w:val="24"/>
        </w:rPr>
        <w:t xml:space="preserve">) </w:t>
      </w:r>
      <w:r>
        <w:rPr>
          <w:rFonts w:ascii="標楷體" w:eastAsia="標楷體" w:hAnsi="標楷體"/>
          <w:szCs w:val="24"/>
        </w:rPr>
        <w:t>，接著以</w:t>
      </w:r>
      <w:r>
        <w:rPr>
          <w:rFonts w:ascii="標楷體" w:eastAsia="標楷體" w:hAnsi="標楷體"/>
          <w:szCs w:val="24"/>
        </w:rPr>
        <w:t>200mg</w:t>
      </w:r>
      <w:r>
        <w:rPr>
          <w:rFonts w:ascii="標楷體" w:eastAsia="標楷體" w:hAnsi="標楷體"/>
          <w:szCs w:val="24"/>
        </w:rPr>
        <w:t>隔</w:t>
      </w:r>
      <w:proofErr w:type="gramStart"/>
      <w:r>
        <w:rPr>
          <w:rFonts w:ascii="標楷體" w:eastAsia="標楷體" w:hAnsi="標楷體"/>
          <w:szCs w:val="24"/>
        </w:rPr>
        <w:t>週</w:t>
      </w:r>
      <w:proofErr w:type="gramEnd"/>
      <w:r>
        <w:rPr>
          <w:rFonts w:ascii="標楷體" w:eastAsia="標楷體" w:hAnsi="標楷體"/>
          <w:szCs w:val="24"/>
        </w:rPr>
        <w:t>注射一次，且於</w:t>
      </w:r>
      <w:r>
        <w:rPr>
          <w:rFonts w:ascii="標楷體" w:eastAsia="標楷體" w:hAnsi="標楷體"/>
          <w:szCs w:val="24"/>
        </w:rPr>
        <w:t>16</w:t>
      </w:r>
      <w:r>
        <w:rPr>
          <w:rFonts w:ascii="標楷體" w:eastAsia="標楷體" w:hAnsi="標楷體"/>
          <w:szCs w:val="24"/>
        </w:rPr>
        <w:t>週時，須先行評估，至少有</w:t>
      </w:r>
      <w:r>
        <w:rPr>
          <w:rFonts w:ascii="標楷體" w:eastAsia="標楷體" w:hAnsi="標楷體"/>
          <w:szCs w:val="24"/>
        </w:rPr>
        <w:t>EASI 50</w:t>
      </w:r>
      <w:r>
        <w:rPr>
          <w:rFonts w:ascii="標楷體" w:eastAsia="標楷體" w:hAnsi="標楷體"/>
          <w:szCs w:val="24"/>
        </w:rPr>
        <w:t>療效方可使用。</w:t>
      </w:r>
    </w:p>
    <w:p w:rsidR="00CA3F27" w:rsidRDefault="00ED050B">
      <w:pPr>
        <w:ind w:left="1701" w:hanging="513"/>
      </w:pPr>
      <w:r>
        <w:rPr>
          <w:rFonts w:ascii="標楷體" w:eastAsia="標楷體" w:hAnsi="標楷體"/>
          <w:szCs w:val="24"/>
        </w:rPr>
        <w:t>(</w:t>
      </w:r>
      <w:r>
        <w:rPr>
          <w:rFonts w:ascii="新細明體" w:hAnsi="新細明體" w:cs="新細明體"/>
          <w:szCs w:val="24"/>
        </w:rPr>
        <w:t>ⅲ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體重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color w:val="000000"/>
          <w:szCs w:val="24"/>
        </w:rPr>
        <w:t>0</w:t>
      </w:r>
      <w:r>
        <w:rPr>
          <w:rFonts w:ascii="標楷體" w:eastAsia="標楷體" w:hAnsi="標楷體"/>
          <w:color w:val="000000"/>
          <w:szCs w:val="24"/>
        </w:rPr>
        <w:t>公斤以上：起始劑量</w:t>
      </w:r>
      <w:r>
        <w:rPr>
          <w:rFonts w:ascii="標楷體" w:eastAsia="標楷體" w:hAnsi="標楷體"/>
          <w:color w:val="000000"/>
          <w:szCs w:val="24"/>
        </w:rPr>
        <w:t>600mg (</w:t>
      </w:r>
      <w:r>
        <w:rPr>
          <w:rFonts w:ascii="標楷體" w:eastAsia="標楷體" w:hAnsi="標楷體"/>
          <w:color w:val="000000"/>
          <w:szCs w:val="24"/>
        </w:rPr>
        <w:t>限</w:t>
      </w:r>
      <w:r>
        <w:rPr>
          <w:rFonts w:ascii="標楷體" w:eastAsia="標楷體" w:hAnsi="標楷體"/>
          <w:color w:val="000000"/>
          <w:szCs w:val="24"/>
        </w:rPr>
        <w:t>300mg</w:t>
      </w:r>
      <w:r>
        <w:rPr>
          <w:rFonts w:ascii="標楷體" w:eastAsia="標楷體" w:hAnsi="標楷體"/>
          <w:color w:val="000000"/>
          <w:szCs w:val="24"/>
        </w:rPr>
        <w:t>注射兩劑</w:t>
      </w:r>
      <w:r>
        <w:rPr>
          <w:rFonts w:ascii="標楷體" w:eastAsia="標楷體" w:hAnsi="標楷體"/>
          <w:color w:val="000000"/>
          <w:szCs w:val="24"/>
        </w:rPr>
        <w:t xml:space="preserve">) </w:t>
      </w:r>
      <w:r>
        <w:rPr>
          <w:rFonts w:ascii="標楷體" w:eastAsia="標楷體" w:hAnsi="標楷體"/>
          <w:color w:val="000000"/>
          <w:szCs w:val="24"/>
        </w:rPr>
        <w:t>，接著以</w:t>
      </w:r>
      <w:r>
        <w:rPr>
          <w:rFonts w:ascii="標楷體" w:eastAsia="標楷體" w:hAnsi="標楷體"/>
          <w:color w:val="000000"/>
          <w:szCs w:val="24"/>
        </w:rPr>
        <w:t>300mg</w:t>
      </w:r>
      <w:r>
        <w:rPr>
          <w:rFonts w:ascii="標楷體" w:eastAsia="標楷體" w:hAnsi="標楷體"/>
          <w:color w:val="000000"/>
          <w:szCs w:val="24"/>
        </w:rPr>
        <w:t>隔</w:t>
      </w:r>
      <w:proofErr w:type="gramStart"/>
      <w:r>
        <w:rPr>
          <w:rFonts w:ascii="標楷體" w:eastAsia="標楷體" w:hAnsi="標楷體"/>
          <w:color w:val="000000"/>
          <w:szCs w:val="24"/>
        </w:rPr>
        <w:t>週</w:t>
      </w:r>
      <w:proofErr w:type="gramEnd"/>
      <w:r>
        <w:rPr>
          <w:rFonts w:ascii="標楷體" w:eastAsia="標楷體" w:hAnsi="標楷體"/>
          <w:color w:val="000000"/>
          <w:szCs w:val="24"/>
        </w:rPr>
        <w:t>注射一次，且於</w:t>
      </w:r>
      <w:r>
        <w:rPr>
          <w:rFonts w:ascii="標楷體" w:eastAsia="標楷體" w:hAnsi="標楷體"/>
          <w:color w:val="000000"/>
          <w:szCs w:val="24"/>
        </w:rPr>
        <w:t>16</w:t>
      </w:r>
      <w:r>
        <w:rPr>
          <w:rFonts w:ascii="標楷體" w:eastAsia="標楷體" w:hAnsi="標楷體"/>
          <w:color w:val="000000"/>
          <w:szCs w:val="24"/>
        </w:rPr>
        <w:t>週時，須先行評估，至少有</w:t>
      </w:r>
      <w:r>
        <w:rPr>
          <w:rFonts w:ascii="標楷體" w:eastAsia="標楷體" w:hAnsi="標楷體"/>
          <w:color w:val="000000"/>
          <w:szCs w:val="24"/>
        </w:rPr>
        <w:t>EASI 50</w:t>
      </w:r>
      <w:r>
        <w:rPr>
          <w:rFonts w:ascii="標楷體" w:eastAsia="標楷體" w:hAnsi="標楷體"/>
          <w:color w:val="000000"/>
          <w:szCs w:val="24"/>
        </w:rPr>
        <w:t>療效方可使用。</w:t>
      </w:r>
    </w:p>
    <w:p w:rsidR="00CA3F27" w:rsidRDefault="00ED050B">
      <w:pPr>
        <w:ind w:left="1276" w:hanging="383"/>
        <w:rPr>
          <w:rFonts w:ascii="標楷體" w:eastAsia="標楷體" w:hAnsi="標楷體"/>
          <w:color w:val="000000"/>
          <w:szCs w:val="24"/>
        </w:rPr>
      </w:pPr>
      <w:proofErr w:type="spellStart"/>
      <w:r>
        <w:rPr>
          <w:rFonts w:ascii="標楷體" w:eastAsia="標楷體" w:hAnsi="標楷體"/>
          <w:color w:val="000000"/>
          <w:szCs w:val="24"/>
        </w:rPr>
        <w:t>Ⅱ.upadacitinib</w:t>
      </w:r>
      <w:proofErr w:type="spellEnd"/>
      <w:r>
        <w:rPr>
          <w:rFonts w:ascii="標楷體" w:eastAsia="標楷體" w:hAnsi="標楷體"/>
          <w:color w:val="000000"/>
          <w:szCs w:val="24"/>
        </w:rPr>
        <w:t>：每日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/>
          <w:color w:val="000000"/>
          <w:szCs w:val="24"/>
        </w:rPr>
        <w:t>次</w:t>
      </w:r>
      <w:r>
        <w:rPr>
          <w:rFonts w:ascii="標楷體" w:eastAsia="標楷體" w:hAnsi="標楷體"/>
          <w:color w:val="000000"/>
          <w:szCs w:val="24"/>
        </w:rPr>
        <w:t>15mg</w:t>
      </w:r>
      <w:r>
        <w:rPr>
          <w:rFonts w:ascii="標楷體" w:eastAsia="標楷體" w:hAnsi="標楷體"/>
          <w:color w:val="000000"/>
          <w:szCs w:val="24"/>
        </w:rPr>
        <w:t>或</w:t>
      </w:r>
      <w:r>
        <w:rPr>
          <w:rFonts w:ascii="標楷體" w:eastAsia="標楷體" w:hAnsi="標楷體"/>
          <w:color w:val="000000"/>
          <w:szCs w:val="24"/>
        </w:rPr>
        <w:t>30mg</w:t>
      </w:r>
      <w:r>
        <w:rPr>
          <w:rFonts w:ascii="標楷體" w:eastAsia="標楷體" w:hAnsi="標楷體"/>
          <w:color w:val="000000"/>
          <w:szCs w:val="24"/>
        </w:rPr>
        <w:t>。</w:t>
      </w:r>
      <w:r>
        <w:rPr>
          <w:rFonts w:ascii="標楷體" w:eastAsia="標楷體" w:hAnsi="標楷體"/>
          <w:color w:val="000000"/>
          <w:szCs w:val="24"/>
        </w:rPr>
        <w:t>(112/4/1)</w:t>
      </w:r>
    </w:p>
    <w:p w:rsidR="00CA3F27" w:rsidRDefault="00ED050B">
      <w:pPr>
        <w:ind w:left="1560" w:hanging="383"/>
      </w:pPr>
      <w:proofErr w:type="spellStart"/>
      <w:r>
        <w:rPr>
          <w:rFonts w:ascii="新細明體" w:hAnsi="新細明體" w:cs="新細明體"/>
          <w:color w:val="000000"/>
          <w:szCs w:val="24"/>
        </w:rPr>
        <w:t>ⅰ</w:t>
      </w:r>
      <w:r>
        <w:rPr>
          <w:rFonts w:ascii="標楷體" w:eastAsia="標楷體" w:hAnsi="標楷體"/>
          <w:color w:val="000000"/>
          <w:szCs w:val="24"/>
        </w:rPr>
        <w:t>.EASI</w:t>
      </w:r>
      <w:proofErr w:type="spellEnd"/>
      <w:r>
        <w:rPr>
          <w:rFonts w:ascii="標楷體" w:eastAsia="標楷體" w:hAnsi="標楷體"/>
          <w:color w:val="000000"/>
          <w:szCs w:val="24"/>
        </w:rPr>
        <w:t xml:space="preserve"> 16~20</w:t>
      </w:r>
      <w:r>
        <w:rPr>
          <w:rFonts w:ascii="標楷體" w:eastAsia="標楷體" w:hAnsi="標楷體"/>
          <w:color w:val="000000"/>
          <w:szCs w:val="24"/>
        </w:rPr>
        <w:t>者：限每日使用</w:t>
      </w:r>
      <w:r>
        <w:rPr>
          <w:rFonts w:ascii="標楷體" w:eastAsia="標楷體" w:hAnsi="標楷體"/>
          <w:color w:val="000000"/>
          <w:szCs w:val="24"/>
        </w:rPr>
        <w:t>15mg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CA3F27" w:rsidRDefault="00ED050B">
      <w:pPr>
        <w:ind w:left="1560" w:hanging="383"/>
      </w:pPr>
      <w:r>
        <w:rPr>
          <w:rFonts w:ascii="新細明體" w:hAnsi="新細明體" w:cs="新細明體"/>
          <w:color w:val="000000"/>
          <w:szCs w:val="24"/>
        </w:rPr>
        <w:t>ⅱ</w:t>
      </w:r>
      <w:r>
        <w:rPr>
          <w:rFonts w:ascii="標楷體" w:eastAsia="標楷體" w:hAnsi="標楷體"/>
          <w:color w:val="000000"/>
          <w:szCs w:val="24"/>
        </w:rPr>
        <w:t>.18</w:t>
      </w:r>
      <w:r>
        <w:rPr>
          <w:rFonts w:ascii="標楷體" w:eastAsia="標楷體" w:hAnsi="標楷體"/>
          <w:color w:val="000000"/>
          <w:szCs w:val="24"/>
        </w:rPr>
        <w:t>歲以上，且</w:t>
      </w:r>
      <w:r>
        <w:rPr>
          <w:rFonts w:ascii="標楷體" w:eastAsia="標楷體" w:hAnsi="標楷體"/>
          <w:color w:val="000000"/>
          <w:szCs w:val="24"/>
        </w:rPr>
        <w:t>EASI 20</w:t>
      </w:r>
      <w:r>
        <w:rPr>
          <w:rFonts w:ascii="標楷體" w:eastAsia="標楷體" w:hAnsi="標楷體"/>
          <w:color w:val="000000"/>
          <w:szCs w:val="24"/>
        </w:rPr>
        <w:t>以上者：每日得使用</w:t>
      </w:r>
      <w:r>
        <w:rPr>
          <w:rFonts w:ascii="標楷體" w:eastAsia="標楷體" w:hAnsi="標楷體"/>
          <w:color w:val="000000"/>
          <w:szCs w:val="24"/>
        </w:rPr>
        <w:t>30mg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CA3F27" w:rsidRDefault="00ED050B">
      <w:pPr>
        <w:ind w:left="1276" w:hanging="383"/>
        <w:rPr>
          <w:rFonts w:ascii="標楷體" w:eastAsia="標楷體" w:hAnsi="標楷體"/>
          <w:color w:val="000000"/>
          <w:szCs w:val="24"/>
        </w:rPr>
      </w:pPr>
      <w:proofErr w:type="spellStart"/>
      <w:r>
        <w:rPr>
          <w:rFonts w:ascii="標楷體" w:eastAsia="標楷體" w:hAnsi="標楷體"/>
          <w:color w:val="000000"/>
          <w:szCs w:val="24"/>
        </w:rPr>
        <w:t>Ⅲ.abrocitinib</w:t>
      </w:r>
      <w:proofErr w:type="spellEnd"/>
      <w:r>
        <w:rPr>
          <w:rFonts w:ascii="標楷體" w:eastAsia="標楷體" w:hAnsi="標楷體"/>
          <w:color w:val="000000"/>
          <w:szCs w:val="24"/>
        </w:rPr>
        <w:t>：</w:t>
      </w:r>
      <w:r>
        <w:rPr>
          <w:rFonts w:ascii="標楷體" w:eastAsia="標楷體" w:hAnsi="標楷體"/>
          <w:color w:val="000000"/>
          <w:szCs w:val="24"/>
        </w:rPr>
        <w:t>(112/6/1</w:t>
      </w:r>
      <w:r>
        <w:rPr>
          <w:rFonts w:ascii="標楷體" w:eastAsia="標楷體" w:hAnsi="標楷體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113/8/1)</w:t>
      </w:r>
    </w:p>
    <w:p w:rsidR="00CA3F27" w:rsidRDefault="00ED050B">
      <w:pPr>
        <w:ind w:left="1560" w:hanging="383"/>
      </w:pPr>
      <w:r>
        <w:rPr>
          <w:rFonts w:ascii="新細明體" w:hAnsi="新細明體" w:cs="新細明體"/>
          <w:color w:val="000000"/>
          <w:szCs w:val="24"/>
        </w:rPr>
        <w:t>ⅰ</w:t>
      </w:r>
      <w:r>
        <w:rPr>
          <w:rFonts w:ascii="標楷體" w:eastAsia="標楷體" w:hAnsi="標楷體"/>
          <w:color w:val="000000"/>
          <w:szCs w:val="24"/>
        </w:rPr>
        <w:t>.</w:t>
      </w:r>
      <w:r>
        <w:rPr>
          <w:rFonts w:ascii="標楷體" w:eastAsia="標楷體" w:hAnsi="標楷體"/>
          <w:color w:val="000000"/>
          <w:szCs w:val="24"/>
        </w:rPr>
        <w:t>限使用於</w:t>
      </w:r>
      <w:r>
        <w:rPr>
          <w:rFonts w:ascii="標楷體" w:eastAsia="標楷體" w:hAnsi="標楷體"/>
          <w:color w:val="000000"/>
          <w:szCs w:val="24"/>
        </w:rPr>
        <w:t>12</w:t>
      </w:r>
      <w:r>
        <w:rPr>
          <w:rFonts w:ascii="標楷體" w:eastAsia="標楷體" w:hAnsi="標楷體"/>
          <w:color w:val="000000"/>
          <w:szCs w:val="24"/>
        </w:rPr>
        <w:t>歲以上，每日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/>
          <w:color w:val="000000"/>
          <w:szCs w:val="24"/>
        </w:rPr>
        <w:t>次</w:t>
      </w:r>
      <w:r>
        <w:rPr>
          <w:rFonts w:ascii="標楷體" w:eastAsia="標楷體" w:hAnsi="標楷體"/>
          <w:color w:val="000000"/>
          <w:szCs w:val="24"/>
        </w:rPr>
        <w:t>100mg</w:t>
      </w:r>
      <w:r>
        <w:rPr>
          <w:rFonts w:ascii="標楷體" w:eastAsia="標楷體" w:hAnsi="標楷體"/>
          <w:color w:val="000000"/>
          <w:szCs w:val="24"/>
        </w:rPr>
        <w:t>或</w:t>
      </w:r>
      <w:r>
        <w:rPr>
          <w:rFonts w:ascii="標楷體" w:eastAsia="標楷體" w:hAnsi="標楷體"/>
          <w:color w:val="000000"/>
          <w:szCs w:val="24"/>
        </w:rPr>
        <w:t>200mg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CA3F27" w:rsidRDefault="00ED050B">
      <w:pPr>
        <w:ind w:left="1560" w:hanging="383"/>
      </w:pPr>
      <w:r>
        <w:rPr>
          <w:rFonts w:ascii="新細明體" w:hAnsi="新細明體" w:cs="新細明體"/>
          <w:color w:val="000000"/>
          <w:szCs w:val="24"/>
        </w:rPr>
        <w:t>ⅱ</w:t>
      </w:r>
      <w:r>
        <w:rPr>
          <w:rFonts w:ascii="標楷體" w:eastAsia="標楷體" w:hAnsi="標楷體"/>
          <w:color w:val="000000"/>
          <w:szCs w:val="24"/>
        </w:rPr>
        <w:t>.</w:t>
      </w:r>
      <w:r>
        <w:rPr>
          <w:rFonts w:ascii="標楷體" w:eastAsia="標楷體" w:hAnsi="標楷體"/>
          <w:color w:val="000000"/>
          <w:szCs w:val="24"/>
        </w:rPr>
        <w:t>於</w:t>
      </w:r>
      <w:r>
        <w:rPr>
          <w:rFonts w:ascii="標楷體" w:eastAsia="標楷體" w:hAnsi="標楷體"/>
          <w:color w:val="000000"/>
          <w:szCs w:val="24"/>
        </w:rPr>
        <w:t>16</w:t>
      </w:r>
      <w:proofErr w:type="gramStart"/>
      <w:r>
        <w:rPr>
          <w:rFonts w:ascii="標楷體" w:eastAsia="標楷體" w:hAnsi="標楷體"/>
          <w:color w:val="000000"/>
          <w:szCs w:val="24"/>
        </w:rPr>
        <w:t>週</w:t>
      </w:r>
      <w:proofErr w:type="gramEnd"/>
      <w:r>
        <w:rPr>
          <w:rFonts w:ascii="標楷體" w:eastAsia="標楷體" w:hAnsi="標楷體"/>
          <w:color w:val="000000"/>
          <w:szCs w:val="24"/>
        </w:rPr>
        <w:t>時，須先行評估，至少有</w:t>
      </w:r>
      <w:r>
        <w:rPr>
          <w:rFonts w:ascii="標楷體" w:eastAsia="標楷體" w:hAnsi="標楷體"/>
          <w:color w:val="000000"/>
          <w:szCs w:val="24"/>
        </w:rPr>
        <w:t>EASI 50</w:t>
      </w:r>
      <w:r>
        <w:rPr>
          <w:rFonts w:ascii="標楷體" w:eastAsia="標楷體" w:hAnsi="標楷體"/>
          <w:color w:val="000000"/>
          <w:szCs w:val="24"/>
        </w:rPr>
        <w:t>療效方可使用。</w:t>
      </w:r>
    </w:p>
    <w:p w:rsidR="00CA3F27" w:rsidRDefault="00ED050B">
      <w:pPr>
        <w:suppressAutoHyphens w:val="0"/>
        <w:ind w:left="1077" w:hanging="367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(4)</w:t>
      </w:r>
      <w:r>
        <w:rPr>
          <w:rFonts w:ascii="標楷體" w:eastAsia="標楷體" w:hAnsi="標楷體"/>
          <w:color w:val="000000"/>
          <w:szCs w:val="24"/>
        </w:rPr>
        <w:t>若患者曾核准使用治療乾癬之生物製劑，需等到乾癬症狀消失後，至少兩年才能提出申請。或申請前須切片確定排除乾癬診斷並經皮膚科專科醫師確立診斷。</w:t>
      </w:r>
    </w:p>
    <w:p w:rsidR="00CA3F27" w:rsidRDefault="00ED050B">
      <w:pPr>
        <w:suppressAutoHyphens w:val="0"/>
        <w:ind w:left="1077" w:hanging="367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(5)</w:t>
      </w:r>
      <w:r>
        <w:rPr>
          <w:rFonts w:ascii="標楷體" w:eastAsia="標楷體" w:hAnsi="標楷體"/>
          <w:color w:val="000000"/>
          <w:szCs w:val="24"/>
        </w:rPr>
        <w:t>使用</w:t>
      </w:r>
      <w:proofErr w:type="spellStart"/>
      <w:r>
        <w:rPr>
          <w:rFonts w:ascii="標楷體" w:eastAsia="標楷體" w:hAnsi="標楷體"/>
          <w:color w:val="000000"/>
          <w:szCs w:val="24"/>
        </w:rPr>
        <w:t>abrocitinib</w:t>
      </w:r>
      <w:proofErr w:type="spellEnd"/>
      <w:r>
        <w:rPr>
          <w:rFonts w:ascii="標楷體" w:eastAsia="標楷體" w:hAnsi="標楷體"/>
          <w:color w:val="000000"/>
          <w:szCs w:val="24"/>
        </w:rPr>
        <w:t>時，宜紀錄患者</w:t>
      </w:r>
      <w:r>
        <w:rPr>
          <w:rFonts w:ascii="標楷體" w:eastAsia="標楷體" w:hAnsi="標楷體"/>
          <w:color w:val="000000"/>
          <w:szCs w:val="24"/>
        </w:rPr>
        <w:t>HBsAg</w:t>
      </w:r>
      <w:r>
        <w:rPr>
          <w:rFonts w:ascii="標楷體" w:eastAsia="標楷體" w:hAnsi="標楷體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B</w:t>
      </w:r>
      <w:r>
        <w:rPr>
          <w:rFonts w:ascii="標楷體" w:eastAsia="標楷體" w:hAnsi="標楷體"/>
          <w:color w:val="000000"/>
          <w:szCs w:val="24"/>
        </w:rPr>
        <w:t>型肝炎核心抗體</w:t>
      </w:r>
      <w:r>
        <w:rPr>
          <w:rFonts w:ascii="標楷體" w:eastAsia="標楷體" w:hAnsi="標楷體"/>
          <w:color w:val="000000"/>
          <w:szCs w:val="24"/>
        </w:rPr>
        <w:t xml:space="preserve"> </w:t>
      </w:r>
      <w:r>
        <w:rPr>
          <w:rFonts w:ascii="標楷體" w:eastAsia="標楷體" w:hAnsi="標楷體"/>
          <w:color w:val="000000"/>
          <w:szCs w:val="24"/>
        </w:rPr>
        <w:t>（</w:t>
      </w:r>
      <w:r>
        <w:rPr>
          <w:rFonts w:ascii="標楷體" w:eastAsia="標楷體" w:hAnsi="標楷體"/>
          <w:color w:val="000000"/>
          <w:szCs w:val="24"/>
        </w:rPr>
        <w:t>anti-</w:t>
      </w:r>
      <w:proofErr w:type="spellStart"/>
      <w:r>
        <w:rPr>
          <w:rFonts w:ascii="標楷體" w:eastAsia="標楷體" w:hAnsi="標楷體"/>
          <w:color w:val="000000"/>
          <w:szCs w:val="24"/>
        </w:rPr>
        <w:t>HBc</w:t>
      </w:r>
      <w:proofErr w:type="spellEnd"/>
      <w:r>
        <w:rPr>
          <w:rFonts w:ascii="標楷體" w:eastAsia="標楷體" w:hAnsi="標楷體"/>
          <w:color w:val="000000"/>
          <w:szCs w:val="24"/>
        </w:rPr>
        <w:t xml:space="preserve"> Ab</w:t>
      </w:r>
      <w:r>
        <w:rPr>
          <w:rFonts w:ascii="標楷體" w:eastAsia="標楷體" w:hAnsi="標楷體"/>
          <w:color w:val="000000"/>
          <w:szCs w:val="24"/>
        </w:rPr>
        <w:t>）及</w:t>
      </w:r>
      <w:r>
        <w:rPr>
          <w:rFonts w:ascii="標楷體" w:eastAsia="標楷體" w:hAnsi="標楷體"/>
          <w:color w:val="000000"/>
          <w:szCs w:val="24"/>
        </w:rPr>
        <w:t>a</w:t>
      </w:r>
      <w:r>
        <w:rPr>
          <w:rFonts w:ascii="標楷體" w:eastAsia="標楷體" w:hAnsi="標楷體"/>
          <w:color w:val="000000"/>
          <w:szCs w:val="24"/>
        </w:rPr>
        <w:t>nti-HCV</w:t>
      </w:r>
      <w:r>
        <w:rPr>
          <w:rFonts w:ascii="標楷體" w:eastAsia="標楷體" w:hAnsi="標楷體"/>
          <w:color w:val="000000"/>
          <w:szCs w:val="24"/>
        </w:rPr>
        <w:t>資料（若</w:t>
      </w:r>
      <w:r>
        <w:rPr>
          <w:rFonts w:ascii="標楷體" w:eastAsia="標楷體" w:hAnsi="標楷體"/>
          <w:color w:val="000000"/>
          <w:szCs w:val="24"/>
        </w:rPr>
        <w:t xml:space="preserve">HBsAg </w:t>
      </w:r>
      <w:r>
        <w:rPr>
          <w:rFonts w:ascii="標楷體" w:eastAsia="標楷體" w:hAnsi="標楷體"/>
          <w:color w:val="000000"/>
          <w:szCs w:val="24"/>
        </w:rPr>
        <w:t>檢驗為陽性，宜加作</w:t>
      </w:r>
      <w:r>
        <w:rPr>
          <w:rFonts w:ascii="標楷體" w:eastAsia="標楷體" w:hAnsi="標楷體"/>
          <w:color w:val="000000"/>
          <w:szCs w:val="24"/>
        </w:rPr>
        <w:t>HBV DNA</w:t>
      </w:r>
      <w:r>
        <w:rPr>
          <w:rFonts w:ascii="標楷體" w:eastAsia="標楷體" w:hAnsi="標楷體"/>
          <w:color w:val="000000"/>
          <w:szCs w:val="24"/>
        </w:rPr>
        <w:t>）。</w:t>
      </w:r>
      <w:r>
        <w:rPr>
          <w:rFonts w:ascii="標楷體" w:eastAsia="標楷體" w:hAnsi="標楷體"/>
          <w:color w:val="000000"/>
          <w:szCs w:val="24"/>
        </w:rPr>
        <w:t>(112/6/1)</w:t>
      </w:r>
    </w:p>
    <w:p w:rsidR="00CA3F27" w:rsidRDefault="00ED050B">
      <w:pPr>
        <w:suppressAutoHyphens w:val="0"/>
        <w:ind w:left="1077" w:hanging="367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(6)</w:t>
      </w:r>
      <w:proofErr w:type="spellStart"/>
      <w:r>
        <w:rPr>
          <w:rFonts w:ascii="標楷體" w:eastAsia="標楷體" w:hAnsi="標楷體"/>
          <w:color w:val="000000"/>
          <w:szCs w:val="24"/>
        </w:rPr>
        <w:t>Upadacitinib</w:t>
      </w:r>
      <w:proofErr w:type="spellEnd"/>
      <w:r>
        <w:rPr>
          <w:rFonts w:ascii="標楷體" w:eastAsia="標楷體" w:hAnsi="標楷體"/>
          <w:color w:val="000000"/>
          <w:szCs w:val="24"/>
        </w:rPr>
        <w:t>及</w:t>
      </w:r>
      <w:proofErr w:type="spellStart"/>
      <w:r>
        <w:rPr>
          <w:rFonts w:ascii="標楷體" w:eastAsia="標楷體" w:hAnsi="標楷體"/>
          <w:color w:val="000000"/>
          <w:szCs w:val="24"/>
        </w:rPr>
        <w:t>abrocitinib</w:t>
      </w:r>
      <w:proofErr w:type="spellEnd"/>
      <w:r>
        <w:rPr>
          <w:rFonts w:ascii="標楷體" w:eastAsia="標楷體" w:hAnsi="標楷體"/>
          <w:color w:val="000000"/>
          <w:szCs w:val="24"/>
        </w:rPr>
        <w:t>僅能擇</w:t>
      </w:r>
      <w:proofErr w:type="gramStart"/>
      <w:r>
        <w:rPr>
          <w:rFonts w:ascii="標楷體" w:eastAsia="標楷體" w:hAnsi="標楷體"/>
          <w:color w:val="000000"/>
          <w:szCs w:val="24"/>
        </w:rPr>
        <w:t>一</w:t>
      </w:r>
      <w:proofErr w:type="gramEnd"/>
      <w:r>
        <w:rPr>
          <w:rFonts w:ascii="標楷體" w:eastAsia="標楷體" w:hAnsi="標楷體"/>
          <w:color w:val="000000"/>
          <w:szCs w:val="24"/>
        </w:rPr>
        <w:t>使用。唯有在出現無法忍受其副作用時方可互換。</w:t>
      </w:r>
      <w:proofErr w:type="gramStart"/>
      <w:r>
        <w:rPr>
          <w:rFonts w:ascii="標楷體" w:eastAsia="標楷體" w:hAnsi="標楷體"/>
          <w:color w:val="000000"/>
          <w:szCs w:val="24"/>
        </w:rPr>
        <w:t>（</w:t>
      </w:r>
      <w:proofErr w:type="gramEnd"/>
      <w:r>
        <w:rPr>
          <w:rFonts w:ascii="標楷體" w:eastAsia="標楷體" w:hAnsi="標楷體"/>
          <w:color w:val="000000"/>
          <w:szCs w:val="24"/>
        </w:rPr>
        <w:t>113/8/1)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CA3F27" w:rsidRDefault="00ED050B">
      <w:pPr>
        <w:suppressAutoHyphens w:val="0"/>
        <w:ind w:left="796" w:hanging="230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lastRenderedPageBreak/>
        <w:t>4.</w:t>
      </w:r>
      <w:r>
        <w:rPr>
          <w:rFonts w:ascii="標楷體" w:eastAsia="標楷體" w:hAnsi="標楷體"/>
          <w:color w:val="000000"/>
          <w:szCs w:val="24"/>
        </w:rPr>
        <w:t>需排除使用的情形應參照藥物仿單資訊，重要之排除使用狀況包括：</w:t>
      </w:r>
    </w:p>
    <w:p w:rsidR="00CA3F27" w:rsidRDefault="00ED050B">
      <w:pPr>
        <w:suppressAutoHyphens w:val="0"/>
        <w:ind w:left="1077" w:hanging="367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(1)</w:t>
      </w:r>
      <w:r>
        <w:rPr>
          <w:rFonts w:ascii="標楷體" w:eastAsia="標楷體" w:hAnsi="標楷體"/>
          <w:color w:val="000000"/>
          <w:szCs w:val="24"/>
        </w:rPr>
        <w:t>懷孕或</w:t>
      </w:r>
      <w:proofErr w:type="gramStart"/>
      <w:r>
        <w:rPr>
          <w:rFonts w:ascii="標楷體" w:eastAsia="標楷體" w:hAnsi="標楷體"/>
          <w:color w:val="000000"/>
          <w:szCs w:val="24"/>
        </w:rPr>
        <w:t>正在授乳的</w:t>
      </w:r>
      <w:proofErr w:type="gramEnd"/>
      <w:r>
        <w:rPr>
          <w:rFonts w:ascii="標楷體" w:eastAsia="標楷體" w:hAnsi="標楷體"/>
          <w:color w:val="000000"/>
          <w:szCs w:val="24"/>
        </w:rPr>
        <w:t>婦女。</w:t>
      </w:r>
    </w:p>
    <w:p w:rsidR="00CA3F27" w:rsidRDefault="00ED050B">
      <w:pPr>
        <w:suppressAutoHyphens w:val="0"/>
        <w:ind w:left="1077" w:hanging="367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(2)</w:t>
      </w:r>
      <w:r>
        <w:rPr>
          <w:rFonts w:ascii="標楷體" w:eastAsia="標楷體" w:hAnsi="標楷體"/>
          <w:color w:val="000000"/>
          <w:szCs w:val="24"/>
        </w:rPr>
        <w:t>寄生蟲</w:t>
      </w:r>
      <w:r>
        <w:rPr>
          <w:rFonts w:ascii="標楷體" w:eastAsia="標楷體" w:hAnsi="標楷體"/>
          <w:color w:val="000000"/>
          <w:szCs w:val="24"/>
        </w:rPr>
        <w:t xml:space="preserve"> (</w:t>
      </w:r>
      <w:r>
        <w:rPr>
          <w:rFonts w:ascii="標楷體" w:eastAsia="標楷體" w:hAnsi="標楷體"/>
          <w:color w:val="000000"/>
          <w:szCs w:val="24"/>
        </w:rPr>
        <w:t>蠕蟲</w:t>
      </w:r>
      <w:r>
        <w:rPr>
          <w:rFonts w:ascii="標楷體" w:eastAsia="標楷體" w:hAnsi="標楷體"/>
          <w:color w:val="000000"/>
          <w:szCs w:val="24"/>
        </w:rPr>
        <w:t xml:space="preserve">) </w:t>
      </w:r>
      <w:r>
        <w:rPr>
          <w:rFonts w:ascii="標楷體" w:eastAsia="標楷體" w:hAnsi="標楷體"/>
          <w:color w:val="000000"/>
          <w:szCs w:val="24"/>
        </w:rPr>
        <w:t>感染。</w:t>
      </w:r>
    </w:p>
    <w:p w:rsidR="00CA3F27" w:rsidRDefault="00ED050B">
      <w:pPr>
        <w:suppressAutoHyphens w:val="0"/>
        <w:ind w:left="1077" w:hanging="367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(3)</w:t>
      </w:r>
      <w:r>
        <w:rPr>
          <w:rFonts w:ascii="標楷體" w:eastAsia="標楷體" w:hAnsi="標楷體"/>
          <w:color w:val="000000"/>
          <w:szCs w:val="24"/>
        </w:rPr>
        <w:t>活動性嚴重全身性感染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使用</w:t>
      </w:r>
      <w:proofErr w:type="spellStart"/>
      <w:r>
        <w:rPr>
          <w:rFonts w:ascii="標楷體" w:eastAsia="標楷體" w:hAnsi="標楷體"/>
          <w:color w:val="000000"/>
          <w:szCs w:val="24"/>
        </w:rPr>
        <w:t>abrocitnib</w:t>
      </w:r>
      <w:proofErr w:type="spellEnd"/>
      <w:r>
        <w:rPr>
          <w:rFonts w:ascii="標楷體" w:eastAsia="標楷體" w:hAnsi="標楷體"/>
          <w:color w:val="000000"/>
          <w:szCs w:val="24"/>
        </w:rPr>
        <w:t>者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。</w:t>
      </w:r>
      <w:r>
        <w:rPr>
          <w:rFonts w:ascii="標楷體" w:eastAsia="標楷體" w:hAnsi="標楷體"/>
          <w:color w:val="000000"/>
          <w:szCs w:val="24"/>
        </w:rPr>
        <w:t>(112/6/1)</w:t>
      </w:r>
    </w:p>
    <w:p w:rsidR="00CA3F27" w:rsidRDefault="00ED050B">
      <w:pPr>
        <w:suppressAutoHyphens w:val="0"/>
        <w:ind w:left="796" w:hanging="230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5.</w:t>
      </w:r>
      <w:r>
        <w:rPr>
          <w:rFonts w:ascii="標楷體" w:eastAsia="標楷體" w:hAnsi="標楷體"/>
          <w:color w:val="000000"/>
          <w:szCs w:val="24"/>
        </w:rPr>
        <w:t>需停止治療應參照藥物仿單之禁忌情形，如果發生下列現象應停止治療：</w:t>
      </w:r>
    </w:p>
    <w:p w:rsidR="00CA3F27" w:rsidRDefault="00ED050B">
      <w:pPr>
        <w:suppressAutoHyphens w:val="0"/>
        <w:ind w:left="1077" w:hanging="367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(1)</w:t>
      </w:r>
      <w:r>
        <w:rPr>
          <w:rFonts w:ascii="標楷體" w:eastAsia="標楷體" w:hAnsi="標楷體"/>
          <w:color w:val="000000"/>
          <w:szCs w:val="24"/>
        </w:rPr>
        <w:t>不良事件，包</w:t>
      </w:r>
      <w:r>
        <w:rPr>
          <w:rFonts w:ascii="標楷體" w:eastAsia="標楷體" w:hAnsi="標楷體"/>
          <w:color w:val="000000"/>
          <w:szCs w:val="24"/>
        </w:rPr>
        <w:t>括：</w:t>
      </w:r>
    </w:p>
    <w:p w:rsidR="00CA3F27" w:rsidRDefault="00ED050B">
      <w:pPr>
        <w:ind w:left="1276" w:hanging="3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Ⅰ.</w:t>
      </w:r>
      <w:r>
        <w:rPr>
          <w:rFonts w:ascii="標楷體" w:eastAsia="標楷體" w:hAnsi="標楷體"/>
          <w:color w:val="000000"/>
          <w:szCs w:val="24"/>
        </w:rPr>
        <w:t>惡性腫瘤。</w:t>
      </w:r>
    </w:p>
    <w:p w:rsidR="00CA3F27" w:rsidRDefault="00ED050B">
      <w:pPr>
        <w:ind w:left="1276" w:hanging="3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Ⅱ.</w:t>
      </w:r>
      <w:r>
        <w:rPr>
          <w:rFonts w:ascii="標楷體" w:eastAsia="標楷體" w:hAnsi="標楷體"/>
          <w:color w:val="000000"/>
          <w:szCs w:val="24"/>
        </w:rPr>
        <w:t>懷孕與</w:t>
      </w:r>
      <w:proofErr w:type="gramStart"/>
      <w:r>
        <w:rPr>
          <w:rFonts w:ascii="標楷體" w:eastAsia="標楷體" w:hAnsi="標楷體"/>
          <w:color w:val="000000"/>
          <w:szCs w:val="24"/>
        </w:rPr>
        <w:t>授乳期間</w:t>
      </w:r>
      <w:proofErr w:type="gramEnd"/>
      <w:r>
        <w:rPr>
          <w:rFonts w:ascii="標楷體" w:eastAsia="標楷體" w:hAnsi="標楷體"/>
          <w:color w:val="000000"/>
          <w:szCs w:val="24"/>
        </w:rPr>
        <w:t>。</w:t>
      </w:r>
    </w:p>
    <w:p w:rsidR="00CA3F27" w:rsidRDefault="00ED050B">
      <w:pPr>
        <w:ind w:left="1276" w:hanging="3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Ⅲ.</w:t>
      </w:r>
      <w:r>
        <w:rPr>
          <w:rFonts w:ascii="標楷體" w:eastAsia="標楷體" w:hAnsi="標楷體"/>
          <w:color w:val="000000"/>
          <w:szCs w:val="24"/>
        </w:rPr>
        <w:t>寄生蟲</w:t>
      </w:r>
      <w:r>
        <w:rPr>
          <w:rFonts w:ascii="標楷體" w:eastAsia="標楷體" w:hAnsi="標楷體"/>
          <w:color w:val="000000"/>
          <w:szCs w:val="24"/>
        </w:rPr>
        <w:t xml:space="preserve"> (</w:t>
      </w:r>
      <w:r>
        <w:rPr>
          <w:rFonts w:ascii="標楷體" w:eastAsia="標楷體" w:hAnsi="標楷體"/>
          <w:color w:val="000000"/>
          <w:szCs w:val="24"/>
        </w:rPr>
        <w:t>蠕蟲</w:t>
      </w:r>
      <w:r>
        <w:rPr>
          <w:rFonts w:ascii="標楷體" w:eastAsia="標楷體" w:hAnsi="標楷體"/>
          <w:color w:val="000000"/>
          <w:szCs w:val="24"/>
        </w:rPr>
        <w:t xml:space="preserve">) </w:t>
      </w:r>
      <w:r>
        <w:rPr>
          <w:rFonts w:ascii="標楷體" w:eastAsia="標楷體" w:hAnsi="標楷體"/>
          <w:color w:val="000000"/>
          <w:szCs w:val="24"/>
        </w:rPr>
        <w:t>感染。</w:t>
      </w:r>
    </w:p>
    <w:p w:rsidR="00CA3F27" w:rsidRDefault="00ED050B">
      <w:pPr>
        <w:ind w:left="1276" w:hanging="3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Ⅳ.</w:t>
      </w:r>
      <w:r>
        <w:rPr>
          <w:rFonts w:ascii="標楷體" w:eastAsia="標楷體" w:hAnsi="標楷體"/>
          <w:color w:val="000000"/>
          <w:szCs w:val="24"/>
        </w:rPr>
        <w:t>使用</w:t>
      </w:r>
      <w:proofErr w:type="spellStart"/>
      <w:r>
        <w:rPr>
          <w:rFonts w:ascii="標楷體" w:eastAsia="標楷體" w:hAnsi="標楷體"/>
          <w:color w:val="000000"/>
          <w:szCs w:val="24"/>
        </w:rPr>
        <w:t>abrocitnib</w:t>
      </w:r>
      <w:proofErr w:type="spellEnd"/>
      <w:r>
        <w:rPr>
          <w:rFonts w:ascii="標楷體" w:eastAsia="標楷體" w:hAnsi="標楷體"/>
          <w:color w:val="000000"/>
          <w:szCs w:val="24"/>
        </w:rPr>
        <w:t>者發生嚴重</w:t>
      </w:r>
      <w:proofErr w:type="gramStart"/>
      <w:r>
        <w:rPr>
          <w:rFonts w:ascii="標楷體" w:eastAsia="標楷體" w:hAnsi="標楷體"/>
          <w:color w:val="000000"/>
          <w:szCs w:val="24"/>
        </w:rPr>
        <w:t>的間發性</w:t>
      </w:r>
      <w:proofErr w:type="gramEnd"/>
      <w:r>
        <w:rPr>
          <w:rFonts w:ascii="標楷體" w:eastAsia="標楷體" w:hAnsi="標楷體"/>
          <w:color w:val="000000"/>
          <w:szCs w:val="24"/>
        </w:rPr>
        <w:t>感染症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帶狀皰疹</w:t>
      </w:r>
      <w:r>
        <w:rPr>
          <w:rFonts w:ascii="標楷體" w:eastAsia="標楷體" w:hAnsi="標楷體"/>
          <w:color w:val="000000"/>
          <w:szCs w:val="24"/>
        </w:rPr>
        <w:t>) (</w:t>
      </w:r>
      <w:r>
        <w:rPr>
          <w:rFonts w:ascii="標楷體" w:eastAsia="標楷體" w:hAnsi="標楷體"/>
          <w:color w:val="000000"/>
          <w:szCs w:val="24"/>
        </w:rPr>
        <w:t>暫時停藥即可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。</w:t>
      </w:r>
      <w:r>
        <w:rPr>
          <w:rFonts w:ascii="標楷體" w:eastAsia="標楷體" w:hAnsi="標楷體"/>
          <w:color w:val="000000"/>
          <w:szCs w:val="24"/>
        </w:rPr>
        <w:t>(112/6/1)</w:t>
      </w:r>
    </w:p>
    <w:p w:rsidR="00CA3F27" w:rsidRDefault="00ED050B">
      <w:pPr>
        <w:suppressAutoHyphens w:val="0"/>
        <w:ind w:left="1077" w:hanging="367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(2)</w:t>
      </w:r>
      <w:r>
        <w:rPr>
          <w:rFonts w:ascii="標楷體" w:eastAsia="標楷體" w:hAnsi="標楷體"/>
          <w:color w:val="000000"/>
          <w:szCs w:val="24"/>
        </w:rPr>
        <w:t>療效</w:t>
      </w:r>
      <w:proofErr w:type="gramStart"/>
      <w:r>
        <w:rPr>
          <w:rFonts w:ascii="標楷體" w:eastAsia="標楷體" w:hAnsi="標楷體"/>
          <w:color w:val="000000"/>
          <w:szCs w:val="24"/>
        </w:rPr>
        <w:t>不</w:t>
      </w:r>
      <w:proofErr w:type="gramEnd"/>
      <w:r>
        <w:rPr>
          <w:rFonts w:ascii="標楷體" w:eastAsia="標楷體" w:hAnsi="標楷體"/>
          <w:color w:val="000000"/>
          <w:szCs w:val="24"/>
        </w:rPr>
        <w:t>彰：患者經過</w:t>
      </w:r>
      <w:r>
        <w:rPr>
          <w:rFonts w:ascii="標楷體" w:eastAsia="標楷體" w:hAnsi="標楷體"/>
          <w:color w:val="000000"/>
          <w:szCs w:val="24"/>
        </w:rPr>
        <w:t>6</w:t>
      </w:r>
      <w:r>
        <w:rPr>
          <w:rFonts w:ascii="標楷體" w:eastAsia="標楷體" w:hAnsi="標楷體"/>
          <w:color w:val="000000"/>
          <w:szCs w:val="24"/>
        </w:rPr>
        <w:t>個月治療（初次療程）後未達療效者，療效定義指</w:t>
      </w:r>
      <w:r>
        <w:rPr>
          <w:rFonts w:ascii="標楷體" w:eastAsia="標楷體" w:hAnsi="標楷體"/>
          <w:color w:val="000000"/>
          <w:szCs w:val="24"/>
        </w:rPr>
        <w:t>EASI</w:t>
      </w:r>
      <w:r>
        <w:rPr>
          <w:rFonts w:ascii="標楷體" w:eastAsia="標楷體" w:hAnsi="標楷體"/>
          <w:color w:val="000000"/>
          <w:szCs w:val="24"/>
        </w:rPr>
        <w:t>改善未達</w:t>
      </w:r>
      <w:r>
        <w:rPr>
          <w:rFonts w:ascii="標楷體" w:eastAsia="標楷體" w:hAnsi="標楷體"/>
          <w:color w:val="000000"/>
          <w:szCs w:val="24"/>
        </w:rPr>
        <w:t>50%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CA3F27" w:rsidRDefault="00ED050B">
      <w:pPr>
        <w:suppressAutoHyphens w:val="0"/>
        <w:ind w:left="796" w:hanging="230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6.</w:t>
      </w:r>
      <w:r>
        <w:rPr>
          <w:rFonts w:ascii="標楷體" w:eastAsia="標楷體" w:hAnsi="標楷體"/>
          <w:color w:val="000000"/>
          <w:szCs w:val="24"/>
        </w:rPr>
        <w:t>暫緩續用之相關規定：</w:t>
      </w:r>
    </w:p>
    <w:p w:rsidR="00CA3F27" w:rsidRDefault="00ED050B">
      <w:pPr>
        <w:suppressAutoHyphens w:val="0"/>
        <w:ind w:left="1077" w:hanging="367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(1)</w:t>
      </w:r>
      <w:r>
        <w:rPr>
          <w:rFonts w:ascii="標楷體" w:eastAsia="標楷體" w:hAnsi="標楷體"/>
          <w:color w:val="000000"/>
          <w:szCs w:val="24"/>
        </w:rPr>
        <w:t>暫緩續用時機：使用生物製劑治療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/>
          <w:color w:val="000000"/>
          <w:szCs w:val="24"/>
        </w:rPr>
        <w:t>年後，或使用</w:t>
      </w:r>
      <w:proofErr w:type="spellStart"/>
      <w:r>
        <w:rPr>
          <w:rFonts w:ascii="標楷體" w:eastAsia="標楷體" w:hAnsi="標楷體"/>
          <w:color w:val="000000"/>
          <w:szCs w:val="24"/>
        </w:rPr>
        <w:t>abrocitinib</w:t>
      </w:r>
      <w:proofErr w:type="spellEnd"/>
      <w:r>
        <w:rPr>
          <w:rFonts w:ascii="標楷體" w:eastAsia="標楷體" w:hAnsi="標楷體"/>
          <w:color w:val="000000"/>
          <w:szCs w:val="24"/>
        </w:rPr>
        <w:t>、</w:t>
      </w:r>
      <w:proofErr w:type="spellStart"/>
      <w:r>
        <w:rPr>
          <w:rFonts w:ascii="標楷體" w:eastAsia="標楷體" w:hAnsi="標楷體"/>
          <w:color w:val="000000"/>
          <w:szCs w:val="24"/>
        </w:rPr>
        <w:t>upadacitinib</w:t>
      </w:r>
      <w:proofErr w:type="spellEnd"/>
      <w:r>
        <w:rPr>
          <w:rFonts w:ascii="標楷體" w:eastAsia="標楷體" w:hAnsi="標楷體"/>
          <w:color w:val="000000"/>
          <w:szCs w:val="24"/>
        </w:rPr>
        <w:t xml:space="preserve"> 2</w:t>
      </w:r>
      <w:r>
        <w:rPr>
          <w:rFonts w:ascii="標楷體" w:eastAsia="標楷體" w:hAnsi="標楷體"/>
          <w:color w:val="000000"/>
          <w:szCs w:val="24"/>
        </w:rPr>
        <w:t>年後符合</w:t>
      </w:r>
      <w:r>
        <w:rPr>
          <w:rFonts w:ascii="標楷體" w:eastAsia="標楷體" w:hAnsi="標楷體"/>
          <w:color w:val="000000"/>
          <w:szCs w:val="24"/>
        </w:rPr>
        <w:t>EASI</w:t>
      </w:r>
      <w:proofErr w:type="gramStart"/>
      <w:r>
        <w:rPr>
          <w:rFonts w:ascii="標楷體" w:eastAsia="標楷體" w:hAnsi="標楷體"/>
          <w:color w:val="000000"/>
          <w:szCs w:val="24"/>
        </w:rPr>
        <w:t>≦</w:t>
      </w:r>
      <w:proofErr w:type="gramEnd"/>
      <w:r>
        <w:rPr>
          <w:rFonts w:ascii="標楷體" w:eastAsia="標楷體" w:hAnsi="標楷體"/>
          <w:color w:val="000000"/>
          <w:szCs w:val="24"/>
        </w:rPr>
        <w:t>16</w:t>
      </w:r>
      <w:r>
        <w:rPr>
          <w:rFonts w:ascii="標楷體" w:eastAsia="標楷體" w:hAnsi="標楷體"/>
          <w:color w:val="000000"/>
          <w:szCs w:val="24"/>
        </w:rPr>
        <w:t>者。</w:t>
      </w:r>
      <w:r>
        <w:rPr>
          <w:rFonts w:ascii="標楷體" w:eastAsia="標楷體" w:hAnsi="標楷體"/>
          <w:color w:val="000000"/>
          <w:szCs w:val="24"/>
        </w:rPr>
        <w:t>(111/8/1</w:t>
      </w:r>
      <w:r>
        <w:rPr>
          <w:rFonts w:ascii="標楷體" w:eastAsia="標楷體" w:hAnsi="標楷體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114/6/1)</w:t>
      </w:r>
    </w:p>
    <w:p w:rsidR="00CA3F27" w:rsidRDefault="00ED050B">
      <w:pPr>
        <w:suppressAutoHyphens w:val="0"/>
        <w:ind w:left="1077" w:hanging="367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(2)</w:t>
      </w:r>
      <w:r>
        <w:rPr>
          <w:rFonts w:ascii="標楷體" w:eastAsia="標楷體" w:hAnsi="標楷體"/>
          <w:color w:val="000000"/>
          <w:szCs w:val="24"/>
        </w:rPr>
        <w:t>暫緩續用後若疾病再復發，可重新申請使用，須符合至少有</w:t>
      </w:r>
      <w:r>
        <w:rPr>
          <w:rFonts w:ascii="標楷體" w:eastAsia="標楷體" w:hAnsi="標楷體"/>
          <w:color w:val="000000"/>
          <w:szCs w:val="24"/>
        </w:rPr>
        <w:t>50%</w:t>
      </w:r>
      <w:r>
        <w:rPr>
          <w:rFonts w:ascii="標楷體" w:eastAsia="標楷體" w:hAnsi="標楷體"/>
          <w:color w:val="000000"/>
          <w:szCs w:val="24"/>
        </w:rPr>
        <w:t>復發或</w:t>
      </w:r>
      <w:r>
        <w:rPr>
          <w:rFonts w:ascii="標楷體" w:eastAsia="標楷體" w:hAnsi="標楷體"/>
          <w:color w:val="000000"/>
          <w:szCs w:val="24"/>
        </w:rPr>
        <w:t>EASI</w:t>
      </w:r>
      <w:proofErr w:type="gramStart"/>
      <w:r>
        <w:rPr>
          <w:rFonts w:ascii="標楷體" w:eastAsia="標楷體" w:hAnsi="標楷體"/>
          <w:color w:val="000000"/>
          <w:szCs w:val="24"/>
        </w:rPr>
        <w:t>≧</w:t>
      </w:r>
      <w:proofErr w:type="gramEnd"/>
      <w:r>
        <w:rPr>
          <w:rFonts w:ascii="標楷體" w:eastAsia="標楷體" w:hAnsi="標楷體"/>
          <w:color w:val="000000"/>
          <w:szCs w:val="24"/>
        </w:rPr>
        <w:t>16 (</w:t>
      </w:r>
      <w:r>
        <w:rPr>
          <w:rFonts w:ascii="標楷體" w:eastAsia="標楷體" w:hAnsi="標楷體"/>
          <w:color w:val="000000"/>
          <w:szCs w:val="24"/>
        </w:rPr>
        <w:t>需附上次療程治療前、後，及本次照片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。</w:t>
      </w:r>
      <w:r>
        <w:rPr>
          <w:rFonts w:ascii="標楷體" w:eastAsia="標楷體" w:hAnsi="標楷體"/>
          <w:color w:val="000000"/>
          <w:szCs w:val="24"/>
        </w:rPr>
        <w:t>(111/8/1)</w:t>
      </w:r>
    </w:p>
    <w:p w:rsidR="00CA3F27" w:rsidRDefault="00ED050B">
      <w:pPr>
        <w:suppressAutoHyphens w:val="0"/>
        <w:ind w:left="796" w:hanging="230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7.Dupilumab</w:t>
      </w:r>
      <w:r>
        <w:rPr>
          <w:rFonts w:ascii="標楷體" w:eastAsia="標楷體" w:hAnsi="標楷體"/>
          <w:color w:val="000000"/>
          <w:szCs w:val="24"/>
        </w:rPr>
        <w:t>、</w:t>
      </w:r>
      <w:proofErr w:type="spellStart"/>
      <w:r>
        <w:rPr>
          <w:rFonts w:ascii="標楷體" w:eastAsia="標楷體" w:hAnsi="標楷體"/>
          <w:color w:val="000000"/>
          <w:szCs w:val="24"/>
        </w:rPr>
        <w:t>upadacitinib</w:t>
      </w:r>
      <w:proofErr w:type="spellEnd"/>
      <w:r>
        <w:rPr>
          <w:rFonts w:ascii="標楷體" w:eastAsia="標楷體" w:hAnsi="標楷體"/>
          <w:color w:val="000000"/>
          <w:szCs w:val="24"/>
        </w:rPr>
        <w:t>及</w:t>
      </w:r>
      <w:proofErr w:type="spellStart"/>
      <w:r>
        <w:rPr>
          <w:rFonts w:ascii="標楷體" w:eastAsia="標楷體" w:hAnsi="標楷體"/>
          <w:color w:val="000000"/>
          <w:szCs w:val="24"/>
        </w:rPr>
        <w:t>abrocitinib</w:t>
      </w:r>
      <w:proofErr w:type="spellEnd"/>
      <w:r>
        <w:rPr>
          <w:rFonts w:ascii="標楷體" w:eastAsia="標楷體" w:hAnsi="標楷體"/>
          <w:color w:val="000000"/>
          <w:szCs w:val="24"/>
        </w:rPr>
        <w:t>不得</w:t>
      </w:r>
      <w:proofErr w:type="gramStart"/>
      <w:r>
        <w:rPr>
          <w:rFonts w:ascii="標楷體" w:eastAsia="標楷體" w:hAnsi="標楷體"/>
          <w:color w:val="000000"/>
          <w:szCs w:val="24"/>
        </w:rPr>
        <w:t>併</w:t>
      </w:r>
      <w:proofErr w:type="gramEnd"/>
      <w:r>
        <w:rPr>
          <w:rFonts w:ascii="標楷體" w:eastAsia="標楷體" w:hAnsi="標楷體"/>
          <w:color w:val="000000"/>
          <w:szCs w:val="24"/>
        </w:rPr>
        <w:t>用；</w:t>
      </w:r>
      <w:proofErr w:type="spellStart"/>
      <w:r>
        <w:rPr>
          <w:rFonts w:ascii="標楷體" w:eastAsia="標楷體" w:hAnsi="標楷體"/>
          <w:color w:val="000000"/>
          <w:szCs w:val="24"/>
        </w:rPr>
        <w:t>upadacitinib</w:t>
      </w:r>
      <w:proofErr w:type="spellEnd"/>
      <w:r>
        <w:rPr>
          <w:rFonts w:ascii="標楷體" w:eastAsia="標楷體" w:hAnsi="標楷體"/>
          <w:color w:val="000000"/>
          <w:szCs w:val="24"/>
        </w:rPr>
        <w:t>及</w:t>
      </w:r>
      <w:proofErr w:type="spellStart"/>
      <w:r>
        <w:rPr>
          <w:rFonts w:ascii="標楷體" w:eastAsia="標楷體" w:hAnsi="標楷體"/>
          <w:color w:val="000000"/>
          <w:szCs w:val="24"/>
        </w:rPr>
        <w:t>abrocitinib</w:t>
      </w:r>
      <w:proofErr w:type="spellEnd"/>
      <w:r>
        <w:rPr>
          <w:rFonts w:ascii="標楷體" w:eastAsia="標楷體" w:hAnsi="標楷體"/>
          <w:color w:val="000000"/>
          <w:szCs w:val="24"/>
        </w:rPr>
        <w:t xml:space="preserve">    </w:t>
      </w:r>
    </w:p>
    <w:p w:rsidR="00CA3F27" w:rsidRDefault="00ED050B">
      <w:pPr>
        <w:suppressAutoHyphens w:val="0"/>
        <w:ind w:left="763" w:hanging="240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不得</w:t>
      </w:r>
      <w:proofErr w:type="gramStart"/>
      <w:r>
        <w:rPr>
          <w:rFonts w:ascii="標楷體" w:eastAsia="標楷體" w:hAnsi="標楷體"/>
          <w:color w:val="000000"/>
          <w:szCs w:val="24"/>
        </w:rPr>
        <w:t>併</w:t>
      </w:r>
      <w:proofErr w:type="gramEnd"/>
      <w:r>
        <w:rPr>
          <w:rFonts w:ascii="標楷體" w:eastAsia="標楷體" w:hAnsi="標楷體"/>
          <w:color w:val="000000"/>
          <w:szCs w:val="24"/>
        </w:rPr>
        <w:t>用</w:t>
      </w:r>
      <w:r>
        <w:rPr>
          <w:rFonts w:ascii="標楷體" w:eastAsia="標楷體" w:hAnsi="標楷體"/>
          <w:color w:val="000000"/>
          <w:szCs w:val="24"/>
        </w:rPr>
        <w:t>cyclosporin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CA3F27" w:rsidRDefault="00ED050B">
      <w:pPr>
        <w:suppressAutoHyphens w:val="0"/>
        <w:ind w:left="991" w:hanging="240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◎</w:t>
      </w:r>
      <w:r>
        <w:rPr>
          <w:rFonts w:ascii="標楷體" w:eastAsia="標楷體" w:hAnsi="標楷體"/>
          <w:color w:val="000000"/>
          <w:szCs w:val="24"/>
        </w:rPr>
        <w:t>附表三十二：異位性皮膚炎面積暨嚴重度指數【</w:t>
      </w:r>
      <w:r>
        <w:rPr>
          <w:rFonts w:ascii="標楷體" w:eastAsia="標楷體" w:hAnsi="標楷體"/>
          <w:color w:val="000000"/>
          <w:szCs w:val="24"/>
        </w:rPr>
        <w:t>Eczema Area and Severity Index (EASI)</w:t>
      </w:r>
      <w:r>
        <w:rPr>
          <w:rFonts w:ascii="標楷體" w:eastAsia="標楷體" w:hAnsi="標楷體"/>
          <w:color w:val="000000"/>
          <w:szCs w:val="24"/>
        </w:rPr>
        <w:t>】</w:t>
      </w:r>
      <w:r>
        <w:rPr>
          <w:rFonts w:ascii="標楷體" w:eastAsia="標楷體" w:hAnsi="標楷體"/>
          <w:color w:val="000000"/>
          <w:szCs w:val="24"/>
        </w:rPr>
        <w:t>(108/12/1)</w:t>
      </w:r>
    </w:p>
    <w:p w:rsidR="00CA3F27" w:rsidRDefault="00ED050B">
      <w:pPr>
        <w:ind w:left="850" w:hanging="142"/>
      </w:pPr>
      <w:r>
        <w:rPr>
          <w:rFonts w:ascii="標楷體" w:eastAsia="標楷體" w:hAnsi="標楷體"/>
          <w:color w:val="000000"/>
          <w:szCs w:val="24"/>
        </w:rPr>
        <w:t>◎</w:t>
      </w:r>
      <w:r>
        <w:rPr>
          <w:rFonts w:ascii="標楷體" w:eastAsia="標楷體" w:hAnsi="標楷體"/>
          <w:color w:val="000000"/>
          <w:szCs w:val="24"/>
        </w:rPr>
        <w:t>附表三十二之</w:t>
      </w:r>
      <w:proofErr w:type="gramStart"/>
      <w:r>
        <w:rPr>
          <w:rFonts w:ascii="標楷體" w:eastAsia="標楷體" w:hAnsi="標楷體"/>
          <w:color w:val="000000"/>
          <w:szCs w:val="24"/>
        </w:rPr>
        <w:t>一</w:t>
      </w:r>
      <w:proofErr w:type="gramEnd"/>
      <w:r>
        <w:rPr>
          <w:rFonts w:ascii="標楷體" w:eastAsia="標楷體" w:hAnsi="標楷體"/>
          <w:color w:val="000000"/>
          <w:szCs w:val="24"/>
        </w:rPr>
        <w:t>：全民健康保險</w:t>
      </w:r>
      <w:r>
        <w:rPr>
          <w:rFonts w:ascii="標楷體" w:eastAsia="標楷體" w:hAnsi="標楷體"/>
          <w:color w:val="000000"/>
          <w:szCs w:val="24"/>
        </w:rPr>
        <w:t>12</w:t>
      </w:r>
      <w:r>
        <w:rPr>
          <w:rFonts w:ascii="標楷體" w:eastAsia="標楷體" w:hAnsi="標楷體"/>
          <w:color w:val="000000"/>
          <w:szCs w:val="24"/>
        </w:rPr>
        <w:t>歲以上病人異</w:t>
      </w:r>
      <w:r>
        <w:rPr>
          <w:rFonts w:ascii="標楷體" w:eastAsia="標楷體" w:hAnsi="標楷體"/>
          <w:color w:val="000000"/>
          <w:szCs w:val="24"/>
        </w:rPr>
        <w:t>位性皮膚炎使用生物製劑申請表</w:t>
      </w:r>
      <w:r>
        <w:rPr>
          <w:rFonts w:ascii="標楷體" w:eastAsia="標楷體" w:hAnsi="標楷體"/>
          <w:color w:val="000000"/>
          <w:szCs w:val="24"/>
        </w:rPr>
        <w:t>(109/8/1</w:t>
      </w:r>
      <w:r>
        <w:rPr>
          <w:rFonts w:ascii="標楷體" w:eastAsia="標楷體" w:hAnsi="標楷體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111/8/1</w:t>
      </w:r>
      <w:r>
        <w:rPr>
          <w:rFonts w:ascii="標楷體" w:eastAsia="標楷體" w:hAnsi="標楷體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113/2/1</w:t>
      </w:r>
      <w:r>
        <w:rPr>
          <w:rFonts w:ascii="標楷體" w:eastAsia="標楷體" w:hAnsi="標楷體"/>
          <w:szCs w:val="24"/>
        </w:rPr>
        <w:t>)</w:t>
      </w:r>
    </w:p>
    <w:p w:rsidR="00CA3F27" w:rsidRDefault="00CA3F27">
      <w:pPr>
        <w:ind w:left="991" w:hanging="240"/>
      </w:pPr>
    </w:p>
    <w:p w:rsidR="00CA3F27" w:rsidRDefault="00ED050B">
      <w:pPr>
        <w:snapToGrid w:val="0"/>
        <w:ind w:left="535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13.17.2. </w:t>
      </w:r>
      <w:proofErr w:type="spellStart"/>
      <w:r>
        <w:rPr>
          <w:rFonts w:ascii="標楷體" w:eastAsia="標楷體" w:hAnsi="標楷體"/>
        </w:rPr>
        <w:t>Dupilumab</w:t>
      </w:r>
      <w:proofErr w:type="spellEnd"/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如</w:t>
      </w:r>
      <w:proofErr w:type="spellStart"/>
      <w:r>
        <w:rPr>
          <w:rFonts w:ascii="標楷體" w:eastAsia="標楷體" w:hAnsi="標楷體"/>
        </w:rPr>
        <w:t>Dupixent</w:t>
      </w:r>
      <w:proofErr w:type="spell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：（</w:t>
      </w:r>
      <w:r>
        <w:rPr>
          <w:rFonts w:ascii="標楷體" w:eastAsia="標楷體" w:hAnsi="標楷體"/>
        </w:rPr>
        <w:t>113/2/1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/>
        </w:rPr>
        <w:t>(6</w:t>
      </w:r>
      <w:r>
        <w:rPr>
          <w:rFonts w:ascii="標楷體" w:eastAsia="標楷體" w:hAnsi="標楷體"/>
        </w:rPr>
        <w:t>歲以上未滿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歲兒童治療部分</w:t>
      </w:r>
      <w:r>
        <w:rPr>
          <w:rFonts w:ascii="標楷體" w:eastAsia="標楷體" w:hAnsi="標楷體"/>
        </w:rPr>
        <w:t>)</w:t>
      </w:r>
    </w:p>
    <w:p w:rsidR="00CA3F27" w:rsidRDefault="00ED050B">
      <w:pPr>
        <w:pStyle w:val="a9"/>
        <w:numPr>
          <w:ilvl w:val="0"/>
          <w:numId w:val="1"/>
        </w:numPr>
        <w:snapToGrid w:val="0"/>
        <w:ind w:left="746" w:hanging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限皮膚科專科醫師，或具兒童過敏免疫風濕專長之兒科專科醫師處方。</w:t>
      </w:r>
    </w:p>
    <w:p w:rsidR="00CA3F27" w:rsidRDefault="00ED050B">
      <w:pPr>
        <w:pStyle w:val="a9"/>
        <w:numPr>
          <w:ilvl w:val="0"/>
          <w:numId w:val="1"/>
        </w:numPr>
        <w:snapToGrid w:val="0"/>
        <w:ind w:left="746" w:hanging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限用於經外用藥物及一種全身性免疫抑制劑治療無效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需治療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個月完整療程，得合併他院就診病歷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，且適合以全身性療法治療之全身慢性中重度之異位性皮膚炎患者。</w:t>
      </w:r>
    </w:p>
    <w:p w:rsidR="00CA3F27" w:rsidRDefault="00ED050B">
      <w:pPr>
        <w:pStyle w:val="a9"/>
        <w:numPr>
          <w:ilvl w:val="0"/>
          <w:numId w:val="2"/>
        </w:numPr>
        <w:snapToGrid w:val="0"/>
        <w:ind w:left="1029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所稱慢性中重度之異位性皮膚炎，指病灶持續至少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個月，且符合</w:t>
      </w:r>
      <w:r>
        <w:rPr>
          <w:rFonts w:ascii="標楷體" w:eastAsia="標楷體" w:hAnsi="標楷體"/>
        </w:rPr>
        <w:t>Eczema area severity</w:t>
      </w:r>
      <w:r>
        <w:rPr>
          <w:rFonts w:ascii="標楷體" w:eastAsia="標楷體" w:hAnsi="標楷體"/>
        </w:rPr>
        <w:t xml:space="preserve"> index (EASI) </w:t>
      </w:r>
      <w:proofErr w:type="gramStart"/>
      <w:r>
        <w:rPr>
          <w:rFonts w:ascii="標楷體" w:eastAsia="標楷體" w:hAnsi="標楷體"/>
        </w:rPr>
        <w:t>≧</w:t>
      </w:r>
      <w:proofErr w:type="gramEnd"/>
      <w:r>
        <w:rPr>
          <w:rFonts w:ascii="標楷體" w:eastAsia="標楷體" w:hAnsi="標楷體"/>
        </w:rPr>
        <w:t>16</w:t>
      </w:r>
      <w:r>
        <w:rPr>
          <w:rFonts w:ascii="標楷體" w:eastAsia="標楷體" w:hAnsi="標楷體"/>
        </w:rPr>
        <w:t>及</w:t>
      </w:r>
      <w:r>
        <w:rPr>
          <w:rFonts w:ascii="標楷體" w:eastAsia="標楷體" w:hAnsi="標楷體"/>
        </w:rPr>
        <w:t>Investigator’s Global Assessment (IGA)≧3</w:t>
      </w:r>
      <w:r>
        <w:rPr>
          <w:rFonts w:ascii="標楷體" w:eastAsia="標楷體" w:hAnsi="標楷體"/>
        </w:rPr>
        <w:t>。</w:t>
      </w:r>
    </w:p>
    <w:p w:rsidR="00CA3F27" w:rsidRDefault="00ED050B">
      <w:pPr>
        <w:snapToGrid w:val="0"/>
        <w:ind w:left="1511" w:hanging="498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Eczema area severity index (EASI)</w:t>
      </w:r>
      <w:r>
        <w:rPr>
          <w:rFonts w:ascii="標楷體" w:eastAsia="標楷體" w:hAnsi="標楷體"/>
        </w:rPr>
        <w:t>之異位性皮膚炎面積計算，只含皮膚紅腫濕疹部位，單純的皮膚</w:t>
      </w:r>
      <w:proofErr w:type="gramStart"/>
      <w:r>
        <w:rPr>
          <w:rFonts w:ascii="標楷體" w:eastAsia="標楷體" w:hAnsi="標楷體"/>
        </w:rPr>
        <w:t>乾燥、</w:t>
      </w:r>
      <w:proofErr w:type="gramEnd"/>
      <w:r>
        <w:rPr>
          <w:rFonts w:ascii="標楷體" w:eastAsia="標楷體" w:hAnsi="標楷體"/>
        </w:rPr>
        <w:t>脫皮、抓痕，不可列入計算。</w:t>
      </w:r>
    </w:p>
    <w:p w:rsidR="00CA3F27" w:rsidRDefault="00ED050B">
      <w:pPr>
        <w:pStyle w:val="a9"/>
        <w:numPr>
          <w:ilvl w:val="0"/>
          <w:numId w:val="2"/>
        </w:numPr>
        <w:snapToGrid w:val="0"/>
        <w:ind w:left="1029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所稱治療無效，指經完整療程後，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個月內連續兩次評估，嚴重度均符合</w:t>
      </w:r>
      <w:proofErr w:type="gramStart"/>
      <w:r>
        <w:rPr>
          <w:rFonts w:ascii="標楷體" w:eastAsia="標楷體" w:hAnsi="標楷體"/>
        </w:rPr>
        <w:t>上列第</w:t>
      </w:r>
      <w:proofErr w:type="gramEnd"/>
      <w:r>
        <w:rPr>
          <w:rFonts w:ascii="標楷體" w:eastAsia="標楷體" w:hAnsi="標楷體"/>
        </w:rPr>
        <w:t>(1)</w:t>
      </w:r>
      <w:r>
        <w:rPr>
          <w:rFonts w:ascii="標楷體" w:eastAsia="標楷體" w:hAnsi="標楷體"/>
        </w:rPr>
        <w:t>點情況，且兩次評估</w:t>
      </w:r>
      <w:proofErr w:type="gramStart"/>
      <w:r>
        <w:rPr>
          <w:rFonts w:ascii="標楷體" w:eastAsia="標楷體" w:hAnsi="標楷體"/>
        </w:rPr>
        <w:t>之間相隔至</w:t>
      </w:r>
      <w:proofErr w:type="gramEnd"/>
      <w:r>
        <w:rPr>
          <w:rFonts w:ascii="標楷體" w:eastAsia="標楷體" w:hAnsi="標楷體"/>
        </w:rPr>
        <w:t>少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週。</w:t>
      </w:r>
    </w:p>
    <w:p w:rsidR="00CA3F27" w:rsidRDefault="00ED050B">
      <w:pPr>
        <w:snapToGrid w:val="0"/>
        <w:ind w:left="1314" w:hanging="390"/>
      </w:pPr>
      <w:r>
        <w:rPr>
          <w:rFonts w:ascii="標楷體" w:eastAsia="標楷體" w:hAnsi="標楷體"/>
          <w:color w:val="000000"/>
        </w:rPr>
        <w:t>Ⅰ.</w:t>
      </w:r>
      <w:r>
        <w:rPr>
          <w:rFonts w:ascii="標楷體" w:eastAsia="標楷體" w:hAnsi="標楷體"/>
        </w:rPr>
        <w:t>治療必須</w:t>
      </w:r>
      <w:proofErr w:type="gramStart"/>
      <w:r>
        <w:rPr>
          <w:rFonts w:ascii="標楷體" w:eastAsia="標楷體" w:hAnsi="標楷體"/>
        </w:rPr>
        <w:t>包括中效強度</w:t>
      </w:r>
      <w:proofErr w:type="gramEnd"/>
      <w:r>
        <w:rPr>
          <w:rFonts w:ascii="標楷體" w:eastAsia="標楷體" w:hAnsi="標楷體"/>
        </w:rPr>
        <w:t xml:space="preserve"> (medium potency)</w:t>
      </w:r>
      <w:proofErr w:type="gramStart"/>
      <w:r>
        <w:rPr>
          <w:rFonts w:ascii="標楷體" w:eastAsia="標楷體" w:hAnsi="標楷體"/>
        </w:rPr>
        <w:t>或中效強</w:t>
      </w:r>
      <w:proofErr w:type="gramEnd"/>
      <w:r>
        <w:rPr>
          <w:rFonts w:ascii="標楷體" w:eastAsia="標楷體" w:hAnsi="標楷體"/>
        </w:rPr>
        <w:t>度以上之外用類固醇</w:t>
      </w:r>
      <w:r>
        <w:rPr>
          <w:rFonts w:ascii="標楷體" w:eastAsia="標楷體" w:hAnsi="標楷體"/>
        </w:rPr>
        <w:lastRenderedPageBreak/>
        <w:t xml:space="preserve">(topical </w:t>
      </w:r>
      <w:r>
        <w:rPr>
          <w:rFonts w:ascii="標楷體" w:eastAsia="標楷體" w:hAnsi="標楷體"/>
        </w:rPr>
        <w:t>corticosteroid)</w:t>
      </w:r>
      <w:r>
        <w:rPr>
          <w:rFonts w:ascii="標楷體" w:eastAsia="標楷體" w:hAnsi="標楷體"/>
        </w:rPr>
        <w:t>，及</w:t>
      </w:r>
      <w:proofErr w:type="gramStart"/>
      <w:r>
        <w:rPr>
          <w:rFonts w:ascii="標楷體" w:eastAsia="標楷體" w:hAnsi="標楷體"/>
        </w:rPr>
        <w:t>外用鈣調磷</w:t>
      </w:r>
      <w:proofErr w:type="gramEnd"/>
      <w:r>
        <w:rPr>
          <w:rFonts w:ascii="標楷體" w:eastAsia="標楷體" w:hAnsi="標楷體"/>
        </w:rPr>
        <w:t>酸酶抑制劑</w:t>
      </w:r>
      <w:r>
        <w:rPr>
          <w:rFonts w:ascii="標楷體" w:eastAsia="標楷體" w:hAnsi="標楷體"/>
        </w:rPr>
        <w:t>(topical calcineurin inhibitor)</w:t>
      </w:r>
      <w:r>
        <w:rPr>
          <w:rFonts w:ascii="標楷體" w:eastAsia="標楷體" w:hAnsi="標楷體"/>
        </w:rPr>
        <w:t>，規律使用達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週。</w:t>
      </w:r>
    </w:p>
    <w:p w:rsidR="00CA3F27" w:rsidRDefault="00ED050B">
      <w:pPr>
        <w:snapToGrid w:val="0"/>
        <w:ind w:left="1313" w:hanging="462"/>
      </w:pPr>
      <w:r>
        <w:rPr>
          <w:rFonts w:ascii="標楷體" w:eastAsia="標楷體" w:hAnsi="標楷體"/>
          <w:color w:val="000000"/>
        </w:rPr>
        <w:t>Ⅱ.</w:t>
      </w:r>
      <w:r>
        <w:rPr>
          <w:rFonts w:ascii="標楷體" w:eastAsia="標楷體" w:hAnsi="標楷體"/>
        </w:rPr>
        <w:t>治療必須包括以下三種系統性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全身性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治療至少一種，包括</w:t>
      </w:r>
      <w:r>
        <w:rPr>
          <w:rFonts w:ascii="標楷體" w:eastAsia="標楷體" w:hAnsi="標楷體"/>
        </w:rPr>
        <w:t>methotrexate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azathioprine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cyclosporin</w:t>
      </w:r>
      <w:r>
        <w:rPr>
          <w:rFonts w:ascii="標楷體" w:eastAsia="標楷體" w:hAnsi="標楷體"/>
        </w:rPr>
        <w:t>，且可與前開外用藥物合併使用。</w:t>
      </w:r>
    </w:p>
    <w:p w:rsidR="00CA3F27" w:rsidRDefault="00ED050B">
      <w:pPr>
        <w:snapToGrid w:val="0"/>
        <w:ind w:left="1212" w:hanging="361"/>
      </w:pPr>
      <w:r>
        <w:rPr>
          <w:rFonts w:ascii="標楷體" w:eastAsia="標楷體" w:hAnsi="標楷體"/>
          <w:color w:val="000000"/>
        </w:rPr>
        <w:t>Ⅲ.</w:t>
      </w:r>
      <w:r>
        <w:rPr>
          <w:rFonts w:ascii="標楷體" w:eastAsia="標楷體" w:hAnsi="標楷體"/>
        </w:rPr>
        <w:t>若臨床上使用上述外用藥物發生皮膚萎縮或感染，得停止使用外用藥物，惟須於病歷中詳述說明。</w:t>
      </w:r>
    </w:p>
    <w:p w:rsidR="00CA3F27" w:rsidRDefault="00ED050B">
      <w:pPr>
        <w:snapToGrid w:val="0"/>
        <w:ind w:left="1134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Ⅳ.</w:t>
      </w:r>
      <w:r>
        <w:rPr>
          <w:rFonts w:ascii="標楷體" w:eastAsia="標楷體" w:hAnsi="標楷體"/>
        </w:rPr>
        <w:t>前開免疫抑制劑之劑量：</w:t>
      </w:r>
      <w:r>
        <w:rPr>
          <w:rFonts w:ascii="標楷體" w:eastAsia="標楷體" w:hAnsi="標楷體"/>
        </w:rPr>
        <w:t>Methotrexate</w:t>
      </w:r>
      <w:r>
        <w:rPr>
          <w:rFonts w:ascii="標楷體" w:eastAsia="標楷體" w:hAnsi="標楷體"/>
        </w:rPr>
        <w:t>合理劑量需達每週</w:t>
      </w:r>
      <w:r>
        <w:rPr>
          <w:rFonts w:ascii="標楷體" w:eastAsia="標楷體" w:hAnsi="標楷體"/>
        </w:rPr>
        <w:t>10mg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azathioprine</w:t>
      </w:r>
      <w:r>
        <w:rPr>
          <w:rFonts w:ascii="標楷體" w:eastAsia="標楷體" w:hAnsi="標楷體"/>
        </w:rPr>
        <w:t>為</w:t>
      </w:r>
      <w:r>
        <w:rPr>
          <w:rFonts w:ascii="標楷體" w:eastAsia="標楷體" w:hAnsi="標楷體"/>
        </w:rPr>
        <w:t>1.0mg/kg</w:t>
      </w:r>
      <w:r>
        <w:rPr>
          <w:rFonts w:ascii="標楷體" w:eastAsia="標楷體" w:hAnsi="標楷體"/>
        </w:rPr>
        <w:t>/d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cyclosporin</w:t>
      </w:r>
      <w:r>
        <w:rPr>
          <w:rFonts w:ascii="標楷體" w:eastAsia="標楷體" w:hAnsi="標楷體"/>
        </w:rPr>
        <w:t>為</w:t>
      </w:r>
      <w:r>
        <w:rPr>
          <w:rFonts w:ascii="標楷體" w:eastAsia="標楷體" w:hAnsi="標楷體"/>
        </w:rPr>
        <w:t>2.5mg/kg/d</w:t>
      </w:r>
      <w:r>
        <w:rPr>
          <w:rFonts w:ascii="標楷體" w:eastAsia="標楷體" w:hAnsi="標楷體"/>
        </w:rPr>
        <w:t>，足量治療至少使用</w:t>
      </w:r>
      <w:r>
        <w:rPr>
          <w:rFonts w:ascii="標楷體" w:eastAsia="標楷體" w:hAnsi="標楷體"/>
        </w:rPr>
        <w:t>12</w:t>
      </w:r>
      <w:proofErr w:type="gramStart"/>
      <w:r>
        <w:rPr>
          <w:rFonts w:ascii="標楷體" w:eastAsia="標楷體" w:hAnsi="標楷體"/>
        </w:rPr>
        <w:t>週</w:t>
      </w:r>
      <w:proofErr w:type="gramEnd"/>
      <w:r>
        <w:rPr>
          <w:rFonts w:ascii="標楷體" w:eastAsia="標楷體" w:hAnsi="標楷體"/>
        </w:rPr>
        <w:t>無效或是有客觀證據產生不良反應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如肝功能異常、白血球低下、高血壓或腎功能異常，或是經培養確診之皰疹性皮膚炎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或有禁忌症。</w:t>
      </w:r>
    </w:p>
    <w:p w:rsidR="00CA3F27" w:rsidRDefault="00ED050B">
      <w:pPr>
        <w:snapToGrid w:val="0"/>
        <w:ind w:left="1239" w:hanging="38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V.</w:t>
      </w:r>
      <w:r>
        <w:rPr>
          <w:rFonts w:ascii="標楷體" w:eastAsia="標楷體" w:hAnsi="標楷體"/>
        </w:rPr>
        <w:t>若臨床上發生無法耐受或特殊體質者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例如</w:t>
      </w:r>
      <w:r>
        <w:rPr>
          <w:rFonts w:ascii="標楷體" w:eastAsia="標楷體" w:hAnsi="標楷體"/>
        </w:rPr>
        <w:t>NUDT15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</w:rPr>
        <w:t>TPMT</w:t>
      </w:r>
      <w:r>
        <w:rPr>
          <w:rFonts w:ascii="標楷體" w:eastAsia="標楷體" w:hAnsi="標楷體"/>
        </w:rPr>
        <w:t>代謝不良基因變異型、肝腎功能不佳、或曾因服用上述藥物發生嚴重感染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，得降低前述系統性治療藥物之合理劑量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病歷中須詳述說明及記載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CA3F27" w:rsidRDefault="00ED050B">
      <w:pPr>
        <w:pStyle w:val="a9"/>
        <w:numPr>
          <w:ilvl w:val="0"/>
          <w:numId w:val="1"/>
        </w:numPr>
        <w:snapToGrid w:val="0"/>
        <w:ind w:left="746" w:hanging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需經事前審查核准後使用。</w:t>
      </w:r>
    </w:p>
    <w:p w:rsidR="00CA3F27" w:rsidRDefault="00ED050B">
      <w:pPr>
        <w:pStyle w:val="a9"/>
        <w:numPr>
          <w:ilvl w:val="0"/>
          <w:numId w:val="3"/>
        </w:numPr>
        <w:snapToGrid w:val="0"/>
        <w:ind w:left="1029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初次申請時，以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個月為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個療程。經</w:t>
      </w:r>
      <w:proofErr w:type="gramStart"/>
      <w:r>
        <w:rPr>
          <w:rFonts w:ascii="標楷體" w:eastAsia="標楷體" w:hAnsi="標楷體"/>
        </w:rPr>
        <w:t>評估需續用</w:t>
      </w:r>
      <w:proofErr w:type="gramEnd"/>
      <w:r>
        <w:rPr>
          <w:rFonts w:ascii="標楷體" w:eastAsia="標楷體" w:hAnsi="標楷體"/>
        </w:rPr>
        <w:t>者，每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個月需再次提出事前審查申請續用評估，且應於</w:t>
      </w:r>
      <w:r>
        <w:rPr>
          <w:rFonts w:ascii="標楷體" w:eastAsia="標楷體" w:hAnsi="標楷體"/>
        </w:rPr>
        <w:t>期滿前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個月提出，並於</w:t>
      </w:r>
      <w:proofErr w:type="gramStart"/>
      <w:r>
        <w:rPr>
          <w:rFonts w:ascii="標楷體" w:eastAsia="標楷體" w:hAnsi="標楷體"/>
        </w:rPr>
        <w:t>申請時檢</w:t>
      </w:r>
      <w:proofErr w:type="gramEnd"/>
      <w:r>
        <w:rPr>
          <w:rFonts w:ascii="標楷體" w:eastAsia="標楷體" w:hAnsi="標楷體"/>
        </w:rPr>
        <w:t>附照片。</w:t>
      </w:r>
    </w:p>
    <w:p w:rsidR="00CA3F27" w:rsidRDefault="00ED050B">
      <w:pPr>
        <w:pStyle w:val="a9"/>
        <w:numPr>
          <w:ilvl w:val="0"/>
          <w:numId w:val="3"/>
        </w:numPr>
        <w:snapToGrid w:val="0"/>
        <w:ind w:left="1029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初次申請經核准，於治療滿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個月後，經</w:t>
      </w:r>
      <w:proofErr w:type="gramStart"/>
      <w:r>
        <w:rPr>
          <w:rFonts w:ascii="標楷體" w:eastAsia="標楷體" w:hAnsi="標楷體"/>
        </w:rPr>
        <w:t>評估需續用</w:t>
      </w:r>
      <w:proofErr w:type="gramEnd"/>
      <w:r>
        <w:rPr>
          <w:rFonts w:ascii="標楷體" w:eastAsia="標楷體" w:hAnsi="標楷體"/>
        </w:rPr>
        <w:t>者，申請續用時，需檢附照片證明初次申請治療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個月後，與初次治療前之療效達</w:t>
      </w:r>
      <w:r>
        <w:rPr>
          <w:rFonts w:ascii="標楷體" w:eastAsia="標楷體" w:hAnsi="標楷體"/>
        </w:rPr>
        <w:t>EASI 50</w:t>
      </w:r>
      <w:r>
        <w:rPr>
          <w:rFonts w:ascii="標楷體" w:eastAsia="標楷體" w:hAnsi="標楷體"/>
        </w:rPr>
        <w:t>方可申請使用。停藥超過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個月再申請者，視同新申請案件，否則視為續用案件。</w:t>
      </w:r>
      <w:r>
        <w:rPr>
          <w:rFonts w:ascii="標楷體" w:eastAsia="標楷體" w:hAnsi="標楷體"/>
        </w:rPr>
        <w:t xml:space="preserve"> </w:t>
      </w:r>
    </w:p>
    <w:p w:rsidR="00CA3F27" w:rsidRDefault="00ED050B">
      <w:pPr>
        <w:pStyle w:val="a9"/>
        <w:numPr>
          <w:ilvl w:val="0"/>
          <w:numId w:val="3"/>
        </w:numPr>
        <w:snapToGrid w:val="0"/>
        <w:ind w:left="1029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使用劑量：</w:t>
      </w:r>
    </w:p>
    <w:p w:rsidR="00CA3F27" w:rsidRDefault="00ED050B">
      <w:pPr>
        <w:snapToGrid w:val="0"/>
        <w:ind w:left="1323" w:hanging="43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Ⅰ.</w:t>
      </w:r>
      <w:r>
        <w:rPr>
          <w:rFonts w:ascii="標楷體" w:eastAsia="標楷體" w:hAnsi="標楷體"/>
        </w:rPr>
        <w:t>體重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公斤以上至未滿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公斤：起始劑量</w:t>
      </w:r>
      <w:r>
        <w:rPr>
          <w:rFonts w:ascii="標楷體" w:eastAsia="標楷體" w:hAnsi="標楷體"/>
        </w:rPr>
        <w:t>600mg (</w:t>
      </w:r>
      <w:r>
        <w:rPr>
          <w:rFonts w:ascii="標楷體" w:eastAsia="標楷體" w:hAnsi="標楷體"/>
        </w:rPr>
        <w:t>限</w:t>
      </w:r>
      <w:r>
        <w:rPr>
          <w:rFonts w:ascii="標楷體" w:eastAsia="標楷體" w:hAnsi="標楷體"/>
        </w:rPr>
        <w:t>300mg</w:t>
      </w:r>
      <w:r>
        <w:rPr>
          <w:rFonts w:ascii="標楷體" w:eastAsia="標楷體" w:hAnsi="標楷體"/>
        </w:rPr>
        <w:t>注射兩劑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，接著以</w:t>
      </w:r>
      <w:r>
        <w:rPr>
          <w:rFonts w:ascii="標楷體" w:eastAsia="標楷體" w:hAnsi="標楷體"/>
        </w:rPr>
        <w:t>300mg</w:t>
      </w:r>
      <w:r>
        <w:rPr>
          <w:rFonts w:ascii="標楷體" w:eastAsia="標楷體" w:hAnsi="標楷體"/>
        </w:rPr>
        <w:t>隔</w:t>
      </w:r>
      <w:r>
        <w:rPr>
          <w:rFonts w:ascii="標楷體" w:eastAsia="標楷體" w:hAnsi="標楷體"/>
        </w:rPr>
        <w:t>4</w:t>
      </w:r>
      <w:proofErr w:type="gramStart"/>
      <w:r>
        <w:rPr>
          <w:rFonts w:ascii="標楷體" w:eastAsia="標楷體" w:hAnsi="標楷體"/>
        </w:rPr>
        <w:t>週</w:t>
      </w:r>
      <w:proofErr w:type="gramEnd"/>
      <w:r>
        <w:rPr>
          <w:rFonts w:ascii="標楷體" w:eastAsia="標楷體" w:hAnsi="標楷體"/>
        </w:rPr>
        <w:t>注射一次，且於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/>
        </w:rPr>
        <w:t>週時，須先行評估，至少有</w:t>
      </w:r>
      <w:r>
        <w:rPr>
          <w:rFonts w:ascii="標楷體" w:eastAsia="標楷體" w:hAnsi="標楷體"/>
        </w:rPr>
        <w:t>EASI 50</w:t>
      </w:r>
      <w:r>
        <w:rPr>
          <w:rFonts w:ascii="標楷體" w:eastAsia="標楷體" w:hAnsi="標楷體"/>
        </w:rPr>
        <w:t>療效方可使用。</w:t>
      </w:r>
    </w:p>
    <w:p w:rsidR="00CA3F27" w:rsidRDefault="00ED050B">
      <w:pPr>
        <w:snapToGrid w:val="0"/>
        <w:ind w:left="1311" w:hanging="45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Ⅱ.</w:t>
      </w:r>
      <w:r>
        <w:rPr>
          <w:rFonts w:ascii="標楷體" w:eastAsia="標楷體" w:hAnsi="標楷體"/>
        </w:rPr>
        <w:t>體重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公斤以上至未滿</w:t>
      </w:r>
      <w:r>
        <w:rPr>
          <w:rFonts w:ascii="標楷體" w:eastAsia="標楷體" w:hAnsi="標楷體"/>
        </w:rPr>
        <w:t>60</w:t>
      </w:r>
      <w:r>
        <w:rPr>
          <w:rFonts w:ascii="標楷體" w:eastAsia="標楷體" w:hAnsi="標楷體"/>
        </w:rPr>
        <w:t>公斤：起始劑量</w:t>
      </w:r>
      <w:r>
        <w:rPr>
          <w:rFonts w:ascii="標楷體" w:eastAsia="標楷體" w:hAnsi="標楷體"/>
        </w:rPr>
        <w:t>400mg (</w:t>
      </w:r>
      <w:r>
        <w:rPr>
          <w:rFonts w:ascii="標楷體" w:eastAsia="標楷體" w:hAnsi="標楷體"/>
        </w:rPr>
        <w:t>限</w:t>
      </w:r>
      <w:r>
        <w:rPr>
          <w:rFonts w:ascii="標楷體" w:eastAsia="標楷體" w:hAnsi="標楷體"/>
        </w:rPr>
        <w:t>200mg</w:t>
      </w:r>
      <w:r>
        <w:rPr>
          <w:rFonts w:ascii="標楷體" w:eastAsia="標楷體" w:hAnsi="標楷體"/>
        </w:rPr>
        <w:t>注射</w:t>
      </w:r>
      <w:r>
        <w:rPr>
          <w:rFonts w:ascii="標楷體" w:eastAsia="標楷體" w:hAnsi="標楷體"/>
        </w:rPr>
        <w:t>兩劑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，接著以</w:t>
      </w:r>
      <w:r>
        <w:rPr>
          <w:rFonts w:ascii="標楷體" w:eastAsia="標楷體" w:hAnsi="標楷體"/>
        </w:rPr>
        <w:t>200mg</w:t>
      </w:r>
      <w:r>
        <w:rPr>
          <w:rFonts w:ascii="標楷體" w:eastAsia="標楷體" w:hAnsi="標楷體"/>
        </w:rPr>
        <w:t>隔</w:t>
      </w:r>
      <w:proofErr w:type="gramStart"/>
      <w:r>
        <w:rPr>
          <w:rFonts w:ascii="標楷體" w:eastAsia="標楷體" w:hAnsi="標楷體"/>
        </w:rPr>
        <w:t>週</w:t>
      </w:r>
      <w:proofErr w:type="gramEnd"/>
      <w:r>
        <w:rPr>
          <w:rFonts w:ascii="標楷體" w:eastAsia="標楷體" w:hAnsi="標楷體"/>
        </w:rPr>
        <w:t>注射一次，且於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/>
        </w:rPr>
        <w:t>週時，須先行評估，至少有</w:t>
      </w:r>
      <w:r>
        <w:rPr>
          <w:rFonts w:ascii="標楷體" w:eastAsia="標楷體" w:hAnsi="標楷體"/>
        </w:rPr>
        <w:t>EASI 50</w:t>
      </w:r>
      <w:r>
        <w:rPr>
          <w:rFonts w:ascii="標楷體" w:eastAsia="標楷體" w:hAnsi="標楷體"/>
        </w:rPr>
        <w:t>療效方可使用。</w:t>
      </w:r>
    </w:p>
    <w:p w:rsidR="00CA3F27" w:rsidRDefault="00ED050B">
      <w:pPr>
        <w:snapToGrid w:val="0"/>
        <w:ind w:left="1170" w:hanging="31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Ⅲ.</w:t>
      </w:r>
      <w:r>
        <w:rPr>
          <w:rFonts w:ascii="標楷體" w:eastAsia="標楷體" w:hAnsi="標楷體"/>
        </w:rPr>
        <w:t>體重</w:t>
      </w:r>
      <w:r>
        <w:rPr>
          <w:rFonts w:ascii="標楷體" w:eastAsia="標楷體" w:hAnsi="標楷體"/>
        </w:rPr>
        <w:t>60</w:t>
      </w:r>
      <w:r>
        <w:rPr>
          <w:rFonts w:ascii="標楷體" w:eastAsia="標楷體" w:hAnsi="標楷體"/>
        </w:rPr>
        <w:t>公斤以上：起始劑量</w:t>
      </w:r>
      <w:r>
        <w:rPr>
          <w:rFonts w:ascii="標楷體" w:eastAsia="標楷體" w:hAnsi="標楷體"/>
        </w:rPr>
        <w:t>600mg (</w:t>
      </w:r>
      <w:r>
        <w:rPr>
          <w:rFonts w:ascii="標楷體" w:eastAsia="標楷體" w:hAnsi="標楷體"/>
        </w:rPr>
        <w:t>限</w:t>
      </w:r>
      <w:r>
        <w:rPr>
          <w:rFonts w:ascii="標楷體" w:eastAsia="標楷體" w:hAnsi="標楷體"/>
        </w:rPr>
        <w:t>300mg</w:t>
      </w:r>
      <w:r>
        <w:rPr>
          <w:rFonts w:ascii="標楷體" w:eastAsia="標楷體" w:hAnsi="標楷體"/>
        </w:rPr>
        <w:t>注射兩劑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，接著以</w:t>
      </w:r>
      <w:r>
        <w:rPr>
          <w:rFonts w:ascii="標楷體" w:eastAsia="標楷體" w:hAnsi="標楷體"/>
        </w:rPr>
        <w:t>300mg</w:t>
      </w:r>
      <w:r>
        <w:rPr>
          <w:rFonts w:ascii="標楷體" w:eastAsia="標楷體" w:hAnsi="標楷體"/>
        </w:rPr>
        <w:t>隔</w:t>
      </w:r>
      <w:proofErr w:type="gramStart"/>
      <w:r>
        <w:rPr>
          <w:rFonts w:ascii="標楷體" w:eastAsia="標楷體" w:hAnsi="標楷體"/>
        </w:rPr>
        <w:t>週</w:t>
      </w:r>
      <w:proofErr w:type="gramEnd"/>
      <w:r>
        <w:rPr>
          <w:rFonts w:ascii="標楷體" w:eastAsia="標楷體" w:hAnsi="標楷體"/>
        </w:rPr>
        <w:t>注射一次，且於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/>
        </w:rPr>
        <w:t>週時，須先行評估，至少有</w:t>
      </w:r>
      <w:r>
        <w:rPr>
          <w:rFonts w:ascii="標楷體" w:eastAsia="標楷體" w:hAnsi="標楷體"/>
        </w:rPr>
        <w:t>EASI 50</w:t>
      </w:r>
      <w:r>
        <w:rPr>
          <w:rFonts w:ascii="標楷體" w:eastAsia="標楷體" w:hAnsi="標楷體"/>
        </w:rPr>
        <w:t>療效方可使用。</w:t>
      </w:r>
    </w:p>
    <w:p w:rsidR="00CA3F27" w:rsidRDefault="00ED050B">
      <w:pPr>
        <w:pStyle w:val="a9"/>
        <w:numPr>
          <w:ilvl w:val="0"/>
          <w:numId w:val="3"/>
        </w:numPr>
        <w:snapToGrid w:val="0"/>
        <w:ind w:left="1029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若患者曾核准使用治療乾癬之生物製劑，需等到乾癬症狀消失後，至少兩年才能提出申請。或申請前須切片確定排除乾癬診斷並經皮膚科專科醫師確立診斷。</w:t>
      </w:r>
    </w:p>
    <w:p w:rsidR="00CA3F27" w:rsidRDefault="00ED050B">
      <w:pPr>
        <w:pStyle w:val="a9"/>
        <w:numPr>
          <w:ilvl w:val="0"/>
          <w:numId w:val="1"/>
        </w:numPr>
        <w:snapToGrid w:val="0"/>
        <w:ind w:left="746" w:hanging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需排除使用的情形應參照藥物仿單資訊，重要之排除使用狀況包括：寄生蟲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蠕蟲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感染。</w:t>
      </w:r>
    </w:p>
    <w:p w:rsidR="00CA3F27" w:rsidRDefault="00ED050B">
      <w:pPr>
        <w:pStyle w:val="a9"/>
        <w:numPr>
          <w:ilvl w:val="0"/>
          <w:numId w:val="1"/>
        </w:numPr>
        <w:snapToGrid w:val="0"/>
        <w:ind w:left="746" w:hanging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如果發生下列現象應停止治療：</w:t>
      </w:r>
    </w:p>
    <w:p w:rsidR="00CA3F27" w:rsidRDefault="00ED050B">
      <w:pPr>
        <w:pStyle w:val="a9"/>
        <w:numPr>
          <w:ilvl w:val="0"/>
          <w:numId w:val="4"/>
        </w:numPr>
        <w:snapToGrid w:val="0"/>
        <w:ind w:left="1029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不良事件，包括：</w:t>
      </w:r>
    </w:p>
    <w:p w:rsidR="00CA3F27" w:rsidRDefault="00ED050B">
      <w:pPr>
        <w:snapToGrid w:val="0"/>
        <w:ind w:left="57" w:firstLine="794"/>
      </w:pPr>
      <w:bookmarkStart w:id="3" w:name="_Hlk156320877"/>
      <w:r>
        <w:rPr>
          <w:rFonts w:ascii="標楷體" w:eastAsia="標楷體" w:hAnsi="標楷體"/>
          <w:color w:val="000000"/>
        </w:rPr>
        <w:t>Ⅰ.</w:t>
      </w:r>
      <w:bookmarkEnd w:id="3"/>
      <w:r>
        <w:rPr>
          <w:rFonts w:ascii="標楷體" w:eastAsia="標楷體" w:hAnsi="標楷體"/>
        </w:rPr>
        <w:t>惡性腫瘤。</w:t>
      </w:r>
    </w:p>
    <w:p w:rsidR="00CA3F27" w:rsidRDefault="00ED050B">
      <w:pPr>
        <w:snapToGrid w:val="0"/>
        <w:ind w:left="404" w:firstLine="4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Ⅱ.</w:t>
      </w:r>
      <w:r>
        <w:rPr>
          <w:rFonts w:ascii="標楷體" w:eastAsia="標楷體" w:hAnsi="標楷體"/>
        </w:rPr>
        <w:t>寄生蟲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蠕蟲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感染。</w:t>
      </w:r>
    </w:p>
    <w:p w:rsidR="00CA3F27" w:rsidRDefault="00ED050B">
      <w:pPr>
        <w:pStyle w:val="a9"/>
        <w:numPr>
          <w:ilvl w:val="0"/>
          <w:numId w:val="4"/>
        </w:numPr>
        <w:snapToGrid w:val="0"/>
        <w:ind w:left="1029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療效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彰：患者經過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個月治療（初次療程）後未達療效者，療效定義指</w:t>
      </w:r>
      <w:r>
        <w:rPr>
          <w:rFonts w:ascii="標楷體" w:eastAsia="標楷體" w:hAnsi="標楷體"/>
        </w:rPr>
        <w:t>EASI</w:t>
      </w:r>
      <w:r>
        <w:rPr>
          <w:rFonts w:ascii="標楷體" w:eastAsia="標楷體" w:hAnsi="標楷體"/>
        </w:rPr>
        <w:t>改善未達</w:t>
      </w:r>
      <w:r>
        <w:rPr>
          <w:rFonts w:ascii="標楷體" w:eastAsia="標楷體" w:hAnsi="標楷體"/>
        </w:rPr>
        <w:t>50%</w:t>
      </w:r>
      <w:r>
        <w:rPr>
          <w:rFonts w:ascii="標楷體" w:eastAsia="標楷體" w:hAnsi="標楷體"/>
        </w:rPr>
        <w:t>。</w:t>
      </w:r>
    </w:p>
    <w:p w:rsidR="00CA3F27" w:rsidRDefault="00ED050B">
      <w:pPr>
        <w:pStyle w:val="a9"/>
        <w:numPr>
          <w:ilvl w:val="0"/>
          <w:numId w:val="1"/>
        </w:numPr>
        <w:snapToGrid w:val="0"/>
        <w:ind w:left="746" w:hanging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暫緩續用之相關規定：</w:t>
      </w:r>
    </w:p>
    <w:p w:rsidR="00CA3F27" w:rsidRDefault="00ED050B">
      <w:pPr>
        <w:pStyle w:val="a9"/>
        <w:numPr>
          <w:ilvl w:val="0"/>
          <w:numId w:val="5"/>
        </w:numPr>
        <w:snapToGrid w:val="0"/>
        <w:ind w:left="1029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暫緩續用時機：使用生物製劑治療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年後符合</w:t>
      </w:r>
      <w:r>
        <w:rPr>
          <w:rFonts w:ascii="標楷體" w:eastAsia="標楷體" w:hAnsi="標楷體"/>
        </w:rPr>
        <w:t>EASI</w:t>
      </w:r>
      <w:proofErr w:type="gramStart"/>
      <w:r>
        <w:rPr>
          <w:rFonts w:ascii="標楷體" w:eastAsia="標楷體" w:hAnsi="標楷體"/>
        </w:rPr>
        <w:t>≦</w:t>
      </w:r>
      <w:proofErr w:type="gramEnd"/>
      <w:r>
        <w:rPr>
          <w:rFonts w:ascii="標楷體" w:eastAsia="標楷體" w:hAnsi="標楷體"/>
        </w:rPr>
        <w:t>16</w:t>
      </w:r>
      <w:r>
        <w:rPr>
          <w:rFonts w:ascii="標楷體" w:eastAsia="標楷體" w:hAnsi="標楷體"/>
        </w:rPr>
        <w:t>者。</w:t>
      </w:r>
    </w:p>
    <w:p w:rsidR="00CA3F27" w:rsidRDefault="00ED050B">
      <w:pPr>
        <w:pStyle w:val="a9"/>
        <w:numPr>
          <w:ilvl w:val="0"/>
          <w:numId w:val="5"/>
        </w:numPr>
        <w:snapToGrid w:val="0"/>
        <w:ind w:left="1029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暫緩續用後若疾病再復發，可重新申請使用，須符合至少有</w:t>
      </w:r>
      <w:r>
        <w:rPr>
          <w:rFonts w:ascii="標楷體" w:eastAsia="標楷體" w:hAnsi="標楷體"/>
        </w:rPr>
        <w:t>50%</w:t>
      </w:r>
      <w:r>
        <w:rPr>
          <w:rFonts w:ascii="標楷體" w:eastAsia="標楷體" w:hAnsi="標楷體"/>
        </w:rPr>
        <w:t>復發或</w:t>
      </w:r>
      <w:r>
        <w:rPr>
          <w:rFonts w:ascii="標楷體" w:eastAsia="標楷體" w:hAnsi="標楷體"/>
        </w:rPr>
        <w:t>EASI</w:t>
      </w:r>
      <w:proofErr w:type="gramStart"/>
      <w:r>
        <w:rPr>
          <w:rFonts w:ascii="標楷體" w:eastAsia="標楷體" w:hAnsi="標楷體"/>
        </w:rPr>
        <w:t>≧</w:t>
      </w:r>
      <w:proofErr w:type="gramEnd"/>
      <w:r>
        <w:rPr>
          <w:rFonts w:ascii="標楷體" w:eastAsia="標楷體" w:hAnsi="標楷體"/>
        </w:rPr>
        <w:t>16 (</w:t>
      </w:r>
      <w:r>
        <w:rPr>
          <w:rFonts w:ascii="標楷體" w:eastAsia="標楷體" w:hAnsi="標楷體"/>
        </w:rPr>
        <w:t>需附上次療程治療前、後，及本次照片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CA3F27" w:rsidRDefault="00ED050B">
      <w:pPr>
        <w:snapToGrid w:val="0"/>
        <w:ind w:left="603" w:hanging="26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◎</w:t>
      </w:r>
      <w:r>
        <w:rPr>
          <w:rFonts w:ascii="標楷體" w:eastAsia="標楷體" w:hAnsi="標楷體"/>
        </w:rPr>
        <w:t>附表三十二：異位性皮膚炎面積暨嚴重度指數【</w:t>
      </w:r>
      <w:r>
        <w:rPr>
          <w:rFonts w:ascii="標楷體" w:eastAsia="標楷體" w:hAnsi="標楷體"/>
        </w:rPr>
        <w:t xml:space="preserve">Eczema Area and Severity Index </w:t>
      </w:r>
      <w:r>
        <w:rPr>
          <w:rFonts w:ascii="標楷體" w:eastAsia="標楷體" w:hAnsi="標楷體"/>
        </w:rPr>
        <w:t>(EASI)</w:t>
      </w:r>
      <w:r>
        <w:rPr>
          <w:rFonts w:ascii="標楷體" w:eastAsia="標楷體" w:hAnsi="標楷體"/>
        </w:rPr>
        <w:t>】</w:t>
      </w:r>
      <w:r>
        <w:rPr>
          <w:rFonts w:ascii="標楷體" w:eastAsia="標楷體" w:hAnsi="標楷體"/>
        </w:rPr>
        <w:t>(108/12/1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113/2/1)</w:t>
      </w:r>
    </w:p>
    <w:p w:rsidR="00CA3F27" w:rsidRDefault="00ED050B">
      <w:pPr>
        <w:snapToGrid w:val="0"/>
        <w:ind w:left="649" w:hanging="308"/>
      </w:pPr>
      <w:r>
        <w:rPr>
          <w:rFonts w:ascii="標楷體" w:eastAsia="標楷體" w:hAnsi="標楷體"/>
        </w:rPr>
        <w:t>◎</w:t>
      </w:r>
      <w:r>
        <w:rPr>
          <w:rFonts w:ascii="標楷體" w:eastAsia="標楷體" w:hAnsi="標楷體"/>
        </w:rPr>
        <w:t>附表三十二之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：全民健康保險</w:t>
      </w:r>
      <w:r>
        <w:rPr>
          <w:rFonts w:ascii="標楷體" w:eastAsia="標楷體" w:hAnsi="標楷體"/>
          <w:bCs/>
          <w:szCs w:val="24"/>
        </w:rPr>
        <w:t>12</w:t>
      </w:r>
      <w:r>
        <w:rPr>
          <w:rFonts w:ascii="標楷體" w:eastAsia="標楷體" w:hAnsi="標楷體"/>
          <w:bCs/>
          <w:szCs w:val="24"/>
        </w:rPr>
        <w:t>歲以上病人</w:t>
      </w:r>
      <w:r>
        <w:rPr>
          <w:rFonts w:ascii="標楷體" w:eastAsia="標楷體" w:hAnsi="標楷體"/>
        </w:rPr>
        <w:t>異位性皮膚炎使用生物製劑申請表</w:t>
      </w:r>
      <w:r>
        <w:rPr>
          <w:rFonts w:ascii="標楷體" w:eastAsia="標楷體" w:hAnsi="標楷體"/>
        </w:rPr>
        <w:lastRenderedPageBreak/>
        <w:t>(109/8/1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111/8/1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113/2/1)</w:t>
      </w:r>
    </w:p>
    <w:p w:rsidR="00CA3F27" w:rsidRDefault="00ED050B">
      <w:pPr>
        <w:snapToGrid w:val="0"/>
        <w:ind w:left="679" w:hanging="29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◎</w:t>
      </w:r>
      <w:r>
        <w:rPr>
          <w:rFonts w:ascii="標楷體" w:eastAsia="標楷體" w:hAnsi="標楷體"/>
        </w:rPr>
        <w:t>附表三十二之二：全民健康保險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歲以上未滿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歲兒童異位性皮膚炎使用生物製劑申請表</w:t>
      </w:r>
      <w:r>
        <w:rPr>
          <w:rFonts w:ascii="標楷體" w:eastAsia="標楷體" w:hAnsi="標楷體"/>
        </w:rPr>
        <w:t>(113/2/1)</w:t>
      </w:r>
    </w:p>
    <w:p w:rsidR="00CA3F27" w:rsidRDefault="00ED050B">
      <w:pPr>
        <w:ind w:left="4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13.18.Nadifloxacin</w:t>
      </w:r>
      <w:r>
        <w:rPr>
          <w:rFonts w:ascii="標楷體" w:eastAsia="標楷體" w:hAnsi="標楷體"/>
          <w:color w:val="000000"/>
        </w:rPr>
        <w:t>外用製劑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如</w:t>
      </w:r>
      <w:proofErr w:type="spellStart"/>
      <w:r>
        <w:rPr>
          <w:rFonts w:ascii="標楷體" w:eastAsia="標楷體" w:hAnsi="標楷體"/>
          <w:color w:val="000000"/>
        </w:rPr>
        <w:t>Nadixa</w:t>
      </w:r>
      <w:proofErr w:type="spellEnd"/>
      <w:r>
        <w:rPr>
          <w:rFonts w:ascii="標楷體" w:eastAsia="標楷體" w:hAnsi="標楷體"/>
          <w:color w:val="000000"/>
        </w:rPr>
        <w:t>) (110/6/1)</w:t>
      </w:r>
    </w:p>
    <w:p w:rsidR="00CA3F27" w:rsidRDefault="00ED050B">
      <w:pPr>
        <w:ind w:left="796" w:hanging="23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限用於傳統外用抗生素治療無效之毛囊炎及尋常性鬚瘡，不得合併其他局部抗生素藥膏使用。</w:t>
      </w:r>
    </w:p>
    <w:p w:rsidR="00CA3F27" w:rsidRDefault="00ED050B">
      <w:pPr>
        <w:ind w:left="56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</w:rPr>
        <w:t>臉部每</w:t>
      </w:r>
      <w:proofErr w:type="gramStart"/>
      <w:r>
        <w:rPr>
          <w:rFonts w:ascii="標楷體" w:eastAsia="標楷體" w:hAnsi="標楷體"/>
          <w:color w:val="000000"/>
        </w:rPr>
        <w:t>個月限</w:t>
      </w:r>
      <w:proofErr w:type="gramEnd"/>
      <w:r>
        <w:rPr>
          <w:rFonts w:ascii="標楷體" w:eastAsia="標楷體" w:hAnsi="標楷體"/>
          <w:color w:val="000000"/>
        </w:rPr>
        <w:t>用一條（</w:t>
      </w:r>
      <w:r>
        <w:rPr>
          <w:rFonts w:ascii="標楷體" w:eastAsia="標楷體" w:hAnsi="標楷體"/>
          <w:color w:val="000000"/>
        </w:rPr>
        <w:t>25gm</w:t>
      </w:r>
      <w:r>
        <w:rPr>
          <w:rFonts w:ascii="標楷體" w:eastAsia="標楷體" w:hAnsi="標楷體"/>
          <w:color w:val="000000"/>
        </w:rPr>
        <w:t>）。</w:t>
      </w:r>
    </w:p>
    <w:p w:rsidR="00CA3F27" w:rsidRDefault="00ED050B">
      <w:pPr>
        <w:ind w:left="566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13.19.Cente</w:t>
      </w:r>
      <w:r>
        <w:rPr>
          <w:rFonts w:ascii="標楷體" w:eastAsia="標楷體" w:hAnsi="標楷體"/>
          <w:color w:val="000000"/>
        </w:rPr>
        <w:t xml:space="preserve">lla </w:t>
      </w:r>
      <w:proofErr w:type="spellStart"/>
      <w:r>
        <w:rPr>
          <w:rFonts w:ascii="標楷體" w:eastAsia="標楷體" w:hAnsi="標楷體"/>
          <w:color w:val="000000"/>
        </w:rPr>
        <w:t>asiatica</w:t>
      </w:r>
      <w:proofErr w:type="spellEnd"/>
      <w:r>
        <w:rPr>
          <w:rFonts w:ascii="標楷體" w:eastAsia="標楷體" w:hAnsi="標楷體"/>
          <w:color w:val="000000"/>
        </w:rPr>
        <w:t xml:space="preserve"> extract, </w:t>
      </w:r>
      <w:proofErr w:type="spellStart"/>
      <w:r>
        <w:rPr>
          <w:rFonts w:ascii="標楷體" w:eastAsia="標楷體" w:hAnsi="標楷體"/>
          <w:color w:val="000000"/>
        </w:rPr>
        <w:t>plectranthus</w:t>
      </w:r>
      <w:proofErr w:type="spellEnd"/>
      <w:r>
        <w:rPr>
          <w:rFonts w:ascii="標楷體" w:eastAsia="標楷體" w:hAnsi="標楷體"/>
          <w:color w:val="000000"/>
        </w:rPr>
        <w:t xml:space="preserve"> </w:t>
      </w:r>
      <w:proofErr w:type="spellStart"/>
      <w:r>
        <w:rPr>
          <w:rFonts w:ascii="標楷體" w:eastAsia="標楷體" w:hAnsi="標楷體"/>
          <w:color w:val="000000"/>
        </w:rPr>
        <w:t>amboinicus</w:t>
      </w:r>
      <w:proofErr w:type="spellEnd"/>
      <w:r>
        <w:rPr>
          <w:rFonts w:ascii="標楷體" w:eastAsia="標楷體" w:hAnsi="標楷體"/>
          <w:color w:val="000000"/>
        </w:rPr>
        <w:t xml:space="preserve"> extract</w:t>
      </w:r>
      <w:r>
        <w:rPr>
          <w:rFonts w:ascii="標楷體" w:eastAsia="標楷體" w:hAnsi="標楷體"/>
          <w:color w:val="000000"/>
        </w:rPr>
        <w:t>外用製劑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如</w:t>
      </w:r>
      <w:proofErr w:type="spellStart"/>
      <w:r>
        <w:rPr>
          <w:rFonts w:ascii="標楷體" w:eastAsia="標楷體" w:hAnsi="標楷體"/>
          <w:color w:val="000000"/>
        </w:rPr>
        <w:t>Fespixon</w:t>
      </w:r>
      <w:proofErr w:type="spellEnd"/>
      <w:r>
        <w:rPr>
          <w:rFonts w:ascii="標楷體" w:eastAsia="標楷體" w:hAnsi="標楷體"/>
          <w:color w:val="000000"/>
        </w:rPr>
        <w:t xml:space="preserve"> cream)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00"/>
        </w:rPr>
        <w:t>(112/8/1)</w:t>
      </w:r>
    </w:p>
    <w:p w:rsidR="00CA3F27" w:rsidRDefault="00ED050B">
      <w:pPr>
        <w:ind w:left="56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限整形外科或皮膚科專科醫師使用。</w:t>
      </w:r>
    </w:p>
    <w:p w:rsidR="00CA3F27" w:rsidRDefault="00ED050B">
      <w:pPr>
        <w:ind w:left="806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</w:rPr>
        <w:t>限用於糖尿病足部傷口潰瘍</w:t>
      </w:r>
      <w:r>
        <w:rPr>
          <w:rFonts w:ascii="標楷體" w:eastAsia="標楷體" w:hAnsi="標楷體"/>
          <w:color w:val="000000"/>
        </w:rPr>
        <w:t>(Wagner grade 2</w:t>
      </w:r>
      <w:r>
        <w:rPr>
          <w:rFonts w:ascii="標楷體" w:eastAsia="標楷體" w:hAnsi="標楷體"/>
          <w:color w:val="000000"/>
        </w:rPr>
        <w:t>級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，接受積極血糖控制</w:t>
      </w:r>
      <w:proofErr w:type="gramStart"/>
      <w:r>
        <w:rPr>
          <w:rFonts w:ascii="標楷體" w:eastAsia="標楷體" w:hAnsi="標楷體"/>
          <w:color w:val="000000"/>
        </w:rPr>
        <w:t>及清創手術</w:t>
      </w:r>
      <w:proofErr w:type="gramEnd"/>
      <w:r>
        <w:rPr>
          <w:rFonts w:ascii="標楷體" w:eastAsia="標楷體" w:hAnsi="標楷體"/>
          <w:color w:val="000000"/>
        </w:rPr>
        <w:t>後，其治療最大傷口面積不超過</w:t>
      </w:r>
      <w:r>
        <w:rPr>
          <w:rFonts w:ascii="標楷體" w:eastAsia="標楷體" w:hAnsi="標楷體"/>
          <w:color w:val="000000"/>
        </w:rPr>
        <w:t>5cm2</w:t>
      </w:r>
      <w:r>
        <w:rPr>
          <w:rFonts w:ascii="標楷體" w:eastAsia="標楷體" w:hAnsi="標楷體"/>
          <w:color w:val="000000"/>
        </w:rPr>
        <w:t>，且應符合下列所有條件：</w:t>
      </w:r>
    </w:p>
    <w:p w:rsidR="00CA3F27" w:rsidRDefault="00ED050B">
      <w:pPr>
        <w:ind w:left="1046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(1)</w:t>
      </w:r>
      <w:r>
        <w:rPr>
          <w:rFonts w:ascii="標楷體" w:eastAsia="標楷體" w:hAnsi="標楷體"/>
          <w:color w:val="000000"/>
        </w:rPr>
        <w:t>糖尿病足部傷口潰瘍，傷口深及</w:t>
      </w:r>
      <w:proofErr w:type="gramStart"/>
      <w:r>
        <w:rPr>
          <w:rFonts w:ascii="標楷體" w:eastAsia="標楷體" w:hAnsi="標楷體"/>
          <w:color w:val="000000"/>
        </w:rPr>
        <w:t>肌肉層且經</w:t>
      </w:r>
      <w:proofErr w:type="gramEnd"/>
      <w:r>
        <w:rPr>
          <w:rFonts w:ascii="標楷體" w:eastAsia="標楷體" w:hAnsi="標楷體"/>
          <w:color w:val="000000"/>
        </w:rPr>
        <w:t>抗生素藥膏或燙傷藥膏治療及使用傷口敷料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週後，該傷口癒合面積小於</w:t>
      </w:r>
      <w:r>
        <w:rPr>
          <w:rFonts w:ascii="標楷體" w:eastAsia="標楷體" w:hAnsi="標楷體"/>
          <w:color w:val="000000"/>
        </w:rPr>
        <w:t>50%</w:t>
      </w:r>
      <w:r>
        <w:rPr>
          <w:rFonts w:ascii="標楷體" w:eastAsia="標楷體" w:hAnsi="標楷體"/>
          <w:color w:val="000000"/>
        </w:rPr>
        <w:t>。</w:t>
      </w:r>
    </w:p>
    <w:p w:rsidR="00CA3F27" w:rsidRDefault="00ED050B">
      <w:pPr>
        <w:ind w:left="80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(2)HbA1c&lt;8.5%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 xml:space="preserve">albumin </w:t>
      </w:r>
      <w:proofErr w:type="gramStart"/>
      <w:r>
        <w:rPr>
          <w:rFonts w:ascii="標楷體" w:eastAsia="標楷體" w:hAnsi="標楷體"/>
          <w:color w:val="000000"/>
        </w:rPr>
        <w:t>≧</w:t>
      </w:r>
      <w:proofErr w:type="gramEnd"/>
      <w:r>
        <w:rPr>
          <w:rFonts w:ascii="標楷體" w:eastAsia="標楷體" w:hAnsi="標楷體"/>
          <w:color w:val="000000"/>
        </w:rPr>
        <w:t xml:space="preserve"> 3.0 g/dL</w:t>
      </w:r>
      <w:r>
        <w:rPr>
          <w:rFonts w:ascii="標楷體" w:eastAsia="標楷體" w:hAnsi="標楷體"/>
          <w:color w:val="000000"/>
        </w:rPr>
        <w:t>。</w:t>
      </w:r>
    </w:p>
    <w:p w:rsidR="00CA3F27" w:rsidRDefault="00ED050B">
      <w:pPr>
        <w:ind w:left="80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(3)</w:t>
      </w:r>
      <w:r>
        <w:rPr>
          <w:rFonts w:ascii="標楷體" w:eastAsia="標楷體" w:hAnsi="標楷體"/>
          <w:color w:val="000000"/>
        </w:rPr>
        <w:t>治療前</w:t>
      </w:r>
      <w:r>
        <w:rPr>
          <w:rFonts w:ascii="標楷體" w:eastAsia="標楷體" w:hAnsi="標楷體"/>
          <w:color w:val="000000"/>
        </w:rPr>
        <w:t>ABI</w:t>
      </w: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  <w:color w:val="000000"/>
        </w:rPr>
        <w:t>Ankle Brachial Index</w:t>
      </w:r>
      <w:r>
        <w:rPr>
          <w:rFonts w:ascii="標楷體" w:eastAsia="標楷體" w:hAnsi="標楷體"/>
          <w:color w:val="000000"/>
        </w:rPr>
        <w:t>）</w:t>
      </w:r>
      <w:proofErr w:type="gramStart"/>
      <w:r>
        <w:rPr>
          <w:rFonts w:ascii="標楷體" w:eastAsia="標楷體" w:hAnsi="標楷體"/>
          <w:color w:val="000000"/>
        </w:rPr>
        <w:t>≧</w:t>
      </w:r>
      <w:proofErr w:type="gramEnd"/>
      <w:r>
        <w:rPr>
          <w:rFonts w:ascii="標楷體" w:eastAsia="標楷體" w:hAnsi="標楷體"/>
          <w:color w:val="000000"/>
        </w:rPr>
        <w:t>0.9</w:t>
      </w:r>
      <w:r>
        <w:rPr>
          <w:rFonts w:ascii="標楷體" w:eastAsia="標楷體" w:hAnsi="標楷體"/>
          <w:color w:val="000000"/>
        </w:rPr>
        <w:t>。</w:t>
      </w:r>
    </w:p>
    <w:p w:rsidR="00CA3F27" w:rsidRDefault="00ED050B">
      <w:pPr>
        <w:ind w:left="56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3.</w:t>
      </w:r>
      <w:r>
        <w:rPr>
          <w:rFonts w:ascii="標楷體" w:eastAsia="標楷體" w:hAnsi="標楷體"/>
          <w:color w:val="000000"/>
        </w:rPr>
        <w:t>每年限申請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次，每次申請為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支，每次處方限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支。</w:t>
      </w:r>
    </w:p>
    <w:p w:rsidR="00CA3F27" w:rsidRDefault="00ED050B">
      <w:pPr>
        <w:ind w:left="56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4.</w:t>
      </w:r>
      <w:r>
        <w:rPr>
          <w:rFonts w:ascii="標楷體" w:eastAsia="標楷體" w:hAnsi="標楷體"/>
          <w:color w:val="000000"/>
        </w:rPr>
        <w:t>排除條件</w:t>
      </w:r>
      <w:r>
        <w:rPr>
          <w:rFonts w:ascii="標楷體" w:eastAsia="標楷體" w:hAnsi="標楷體"/>
          <w:color w:val="000000"/>
        </w:rPr>
        <w:t>:</w:t>
      </w:r>
    </w:p>
    <w:p w:rsidR="00CA3F27" w:rsidRDefault="00ED050B">
      <w:pPr>
        <w:ind w:left="80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(1)</w:t>
      </w:r>
      <w:r>
        <w:rPr>
          <w:rFonts w:ascii="標楷體" w:eastAsia="標楷體" w:hAnsi="標楷體"/>
          <w:color w:val="000000"/>
        </w:rPr>
        <w:t>急性發炎感染不穩定之傷口。</w:t>
      </w:r>
    </w:p>
    <w:p w:rsidR="00CA3F27" w:rsidRDefault="00ED050B">
      <w:pPr>
        <w:ind w:left="1166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(2)</w:t>
      </w:r>
      <w:r>
        <w:rPr>
          <w:rFonts w:ascii="標楷體" w:eastAsia="標楷體" w:hAnsi="標楷體"/>
          <w:color w:val="000000"/>
        </w:rPr>
        <w:t>周邊動脈阻塞</w:t>
      </w:r>
      <w:r>
        <w:rPr>
          <w:rFonts w:ascii="標楷體" w:eastAsia="標楷體" w:hAnsi="標楷體"/>
          <w:color w:val="000000"/>
        </w:rPr>
        <w:t xml:space="preserve">(peripheral artery </w:t>
      </w:r>
      <w:proofErr w:type="spellStart"/>
      <w:r>
        <w:rPr>
          <w:rFonts w:ascii="標楷體" w:eastAsia="標楷體" w:hAnsi="標楷體"/>
          <w:color w:val="000000"/>
        </w:rPr>
        <w:t>disease,PAD</w:t>
      </w:r>
      <w:proofErr w:type="spell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病人未施行經皮血管擴張術</w:t>
      </w:r>
      <w:r>
        <w:rPr>
          <w:rFonts w:ascii="標楷體" w:eastAsia="標楷體" w:hAnsi="標楷體"/>
          <w:color w:val="000000"/>
        </w:rPr>
        <w:t xml:space="preserve"> (percutaneous transluminal </w:t>
      </w:r>
      <w:proofErr w:type="spellStart"/>
      <w:r>
        <w:rPr>
          <w:rFonts w:ascii="標楷體" w:eastAsia="標楷體" w:hAnsi="標楷體"/>
          <w:color w:val="000000"/>
        </w:rPr>
        <w:t>angioplasty,PTA</w:t>
      </w:r>
      <w:proofErr w:type="spell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治療者。</w:t>
      </w:r>
    </w:p>
    <w:p w:rsidR="00CA3F27" w:rsidRDefault="00ED050B">
      <w:pPr>
        <w:ind w:left="806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5.</w:t>
      </w:r>
      <w:r>
        <w:rPr>
          <w:rFonts w:ascii="標楷體" w:eastAsia="標楷體" w:hAnsi="標楷體"/>
          <w:color w:val="000000"/>
        </w:rPr>
        <w:t>需經事前審查核准後使用；應附有</w:t>
      </w:r>
      <w:r>
        <w:rPr>
          <w:rFonts w:ascii="標楷體" w:eastAsia="標楷體" w:hAnsi="標楷體"/>
          <w:color w:val="000000"/>
        </w:rPr>
        <w:t>HbA1c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albumin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A</w:t>
      </w:r>
      <w:r>
        <w:rPr>
          <w:rFonts w:ascii="標楷體" w:eastAsia="標楷體" w:hAnsi="標楷體"/>
          <w:color w:val="000000"/>
        </w:rPr>
        <w:t>BI</w:t>
      </w:r>
      <w:r>
        <w:rPr>
          <w:rFonts w:ascii="標楷體" w:eastAsia="標楷體" w:hAnsi="標楷體"/>
          <w:color w:val="000000"/>
        </w:rPr>
        <w:t>資料及</w:t>
      </w:r>
      <w:proofErr w:type="gramStart"/>
      <w:r>
        <w:rPr>
          <w:rFonts w:ascii="標楷體" w:eastAsia="標楷體" w:hAnsi="標楷體"/>
          <w:color w:val="000000"/>
        </w:rPr>
        <w:t>相隔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週以上清創前後</w:t>
      </w:r>
      <w:proofErr w:type="gramEnd"/>
      <w:r>
        <w:rPr>
          <w:rFonts w:ascii="標楷體" w:eastAsia="標楷體" w:hAnsi="標楷體"/>
          <w:color w:val="000000"/>
        </w:rPr>
        <w:t>照片。</w:t>
      </w:r>
    </w:p>
    <w:p w:rsidR="00CA3F27" w:rsidRDefault="00ED050B">
      <w:pPr>
        <w:ind w:left="56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6.</w:t>
      </w:r>
      <w:r>
        <w:rPr>
          <w:rFonts w:ascii="標楷體" w:eastAsia="標楷體" w:hAnsi="標楷體"/>
          <w:color w:val="000000"/>
        </w:rPr>
        <w:t>再次申請時除前條所需資料外，需加附前次治療後該傷口完全癒合之照片。</w:t>
      </w:r>
    </w:p>
    <w:p w:rsidR="00CA3F27" w:rsidRDefault="00ED050B">
      <w:pPr>
        <w:ind w:left="566"/>
      </w:pPr>
      <w:r>
        <w:rPr>
          <w:rFonts w:ascii="標楷體" w:eastAsia="標楷體" w:hAnsi="標楷體"/>
          <w:color w:val="000000"/>
        </w:rPr>
        <w:t>備註</w:t>
      </w:r>
      <w:r>
        <w:rPr>
          <w:rFonts w:ascii="標楷體" w:eastAsia="標楷體" w:hAnsi="標楷體"/>
          <w:color w:val="000000"/>
        </w:rPr>
        <w:t>:</w:t>
      </w:r>
      <w:r>
        <w:rPr>
          <w:rFonts w:ascii="標楷體" w:eastAsia="標楷體" w:hAnsi="標楷體"/>
          <w:color w:val="000000"/>
        </w:rPr>
        <w:t>積極血糖控制，係指糖化血色素不高於個別目標值</w:t>
      </w:r>
      <w:r>
        <w:rPr>
          <w:rFonts w:ascii="標楷體" w:eastAsia="標楷體" w:hAnsi="標楷體"/>
          <w:color w:val="000000"/>
        </w:rPr>
        <w:t>1.5%</w:t>
      </w:r>
      <w:r>
        <w:rPr>
          <w:rFonts w:ascii="標楷體" w:eastAsia="標楷體" w:hAnsi="標楷體"/>
          <w:color w:val="000000"/>
        </w:rPr>
        <w:t>以上，惟一般病人的糖化血色素目標值為</w:t>
      </w:r>
      <w:r>
        <w:rPr>
          <w:rFonts w:ascii="標楷體" w:eastAsia="標楷體" w:hAnsi="標楷體"/>
          <w:color w:val="000000"/>
        </w:rPr>
        <w:t>7.0%</w:t>
      </w:r>
      <w:r>
        <w:rPr>
          <w:rFonts w:ascii="標楷體" w:eastAsia="標楷體" w:hAnsi="標楷體"/>
          <w:color w:val="000000"/>
        </w:rPr>
        <w:t>以下，因此</w:t>
      </w:r>
      <w:r>
        <w:rPr>
          <w:rFonts w:ascii="標楷體" w:eastAsia="標楷體" w:hAnsi="標楷體"/>
          <w:color w:val="000000"/>
        </w:rPr>
        <w:t>8.5%</w:t>
      </w:r>
      <w:r>
        <w:rPr>
          <w:rFonts w:ascii="標楷體" w:eastAsia="標楷體" w:hAnsi="標楷體"/>
          <w:color w:val="000000"/>
        </w:rPr>
        <w:t>為指標。</w:t>
      </w:r>
    </w:p>
    <w:sectPr w:rsidR="00CA3F27">
      <w:footerReference w:type="default" r:id="rId7"/>
      <w:pgSz w:w="11906" w:h="16838"/>
      <w:pgMar w:top="1134" w:right="1134" w:bottom="1134" w:left="1134" w:header="851" w:footer="992" w:gutter="0"/>
      <w:pgNumType w:start="1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D050B">
      <w:r>
        <w:separator/>
      </w:r>
    </w:p>
  </w:endnote>
  <w:endnote w:type="continuationSeparator" w:id="0">
    <w:p w:rsidR="00000000" w:rsidRDefault="00ED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435" w:rsidRDefault="00ED050B">
    <w:pPr>
      <w:pStyle w:val="a5"/>
      <w:jc w:val="center"/>
    </w:pPr>
    <w:r>
      <w:rPr>
        <w:rFonts w:ascii="標楷體" w:eastAsia="標楷體" w:hAnsi="標楷體"/>
      </w:rPr>
      <w:t>第</w:t>
    </w:r>
    <w:r>
      <w:rPr>
        <w:rFonts w:ascii="標楷體" w:eastAsia="標楷體" w:hAnsi="標楷體"/>
      </w:rPr>
      <w:t>13</w:t>
    </w:r>
    <w:r>
      <w:rPr>
        <w:rFonts w:ascii="標楷體" w:eastAsia="標楷體" w:hAnsi="標楷體"/>
      </w:rPr>
      <w:t>節</w:t>
    </w:r>
    <w:r>
      <w:rPr>
        <w:rFonts w:ascii="標楷體" w:eastAsia="標楷體" w:hAnsi="標楷體"/>
      </w:rPr>
      <w:t>-</w:t>
    </w:r>
    <w:r>
      <w:rPr>
        <w:rFonts w:ascii="標楷體" w:eastAsia="標楷體" w:hAnsi="標楷體"/>
        <w:lang w:val="zh-TW"/>
      </w:rPr>
      <w:fldChar w:fldCharType="begin"/>
    </w:r>
    <w:r>
      <w:rPr>
        <w:rFonts w:ascii="標楷體" w:eastAsia="標楷體" w:hAnsi="標楷體"/>
        <w:lang w:val="zh-TW"/>
      </w:rPr>
      <w:instrText xml:space="preserve"> PAGE </w:instrText>
    </w:r>
    <w:r>
      <w:rPr>
        <w:rFonts w:ascii="標楷體" w:eastAsia="標楷體" w:hAnsi="標楷體"/>
        <w:lang w:val="zh-TW"/>
      </w:rPr>
      <w:fldChar w:fldCharType="separate"/>
    </w:r>
    <w:r>
      <w:rPr>
        <w:rFonts w:ascii="標楷體" w:eastAsia="標楷體" w:hAnsi="標楷體"/>
        <w:lang w:val="zh-TW"/>
      </w:rPr>
      <w:t>5</w:t>
    </w:r>
    <w:r>
      <w:rPr>
        <w:rFonts w:ascii="標楷體" w:eastAsia="標楷體" w:hAnsi="標楷體"/>
        <w:lang w:val="zh-TW"/>
      </w:rPr>
      <w:fldChar w:fldCharType="end"/>
    </w:r>
  </w:p>
  <w:p w:rsidR="00DF1435" w:rsidRDefault="00ED05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D050B">
      <w:r>
        <w:rPr>
          <w:color w:val="000000"/>
        </w:rPr>
        <w:separator/>
      </w:r>
    </w:p>
  </w:footnote>
  <w:footnote w:type="continuationSeparator" w:id="0">
    <w:p w:rsidR="00000000" w:rsidRDefault="00ED0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3CC2"/>
    <w:multiLevelType w:val="multilevel"/>
    <w:tmpl w:val="4AF4FAA2"/>
    <w:lvl w:ilvl="0">
      <w:start w:val="1"/>
      <w:numFmt w:val="decimal"/>
      <w:lvlText w:val="(%1)"/>
      <w:lvlJc w:val="left"/>
      <w:pPr>
        <w:ind w:left="1397" w:hanging="72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637" w:hanging="480"/>
      </w:pPr>
    </w:lvl>
    <w:lvl w:ilvl="2">
      <w:start w:val="1"/>
      <w:numFmt w:val="lowerRoman"/>
      <w:lvlText w:val="%3."/>
      <w:lvlJc w:val="right"/>
      <w:pPr>
        <w:ind w:left="2117" w:hanging="480"/>
      </w:pPr>
    </w:lvl>
    <w:lvl w:ilvl="3">
      <w:start w:val="1"/>
      <w:numFmt w:val="decimal"/>
      <w:lvlText w:val="%4."/>
      <w:lvlJc w:val="left"/>
      <w:pPr>
        <w:ind w:left="2597" w:hanging="480"/>
      </w:pPr>
    </w:lvl>
    <w:lvl w:ilvl="4">
      <w:start w:val="1"/>
      <w:numFmt w:val="ideographTraditional"/>
      <w:lvlText w:val="%5、"/>
      <w:lvlJc w:val="left"/>
      <w:pPr>
        <w:ind w:left="3077" w:hanging="480"/>
      </w:pPr>
    </w:lvl>
    <w:lvl w:ilvl="5">
      <w:start w:val="1"/>
      <w:numFmt w:val="lowerRoman"/>
      <w:lvlText w:val="%6."/>
      <w:lvlJc w:val="right"/>
      <w:pPr>
        <w:ind w:left="3557" w:hanging="480"/>
      </w:pPr>
    </w:lvl>
    <w:lvl w:ilvl="6">
      <w:start w:val="1"/>
      <w:numFmt w:val="decimal"/>
      <w:lvlText w:val="%7."/>
      <w:lvlJc w:val="left"/>
      <w:pPr>
        <w:ind w:left="4037" w:hanging="480"/>
      </w:pPr>
    </w:lvl>
    <w:lvl w:ilvl="7">
      <w:start w:val="1"/>
      <w:numFmt w:val="ideographTraditional"/>
      <w:lvlText w:val="%8、"/>
      <w:lvlJc w:val="left"/>
      <w:pPr>
        <w:ind w:left="4517" w:hanging="480"/>
      </w:pPr>
    </w:lvl>
    <w:lvl w:ilvl="8">
      <w:start w:val="1"/>
      <w:numFmt w:val="lowerRoman"/>
      <w:lvlText w:val="%9."/>
      <w:lvlJc w:val="right"/>
      <w:pPr>
        <w:ind w:left="4997" w:hanging="480"/>
      </w:pPr>
    </w:lvl>
  </w:abstractNum>
  <w:abstractNum w:abstractNumId="1" w15:restartNumberingAfterBreak="0">
    <w:nsid w:val="0A493F3A"/>
    <w:multiLevelType w:val="multilevel"/>
    <w:tmpl w:val="9C26F198"/>
    <w:lvl w:ilvl="0">
      <w:start w:val="1"/>
      <w:numFmt w:val="decimal"/>
      <w:lvlText w:val="%1."/>
      <w:lvlJc w:val="left"/>
      <w:pPr>
        <w:ind w:left="764" w:hanging="360"/>
      </w:pPr>
    </w:lvl>
    <w:lvl w:ilvl="1">
      <w:start w:val="1"/>
      <w:numFmt w:val="ideographTraditional"/>
      <w:lvlText w:val="%2、"/>
      <w:lvlJc w:val="left"/>
      <w:pPr>
        <w:ind w:left="1124" w:hanging="480"/>
      </w:pPr>
    </w:lvl>
    <w:lvl w:ilvl="2">
      <w:start w:val="1"/>
      <w:numFmt w:val="lowerRoman"/>
      <w:lvlText w:val="%3."/>
      <w:lvlJc w:val="right"/>
      <w:pPr>
        <w:ind w:left="1604" w:hanging="480"/>
      </w:pPr>
    </w:lvl>
    <w:lvl w:ilvl="3">
      <w:start w:val="1"/>
      <w:numFmt w:val="decimal"/>
      <w:lvlText w:val="%4."/>
      <w:lvlJc w:val="left"/>
      <w:pPr>
        <w:ind w:left="2084" w:hanging="480"/>
      </w:pPr>
    </w:lvl>
    <w:lvl w:ilvl="4">
      <w:start w:val="1"/>
      <w:numFmt w:val="ideographTraditional"/>
      <w:lvlText w:val="%5、"/>
      <w:lvlJc w:val="left"/>
      <w:pPr>
        <w:ind w:left="2564" w:hanging="480"/>
      </w:pPr>
    </w:lvl>
    <w:lvl w:ilvl="5">
      <w:start w:val="1"/>
      <w:numFmt w:val="lowerRoman"/>
      <w:lvlText w:val="%6."/>
      <w:lvlJc w:val="right"/>
      <w:pPr>
        <w:ind w:left="3044" w:hanging="480"/>
      </w:pPr>
    </w:lvl>
    <w:lvl w:ilvl="6">
      <w:start w:val="1"/>
      <w:numFmt w:val="decimal"/>
      <w:lvlText w:val="%7."/>
      <w:lvlJc w:val="left"/>
      <w:pPr>
        <w:ind w:left="3524" w:hanging="480"/>
      </w:pPr>
    </w:lvl>
    <w:lvl w:ilvl="7">
      <w:start w:val="1"/>
      <w:numFmt w:val="ideographTraditional"/>
      <w:lvlText w:val="%8、"/>
      <w:lvlJc w:val="left"/>
      <w:pPr>
        <w:ind w:left="4004" w:hanging="480"/>
      </w:pPr>
    </w:lvl>
    <w:lvl w:ilvl="8">
      <w:start w:val="1"/>
      <w:numFmt w:val="lowerRoman"/>
      <w:lvlText w:val="%9."/>
      <w:lvlJc w:val="right"/>
      <w:pPr>
        <w:ind w:left="4484" w:hanging="480"/>
      </w:pPr>
    </w:lvl>
  </w:abstractNum>
  <w:abstractNum w:abstractNumId="2" w15:restartNumberingAfterBreak="0">
    <w:nsid w:val="5AF3542E"/>
    <w:multiLevelType w:val="multilevel"/>
    <w:tmpl w:val="79B23ECC"/>
    <w:lvl w:ilvl="0">
      <w:start w:val="1"/>
      <w:numFmt w:val="decimal"/>
      <w:lvlText w:val="(%1)"/>
      <w:lvlJc w:val="left"/>
      <w:pPr>
        <w:ind w:left="1397" w:hanging="720"/>
      </w:pPr>
    </w:lvl>
    <w:lvl w:ilvl="1">
      <w:start w:val="1"/>
      <w:numFmt w:val="ideographTraditional"/>
      <w:lvlText w:val="%2、"/>
      <w:lvlJc w:val="left"/>
      <w:pPr>
        <w:ind w:left="1637" w:hanging="480"/>
      </w:pPr>
    </w:lvl>
    <w:lvl w:ilvl="2">
      <w:start w:val="1"/>
      <w:numFmt w:val="lowerRoman"/>
      <w:lvlText w:val="%3."/>
      <w:lvlJc w:val="right"/>
      <w:pPr>
        <w:ind w:left="2117" w:hanging="480"/>
      </w:pPr>
    </w:lvl>
    <w:lvl w:ilvl="3">
      <w:start w:val="1"/>
      <w:numFmt w:val="decimal"/>
      <w:lvlText w:val="%4."/>
      <w:lvlJc w:val="left"/>
      <w:pPr>
        <w:ind w:left="2597" w:hanging="480"/>
      </w:pPr>
    </w:lvl>
    <w:lvl w:ilvl="4">
      <w:start w:val="1"/>
      <w:numFmt w:val="ideographTraditional"/>
      <w:lvlText w:val="%5、"/>
      <w:lvlJc w:val="left"/>
      <w:pPr>
        <w:ind w:left="3077" w:hanging="480"/>
      </w:pPr>
    </w:lvl>
    <w:lvl w:ilvl="5">
      <w:start w:val="1"/>
      <w:numFmt w:val="lowerRoman"/>
      <w:lvlText w:val="%6."/>
      <w:lvlJc w:val="right"/>
      <w:pPr>
        <w:ind w:left="3557" w:hanging="480"/>
      </w:pPr>
    </w:lvl>
    <w:lvl w:ilvl="6">
      <w:start w:val="1"/>
      <w:numFmt w:val="decimal"/>
      <w:lvlText w:val="%7."/>
      <w:lvlJc w:val="left"/>
      <w:pPr>
        <w:ind w:left="4037" w:hanging="480"/>
      </w:pPr>
    </w:lvl>
    <w:lvl w:ilvl="7">
      <w:start w:val="1"/>
      <w:numFmt w:val="ideographTraditional"/>
      <w:lvlText w:val="%8、"/>
      <w:lvlJc w:val="left"/>
      <w:pPr>
        <w:ind w:left="4517" w:hanging="480"/>
      </w:pPr>
    </w:lvl>
    <w:lvl w:ilvl="8">
      <w:start w:val="1"/>
      <w:numFmt w:val="lowerRoman"/>
      <w:lvlText w:val="%9."/>
      <w:lvlJc w:val="right"/>
      <w:pPr>
        <w:ind w:left="4997" w:hanging="480"/>
      </w:pPr>
    </w:lvl>
  </w:abstractNum>
  <w:abstractNum w:abstractNumId="3" w15:restartNumberingAfterBreak="0">
    <w:nsid w:val="5FDE0D65"/>
    <w:multiLevelType w:val="multilevel"/>
    <w:tmpl w:val="3FC8424C"/>
    <w:lvl w:ilvl="0">
      <w:start w:val="1"/>
      <w:numFmt w:val="decimal"/>
      <w:lvlText w:val="(%1)"/>
      <w:lvlJc w:val="left"/>
      <w:pPr>
        <w:ind w:left="1397" w:hanging="72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637" w:hanging="480"/>
      </w:pPr>
    </w:lvl>
    <w:lvl w:ilvl="2">
      <w:start w:val="1"/>
      <w:numFmt w:val="lowerRoman"/>
      <w:lvlText w:val="%3."/>
      <w:lvlJc w:val="right"/>
      <w:pPr>
        <w:ind w:left="2117" w:hanging="480"/>
      </w:pPr>
    </w:lvl>
    <w:lvl w:ilvl="3">
      <w:start w:val="1"/>
      <w:numFmt w:val="decimal"/>
      <w:lvlText w:val="%4."/>
      <w:lvlJc w:val="left"/>
      <w:pPr>
        <w:ind w:left="2597" w:hanging="480"/>
      </w:pPr>
    </w:lvl>
    <w:lvl w:ilvl="4">
      <w:start w:val="1"/>
      <w:numFmt w:val="ideographTraditional"/>
      <w:lvlText w:val="%5、"/>
      <w:lvlJc w:val="left"/>
      <w:pPr>
        <w:ind w:left="3077" w:hanging="480"/>
      </w:pPr>
    </w:lvl>
    <w:lvl w:ilvl="5">
      <w:start w:val="1"/>
      <w:numFmt w:val="lowerRoman"/>
      <w:lvlText w:val="%6."/>
      <w:lvlJc w:val="right"/>
      <w:pPr>
        <w:ind w:left="3557" w:hanging="480"/>
      </w:pPr>
    </w:lvl>
    <w:lvl w:ilvl="6">
      <w:start w:val="1"/>
      <w:numFmt w:val="decimal"/>
      <w:lvlText w:val="%7."/>
      <w:lvlJc w:val="left"/>
      <w:pPr>
        <w:ind w:left="4037" w:hanging="480"/>
      </w:pPr>
    </w:lvl>
    <w:lvl w:ilvl="7">
      <w:start w:val="1"/>
      <w:numFmt w:val="ideographTraditional"/>
      <w:lvlText w:val="%8、"/>
      <w:lvlJc w:val="left"/>
      <w:pPr>
        <w:ind w:left="4517" w:hanging="480"/>
      </w:pPr>
    </w:lvl>
    <w:lvl w:ilvl="8">
      <w:start w:val="1"/>
      <w:numFmt w:val="lowerRoman"/>
      <w:lvlText w:val="%9."/>
      <w:lvlJc w:val="right"/>
      <w:pPr>
        <w:ind w:left="4997" w:hanging="480"/>
      </w:pPr>
    </w:lvl>
  </w:abstractNum>
  <w:abstractNum w:abstractNumId="4" w15:restartNumberingAfterBreak="0">
    <w:nsid w:val="751A3823"/>
    <w:multiLevelType w:val="multilevel"/>
    <w:tmpl w:val="B65EB90C"/>
    <w:lvl w:ilvl="0">
      <w:start w:val="1"/>
      <w:numFmt w:val="decimal"/>
      <w:lvlText w:val="(%1)"/>
      <w:lvlJc w:val="left"/>
      <w:pPr>
        <w:ind w:left="1397" w:hanging="72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637" w:hanging="480"/>
      </w:pPr>
    </w:lvl>
    <w:lvl w:ilvl="2">
      <w:start w:val="1"/>
      <w:numFmt w:val="lowerRoman"/>
      <w:lvlText w:val="%3."/>
      <w:lvlJc w:val="right"/>
      <w:pPr>
        <w:ind w:left="2117" w:hanging="480"/>
      </w:pPr>
    </w:lvl>
    <w:lvl w:ilvl="3">
      <w:start w:val="1"/>
      <w:numFmt w:val="decimal"/>
      <w:lvlText w:val="%4."/>
      <w:lvlJc w:val="left"/>
      <w:pPr>
        <w:ind w:left="2597" w:hanging="480"/>
      </w:pPr>
    </w:lvl>
    <w:lvl w:ilvl="4">
      <w:start w:val="1"/>
      <w:numFmt w:val="ideographTraditional"/>
      <w:lvlText w:val="%5、"/>
      <w:lvlJc w:val="left"/>
      <w:pPr>
        <w:ind w:left="3077" w:hanging="480"/>
      </w:pPr>
    </w:lvl>
    <w:lvl w:ilvl="5">
      <w:start w:val="1"/>
      <w:numFmt w:val="lowerRoman"/>
      <w:lvlText w:val="%6."/>
      <w:lvlJc w:val="right"/>
      <w:pPr>
        <w:ind w:left="3557" w:hanging="480"/>
      </w:pPr>
    </w:lvl>
    <w:lvl w:ilvl="6">
      <w:start w:val="1"/>
      <w:numFmt w:val="decimal"/>
      <w:lvlText w:val="%7."/>
      <w:lvlJc w:val="left"/>
      <w:pPr>
        <w:ind w:left="4037" w:hanging="480"/>
      </w:pPr>
    </w:lvl>
    <w:lvl w:ilvl="7">
      <w:start w:val="1"/>
      <w:numFmt w:val="ideographTraditional"/>
      <w:lvlText w:val="%8、"/>
      <w:lvlJc w:val="left"/>
      <w:pPr>
        <w:ind w:left="4517" w:hanging="480"/>
      </w:pPr>
    </w:lvl>
    <w:lvl w:ilvl="8">
      <w:start w:val="1"/>
      <w:numFmt w:val="lowerRoman"/>
      <w:lvlText w:val="%9."/>
      <w:lvlJc w:val="right"/>
      <w:pPr>
        <w:ind w:left="4997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A3F27"/>
    <w:rsid w:val="00CA3F27"/>
    <w:rsid w:val="00ED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3D2932-D29B-4B73-BD4E-693A0669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spacing w:line="360" w:lineRule="exact"/>
      <w:jc w:val="center"/>
      <w:outlineLvl w:val="0"/>
    </w:pPr>
    <w:rPr>
      <w:rFonts w:ascii="Times New Roman" w:eastAsia="標楷體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customStyle="1" w:styleId="10">
    <w:name w:val="標題 1 字元"/>
    <w:rPr>
      <w:rFonts w:ascii="Times New Roman" w:eastAsia="標楷體" w:hAnsi="Times New Roman"/>
      <w:b/>
      <w:bCs/>
      <w:kern w:val="3"/>
      <w:sz w:val="32"/>
      <w:szCs w:val="32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1">
    <w:name w:val="1."/>
    <w:basedOn w:val="a"/>
    <w:pPr>
      <w:spacing w:line="240" w:lineRule="exact"/>
      <w:ind w:left="242" w:hanging="142"/>
    </w:pPr>
    <w:rPr>
      <w:rFonts w:ascii="Times New Roman" w:eastAsia="標楷體" w:hAnsi="Times New Roman"/>
      <w:color w:val="000000"/>
      <w:kern w:val="0"/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9">
    <w:name w:val="List Paragraph"/>
    <w:basedOn w:val="a"/>
    <w:pPr>
      <w:widowControl/>
      <w:ind w:left="480"/>
    </w:pPr>
    <w:rPr>
      <w:rFonts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1510</Words>
  <Characters>8612</Characters>
  <Application>Microsoft Office Word</Application>
  <DocSecurity>0</DocSecurity>
  <Lines>71</Lines>
  <Paragraphs>20</Paragraphs>
  <ScaleCrop>false</ScaleCrop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</dc:creator>
  <dc:description/>
  <cp:lastModifiedBy>李欣蓉</cp:lastModifiedBy>
  <cp:revision>2</cp:revision>
  <cp:lastPrinted>2025-02-24T03:38:00Z</cp:lastPrinted>
  <dcterms:created xsi:type="dcterms:W3CDTF">2025-05-23T08:52:00Z</dcterms:created>
  <dcterms:modified xsi:type="dcterms:W3CDTF">2025-05-23T08:52:00Z</dcterms:modified>
</cp:coreProperties>
</file>