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013B4" w14:textId="77777777" w:rsidR="00CA3F27" w:rsidRDefault="00ED050B" w:rsidP="0054576B">
      <w:pPr>
        <w:spacing w:line="400" w:lineRule="exact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>
        <w:rPr>
          <w:rFonts w:ascii="標楷體" w:eastAsia="標楷體" w:hAnsi="標楷體"/>
          <w:b/>
          <w:bCs/>
          <w:color w:val="000000"/>
          <w:sz w:val="32"/>
          <w:szCs w:val="32"/>
        </w:rPr>
        <w:t>第13節 皮膚科製劑 Dermatological preparations</w:t>
      </w:r>
    </w:p>
    <w:p w14:paraId="5A60B0F0" w14:textId="77777777" w:rsidR="00CA3F27" w:rsidRDefault="00CA3F27" w:rsidP="0054576B">
      <w:pPr>
        <w:spacing w:line="400" w:lineRule="exact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</w:p>
    <w:p w14:paraId="4A70CB24" w14:textId="77777777" w:rsidR="00CA3F27" w:rsidRDefault="00ED050B" w:rsidP="0054576B">
      <w:pPr>
        <w:spacing w:line="400" w:lineRule="exact"/>
        <w:ind w:left="432" w:hanging="386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13.1.(刪除)(104/6/1)</w:t>
      </w:r>
    </w:p>
    <w:p w14:paraId="642E09C1" w14:textId="77777777" w:rsidR="00CA3F27" w:rsidRDefault="00ED050B" w:rsidP="0054576B">
      <w:pPr>
        <w:spacing w:line="400" w:lineRule="exact"/>
        <w:ind w:left="432" w:hanging="386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13.2.Cadexomer iodine（如</w:t>
      </w:r>
      <w:proofErr w:type="spellStart"/>
      <w:r>
        <w:rPr>
          <w:rFonts w:ascii="標楷體" w:eastAsia="標楷體" w:hAnsi="標楷體"/>
          <w:color w:val="000000"/>
        </w:rPr>
        <w:t>Iodosorb</w:t>
      </w:r>
      <w:proofErr w:type="spellEnd"/>
      <w:r>
        <w:rPr>
          <w:rFonts w:ascii="標楷體" w:eastAsia="標楷體" w:hAnsi="標楷體"/>
          <w:color w:val="000000"/>
        </w:rPr>
        <w:t xml:space="preserve"> powder）：（87/4/1）</w:t>
      </w:r>
    </w:p>
    <w:p w14:paraId="55391D9C" w14:textId="77777777" w:rsidR="00CA3F27" w:rsidRDefault="00ED050B" w:rsidP="0054576B">
      <w:pPr>
        <w:spacing w:line="400" w:lineRule="exact"/>
        <w:ind w:left="798" w:hanging="1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限</w:t>
      </w:r>
      <w:proofErr w:type="gramStart"/>
      <w:r>
        <w:rPr>
          <w:rFonts w:ascii="標楷體" w:eastAsia="標楷體" w:hAnsi="標楷體"/>
          <w:color w:val="000000"/>
        </w:rPr>
        <w:t>慢性腿部</w:t>
      </w:r>
      <w:proofErr w:type="gramEnd"/>
      <w:r>
        <w:rPr>
          <w:rFonts w:ascii="標楷體" w:eastAsia="標楷體" w:hAnsi="標楷體"/>
          <w:color w:val="000000"/>
        </w:rPr>
        <w:t>潰瘍病例及慢性感染性潰瘍傷口使用，每日用量超過</w:t>
      </w:r>
      <w:proofErr w:type="gramStart"/>
      <w:r>
        <w:rPr>
          <w:rFonts w:ascii="標楷體" w:eastAsia="標楷體" w:hAnsi="標楷體"/>
          <w:color w:val="000000"/>
        </w:rPr>
        <w:t>一</w:t>
      </w:r>
      <w:proofErr w:type="gramEnd"/>
      <w:r>
        <w:rPr>
          <w:rFonts w:ascii="標楷體" w:eastAsia="標楷體" w:hAnsi="標楷體"/>
          <w:color w:val="000000"/>
        </w:rPr>
        <w:t>包時，需檢附傷口照片以利審查。</w:t>
      </w:r>
    </w:p>
    <w:p w14:paraId="0B31C41D" w14:textId="77777777" w:rsidR="00CA3F27" w:rsidRDefault="00ED050B" w:rsidP="0054576B">
      <w:pPr>
        <w:spacing w:line="400" w:lineRule="exact"/>
        <w:ind w:left="432" w:hanging="386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13.3.Calcipotriol外用製劑：（87/4/1、89/2/1、94/3/1、94/5/1、99/12/1、109/10/1）</w:t>
      </w:r>
    </w:p>
    <w:p w14:paraId="0F3D493B" w14:textId="77777777" w:rsidR="00CA3F27" w:rsidRDefault="00ED050B" w:rsidP="0054576B">
      <w:pPr>
        <w:spacing w:line="400" w:lineRule="exact"/>
        <w:ind w:left="432" w:hanging="386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13.3.1.Calcipotriol外用單方製劑（87/4/1、89/2/1、94/3/1、99/12/1）</w:t>
      </w:r>
    </w:p>
    <w:p w14:paraId="3D2F14DB" w14:textId="77777777" w:rsidR="00CA3F27" w:rsidRDefault="00ED050B" w:rsidP="0054576B">
      <w:pPr>
        <w:spacing w:line="400" w:lineRule="exact"/>
        <w:ind w:left="798" w:hanging="1"/>
        <w:rPr>
          <w:rFonts w:ascii="標楷體" w:eastAsia="標楷體" w:hAnsi="標楷體"/>
          <w:color w:val="000000"/>
        </w:rPr>
      </w:pPr>
      <w:proofErr w:type="gramStart"/>
      <w:r>
        <w:rPr>
          <w:rFonts w:ascii="標楷體" w:eastAsia="標楷體" w:hAnsi="標楷體"/>
          <w:color w:val="000000"/>
        </w:rPr>
        <w:t>限確經</w:t>
      </w:r>
      <w:proofErr w:type="gramEnd"/>
      <w:r>
        <w:rPr>
          <w:rFonts w:ascii="標楷體" w:eastAsia="標楷體" w:hAnsi="標楷體"/>
          <w:color w:val="000000"/>
        </w:rPr>
        <w:t>診斷為尋常性牛皮癬（psoriasis）之病例使用，使用量以每星期不高於30gm或30mL為原則，若因病情需要使用量需超過每星期 30gm或30mL者，應於病歷詳細記錄理由。</w:t>
      </w:r>
    </w:p>
    <w:p w14:paraId="523FE6C8" w14:textId="77777777" w:rsidR="00382199" w:rsidRDefault="00382199" w:rsidP="0054576B">
      <w:pPr>
        <w:spacing w:line="400" w:lineRule="exact"/>
        <w:ind w:left="526" w:hanging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13.3.2.含calcipotriol及類固醇之外用複方製劑（如</w:t>
      </w:r>
      <w:proofErr w:type="spellStart"/>
      <w:r>
        <w:rPr>
          <w:rFonts w:ascii="標楷體" w:eastAsia="標楷體" w:hAnsi="標楷體"/>
          <w:color w:val="000000"/>
        </w:rPr>
        <w:t>Daivobet</w:t>
      </w:r>
      <w:proofErr w:type="spellEnd"/>
      <w:r>
        <w:rPr>
          <w:rFonts w:ascii="標楷體" w:eastAsia="標楷體" w:hAnsi="標楷體" w:hint="eastAsia"/>
          <w:color w:val="000000"/>
        </w:rPr>
        <w:t>、En</w:t>
      </w:r>
      <w:r>
        <w:rPr>
          <w:rFonts w:ascii="標楷體" w:eastAsia="標楷體" w:hAnsi="標楷體"/>
          <w:color w:val="000000"/>
        </w:rPr>
        <w:t>stilar）（94/5/1、99/12/1、109/10/1</w:t>
      </w:r>
      <w:r>
        <w:rPr>
          <w:rFonts w:ascii="標楷體" w:eastAsia="標楷體" w:hAnsi="標楷體" w:hint="eastAsia"/>
          <w:color w:val="000000"/>
        </w:rPr>
        <w:t>、115/1/1</w:t>
      </w:r>
      <w:r>
        <w:rPr>
          <w:rFonts w:ascii="標楷體" w:eastAsia="標楷體" w:hAnsi="標楷體"/>
          <w:color w:val="000000"/>
        </w:rPr>
        <w:t>）</w:t>
      </w:r>
    </w:p>
    <w:p w14:paraId="78855C99" w14:textId="77777777" w:rsidR="00382199" w:rsidRDefault="00382199" w:rsidP="0054576B">
      <w:pPr>
        <w:spacing w:line="400" w:lineRule="exact"/>
        <w:ind w:left="811" w:hanging="24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1.</w:t>
      </w:r>
      <w:proofErr w:type="gramStart"/>
      <w:r>
        <w:rPr>
          <w:rFonts w:ascii="標楷體" w:eastAsia="標楷體" w:hAnsi="標楷體"/>
          <w:color w:val="000000"/>
        </w:rPr>
        <w:t>限確</w:t>
      </w:r>
      <w:r>
        <w:rPr>
          <w:rFonts w:ascii="標楷體" w:eastAsia="標楷體" w:hAnsi="標楷體" w:hint="eastAsia"/>
          <w:color w:val="000000"/>
        </w:rPr>
        <w:t>診</w:t>
      </w:r>
      <w:proofErr w:type="gramEnd"/>
      <w:r>
        <w:rPr>
          <w:rFonts w:ascii="標楷體" w:eastAsia="標楷體" w:hAnsi="標楷體"/>
          <w:color w:val="000000"/>
        </w:rPr>
        <w:t>為</w:t>
      </w:r>
      <w:proofErr w:type="gramStart"/>
      <w:r>
        <w:rPr>
          <w:rFonts w:ascii="標楷體" w:eastAsia="標楷體" w:hAnsi="標楷體"/>
          <w:color w:val="000000"/>
        </w:rPr>
        <w:t>尋常性</w:t>
      </w:r>
      <w:r>
        <w:rPr>
          <w:rFonts w:ascii="標楷體" w:eastAsia="標楷體" w:hAnsi="標楷體" w:hint="eastAsia"/>
          <w:color w:val="000000"/>
        </w:rPr>
        <w:t>乾</w:t>
      </w:r>
      <w:r>
        <w:rPr>
          <w:rFonts w:ascii="標楷體" w:eastAsia="標楷體" w:hAnsi="標楷體"/>
          <w:color w:val="000000"/>
        </w:rPr>
        <w:t>癬</w:t>
      </w:r>
      <w:proofErr w:type="gramEnd"/>
      <w:r>
        <w:rPr>
          <w:rFonts w:ascii="標楷體" w:eastAsia="標楷體" w:hAnsi="標楷體"/>
          <w:color w:val="000000"/>
        </w:rPr>
        <w:t>（psoriasis）之病</w:t>
      </w:r>
      <w:r>
        <w:rPr>
          <w:rFonts w:ascii="標楷體" w:eastAsia="標楷體" w:hAnsi="標楷體" w:hint="eastAsia"/>
          <w:color w:val="000000"/>
        </w:rPr>
        <w:t>人</w:t>
      </w:r>
      <w:r>
        <w:rPr>
          <w:rFonts w:ascii="標楷體" w:eastAsia="標楷體" w:hAnsi="標楷體"/>
          <w:color w:val="000000"/>
        </w:rPr>
        <w:t>使用，使用量以每星期不高於30gm為原則，若因病情需要使用量需超過每星期30gm者，應於病歷詳細記錄理由。（94/5/1、99/12/1、</w:t>
      </w:r>
      <w:r>
        <w:rPr>
          <w:rFonts w:ascii="標楷體" w:eastAsia="標楷體" w:hAnsi="標楷體" w:hint="eastAsia"/>
          <w:color w:val="000000"/>
        </w:rPr>
        <w:t>115/1/1</w:t>
      </w:r>
      <w:r>
        <w:rPr>
          <w:rFonts w:ascii="標楷體" w:eastAsia="標楷體" w:hAnsi="標楷體"/>
          <w:color w:val="000000"/>
        </w:rPr>
        <w:t>）</w:t>
      </w:r>
    </w:p>
    <w:p w14:paraId="2F3E4089" w14:textId="77777777" w:rsidR="00CA3F27" w:rsidRDefault="00382199" w:rsidP="0054576B">
      <w:pPr>
        <w:spacing w:line="400" w:lineRule="exact"/>
        <w:ind w:left="811" w:hanging="24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2.若因病情需要需連續使用超過8</w:t>
      </w:r>
      <w:proofErr w:type="gramStart"/>
      <w:r>
        <w:rPr>
          <w:rFonts w:ascii="標楷體" w:eastAsia="標楷體" w:hAnsi="標楷體"/>
          <w:color w:val="000000"/>
        </w:rPr>
        <w:t>週</w:t>
      </w:r>
      <w:proofErr w:type="gramEnd"/>
      <w:r>
        <w:rPr>
          <w:rFonts w:ascii="標楷體" w:eastAsia="標楷體" w:hAnsi="標楷體"/>
          <w:color w:val="000000"/>
        </w:rPr>
        <w:t>者，應於病歷詳細記錄理由。（109/10/1）</w:t>
      </w:r>
    </w:p>
    <w:p w14:paraId="023E916E" w14:textId="77777777" w:rsidR="00CA3F27" w:rsidRDefault="00ED050B" w:rsidP="0054576B">
      <w:pPr>
        <w:spacing w:line="400" w:lineRule="exact"/>
        <w:ind w:left="432" w:hanging="386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13.3.3與tazarotene</w:t>
      </w:r>
      <w:proofErr w:type="gramStart"/>
      <w:r>
        <w:rPr>
          <w:rFonts w:ascii="標楷體" w:eastAsia="標楷體" w:hAnsi="標楷體"/>
          <w:color w:val="000000"/>
        </w:rPr>
        <w:t>併</w:t>
      </w:r>
      <w:proofErr w:type="gramEnd"/>
      <w:r>
        <w:rPr>
          <w:rFonts w:ascii="標楷體" w:eastAsia="標楷體" w:hAnsi="標楷體"/>
          <w:color w:val="000000"/>
        </w:rPr>
        <w:t>用，兩者合計總量每星期不超過30gm或30mL，若因病情需要兩者合併使用量需超過每星期30gm 者，應於病歷詳細記錄理由。(99/12/1)</w:t>
      </w:r>
    </w:p>
    <w:p w14:paraId="355DCB47" w14:textId="77777777" w:rsidR="00CA3F27" w:rsidRDefault="00ED050B" w:rsidP="0054576B">
      <w:pPr>
        <w:spacing w:line="400" w:lineRule="exact"/>
        <w:ind w:left="432" w:hanging="386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13.4.Isotretinoin口服製劑 (如Roaccutane)：（86/9/1、87/4/1、94/3/1）</w:t>
      </w:r>
    </w:p>
    <w:p w14:paraId="6A4C43FA" w14:textId="77777777" w:rsidR="00CA3F27" w:rsidRDefault="00ED050B" w:rsidP="0054576B">
      <w:pPr>
        <w:spacing w:line="400" w:lineRule="exact"/>
        <w:ind w:left="811" w:hanging="24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1.限皮膚科專科醫師使用。</w:t>
      </w:r>
    </w:p>
    <w:p w14:paraId="0AD8AEDB" w14:textId="77777777" w:rsidR="00CA3F27" w:rsidRDefault="00ED050B" w:rsidP="0054576B">
      <w:pPr>
        <w:spacing w:line="400" w:lineRule="exact"/>
        <w:ind w:left="811" w:hanging="24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2.需檢附病人之服藥同意書 (詳附表十)，以及經傳統治療無效之病歷資料或治療前之照片，經事前審查核准後使用。</w:t>
      </w:r>
    </w:p>
    <w:p w14:paraId="35B8C3A7" w14:textId="77777777" w:rsidR="00CA3F27" w:rsidRDefault="00ED050B" w:rsidP="0054576B">
      <w:pPr>
        <w:spacing w:line="400" w:lineRule="exact"/>
        <w:ind w:left="811" w:hanging="24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3.每次申請以一療程為限，若需再次療程，請檢附原來照片與最近照片再次申請事前審查核准後使用</w:t>
      </w:r>
      <w:proofErr w:type="gramStart"/>
      <w:r>
        <w:rPr>
          <w:rFonts w:ascii="標楷體" w:eastAsia="標楷體" w:hAnsi="標楷體"/>
          <w:color w:val="000000"/>
        </w:rPr>
        <w:t>（</w:t>
      </w:r>
      <w:proofErr w:type="gramEnd"/>
      <w:r>
        <w:rPr>
          <w:rFonts w:ascii="標楷體" w:eastAsia="標楷體" w:hAnsi="標楷體"/>
          <w:color w:val="000000"/>
        </w:rPr>
        <w:t xml:space="preserve">每一療程最高總劑量為100 mg </w:t>
      </w:r>
      <w:proofErr w:type="gramStart"/>
      <w:r>
        <w:rPr>
          <w:rFonts w:ascii="標楷體" w:eastAsia="標楷體" w:hAnsi="標楷體"/>
          <w:color w:val="000000"/>
        </w:rPr>
        <w:t>–</w:t>
      </w:r>
      <w:proofErr w:type="gramEnd"/>
      <w:r>
        <w:rPr>
          <w:rFonts w:ascii="標楷體" w:eastAsia="標楷體" w:hAnsi="標楷體"/>
          <w:color w:val="000000"/>
        </w:rPr>
        <w:t>120 mg/kg，於四至六個月完成)。</w:t>
      </w:r>
    </w:p>
    <w:p w14:paraId="0C36AB13" w14:textId="77777777" w:rsidR="00CA3F27" w:rsidRDefault="00ED050B" w:rsidP="0054576B">
      <w:pPr>
        <w:spacing w:line="400" w:lineRule="exact"/>
        <w:ind w:left="432" w:hanging="386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13.5.Acitretin（如</w:t>
      </w:r>
      <w:proofErr w:type="spellStart"/>
      <w:r>
        <w:rPr>
          <w:rFonts w:ascii="標楷體" w:eastAsia="標楷體" w:hAnsi="標楷體"/>
          <w:color w:val="000000"/>
        </w:rPr>
        <w:t>Neotigason</w:t>
      </w:r>
      <w:proofErr w:type="spellEnd"/>
      <w:r>
        <w:rPr>
          <w:rFonts w:ascii="標楷體" w:eastAsia="標楷體" w:hAnsi="標楷體"/>
          <w:color w:val="000000"/>
        </w:rPr>
        <w:t>）：(87/11/1)</w:t>
      </w:r>
    </w:p>
    <w:p w14:paraId="284D9D5E" w14:textId="77777777" w:rsidR="00CA3F27" w:rsidRDefault="00ED050B" w:rsidP="0054576B">
      <w:pPr>
        <w:spacing w:line="400" w:lineRule="exact"/>
        <w:ind w:left="798" w:hanging="1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申報費用時需檢具病患同意書 (附表十一)，並</w:t>
      </w:r>
      <w:proofErr w:type="gramStart"/>
      <w:r>
        <w:rPr>
          <w:rFonts w:ascii="標楷體" w:eastAsia="標楷體" w:hAnsi="標楷體"/>
          <w:color w:val="000000"/>
        </w:rPr>
        <w:t>檢送含確定</w:t>
      </w:r>
      <w:proofErr w:type="gramEnd"/>
      <w:r>
        <w:rPr>
          <w:rFonts w:ascii="標楷體" w:eastAsia="標楷體" w:hAnsi="標楷體"/>
          <w:color w:val="000000"/>
        </w:rPr>
        <w:t>診斷之詳細病歷資料，</w:t>
      </w:r>
      <w:proofErr w:type="gramStart"/>
      <w:r>
        <w:rPr>
          <w:rFonts w:ascii="標楷體" w:eastAsia="標楷體" w:hAnsi="標楷體"/>
          <w:color w:val="000000"/>
        </w:rPr>
        <w:t>俾</w:t>
      </w:r>
      <w:proofErr w:type="gramEnd"/>
      <w:r>
        <w:rPr>
          <w:rFonts w:ascii="標楷體" w:eastAsia="標楷體" w:hAnsi="標楷體"/>
          <w:color w:val="000000"/>
        </w:rPr>
        <w:t>利審查。</w:t>
      </w:r>
    </w:p>
    <w:p w14:paraId="449AF218" w14:textId="77777777" w:rsidR="00CA3F27" w:rsidRDefault="00ED050B" w:rsidP="0054576B">
      <w:pPr>
        <w:spacing w:line="400" w:lineRule="exact"/>
        <w:ind w:left="432" w:hanging="386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13.6.Methoxsalen製劑：(87/11/1)</w:t>
      </w:r>
    </w:p>
    <w:p w14:paraId="07465F7C" w14:textId="77777777" w:rsidR="00CA3F27" w:rsidRDefault="00ED050B" w:rsidP="0054576B">
      <w:pPr>
        <w:spacing w:line="400" w:lineRule="exact"/>
        <w:ind w:left="798" w:hanging="1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限皮膚科專科醫師使用於PUVA治療 (配合紫外線照射)，申報費用時需</w:t>
      </w:r>
      <w:proofErr w:type="gramStart"/>
      <w:r>
        <w:rPr>
          <w:rFonts w:ascii="標楷體" w:eastAsia="標楷體" w:hAnsi="標楷體"/>
          <w:color w:val="000000"/>
        </w:rPr>
        <w:t>檢送含確定</w:t>
      </w:r>
      <w:proofErr w:type="gramEnd"/>
      <w:r>
        <w:rPr>
          <w:rFonts w:ascii="標楷體" w:eastAsia="標楷體" w:hAnsi="標楷體"/>
          <w:color w:val="000000"/>
        </w:rPr>
        <w:t>診斷之詳細病歷資料，</w:t>
      </w:r>
      <w:proofErr w:type="gramStart"/>
      <w:r>
        <w:rPr>
          <w:rFonts w:ascii="標楷體" w:eastAsia="標楷體" w:hAnsi="標楷體"/>
          <w:color w:val="000000"/>
        </w:rPr>
        <w:t>俾</w:t>
      </w:r>
      <w:proofErr w:type="gramEnd"/>
      <w:r>
        <w:rPr>
          <w:rFonts w:ascii="標楷體" w:eastAsia="標楷體" w:hAnsi="標楷體"/>
          <w:color w:val="000000"/>
        </w:rPr>
        <w:t>利審查。</w:t>
      </w:r>
    </w:p>
    <w:p w14:paraId="31C9C694" w14:textId="77777777" w:rsidR="00CA3F27" w:rsidRDefault="00ED050B" w:rsidP="0054576B">
      <w:pPr>
        <w:spacing w:line="400" w:lineRule="exact"/>
        <w:ind w:left="432" w:hanging="386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13.7.Doxepin HCl cream (如</w:t>
      </w:r>
      <w:proofErr w:type="spellStart"/>
      <w:r>
        <w:rPr>
          <w:rFonts w:ascii="標楷體" w:eastAsia="標楷體" w:hAnsi="標楷體"/>
          <w:color w:val="000000"/>
        </w:rPr>
        <w:t>Ichderm</w:t>
      </w:r>
      <w:proofErr w:type="spellEnd"/>
      <w:r>
        <w:rPr>
          <w:rFonts w:ascii="標楷體" w:eastAsia="標楷體" w:hAnsi="標楷體"/>
          <w:color w:val="000000"/>
        </w:rPr>
        <w:t>)：(88/6/1)</w:t>
      </w:r>
    </w:p>
    <w:p w14:paraId="24D3EDE4" w14:textId="77777777" w:rsidR="00CA3F27" w:rsidRDefault="00ED050B" w:rsidP="0054576B">
      <w:pPr>
        <w:spacing w:line="400" w:lineRule="exact"/>
        <w:ind w:left="798" w:hanging="1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限成人使用，每次處方不超過七天。</w:t>
      </w:r>
    </w:p>
    <w:p w14:paraId="7159FA4C" w14:textId="77777777" w:rsidR="00CA3F27" w:rsidRDefault="00ED050B" w:rsidP="0054576B">
      <w:pPr>
        <w:spacing w:line="400" w:lineRule="exact"/>
        <w:ind w:left="432" w:hanging="386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13.8.Tazarotene外用製劑：(91/4/1、99/12/1、101/2/1)</w:t>
      </w:r>
    </w:p>
    <w:p w14:paraId="23E437D6" w14:textId="77777777" w:rsidR="00CA3F27" w:rsidRDefault="00ED050B" w:rsidP="0054576B">
      <w:pPr>
        <w:spacing w:line="400" w:lineRule="exact"/>
        <w:ind w:left="811" w:hanging="24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lastRenderedPageBreak/>
        <w:t>1.</w:t>
      </w:r>
      <w:proofErr w:type="gramStart"/>
      <w:r>
        <w:rPr>
          <w:rFonts w:ascii="標楷體" w:eastAsia="標楷體" w:hAnsi="標楷體"/>
          <w:color w:val="000000"/>
        </w:rPr>
        <w:t>限乾癬</w:t>
      </w:r>
      <w:proofErr w:type="gramEnd"/>
      <w:r>
        <w:rPr>
          <w:rFonts w:ascii="標楷體" w:eastAsia="標楷體" w:hAnsi="標楷體"/>
          <w:color w:val="000000"/>
        </w:rPr>
        <w:t>之病例使用。</w:t>
      </w:r>
    </w:p>
    <w:p w14:paraId="053EDAE5" w14:textId="77777777" w:rsidR="00CA3F27" w:rsidRDefault="00ED050B" w:rsidP="0054576B">
      <w:pPr>
        <w:spacing w:line="400" w:lineRule="exact"/>
        <w:ind w:left="811" w:hanging="24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2.使用量以每星期不高於30gm為原則。若因病情需要，使用量需超過每星期30gm者，應於病歷詳細記載理由。(99/12/1)</w:t>
      </w:r>
    </w:p>
    <w:p w14:paraId="576047F9" w14:textId="77777777" w:rsidR="00CA3F27" w:rsidRDefault="00ED050B" w:rsidP="0054576B">
      <w:pPr>
        <w:spacing w:line="400" w:lineRule="exact"/>
        <w:ind w:left="811" w:hanging="24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3.與calcitriol (或calcipotriol)</w:t>
      </w:r>
      <w:proofErr w:type="gramStart"/>
      <w:r>
        <w:rPr>
          <w:rFonts w:ascii="標楷體" w:eastAsia="標楷體" w:hAnsi="標楷體"/>
          <w:color w:val="000000"/>
        </w:rPr>
        <w:t>併</w:t>
      </w:r>
      <w:proofErr w:type="gramEnd"/>
      <w:r>
        <w:rPr>
          <w:rFonts w:ascii="標楷體" w:eastAsia="標楷體" w:hAnsi="標楷體"/>
          <w:color w:val="000000"/>
        </w:rPr>
        <w:t>用，兩者合計總量每星期不超過30gm或30mL，若因病情需要兩者合併使用量需超過每星期30gm 者，應於病歷詳細記載理由。(99/12/1)</w:t>
      </w:r>
    </w:p>
    <w:p w14:paraId="23B611EC" w14:textId="77777777" w:rsidR="00CA3F27" w:rsidRDefault="00ED050B" w:rsidP="0054576B">
      <w:pPr>
        <w:spacing w:line="400" w:lineRule="exact"/>
        <w:ind w:left="432" w:hanging="386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13.9.Calcitriol (如</w:t>
      </w:r>
      <w:proofErr w:type="spellStart"/>
      <w:r>
        <w:rPr>
          <w:rFonts w:ascii="標楷體" w:eastAsia="標楷體" w:hAnsi="標楷體"/>
          <w:color w:val="000000"/>
        </w:rPr>
        <w:t>Silkis</w:t>
      </w:r>
      <w:proofErr w:type="spellEnd"/>
      <w:r>
        <w:rPr>
          <w:rFonts w:ascii="標楷體" w:eastAsia="標楷體" w:hAnsi="標楷體"/>
          <w:color w:val="000000"/>
        </w:rPr>
        <w:t xml:space="preserve"> ointment)：(92/11/1、93/9/1、99/12/1)</w:t>
      </w:r>
    </w:p>
    <w:p w14:paraId="1ADA44E2" w14:textId="77777777" w:rsidR="00CA3F27" w:rsidRDefault="00ED050B" w:rsidP="0054576B">
      <w:pPr>
        <w:spacing w:line="400" w:lineRule="exact"/>
        <w:ind w:left="811" w:hanging="24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1.限用於小於35%體表面積之輕度至中</w:t>
      </w:r>
      <w:proofErr w:type="gramStart"/>
      <w:r>
        <w:rPr>
          <w:rFonts w:ascii="標楷體" w:eastAsia="標楷體" w:hAnsi="標楷體"/>
          <w:color w:val="000000"/>
        </w:rPr>
        <w:t>重度乾癬</w:t>
      </w:r>
      <w:proofErr w:type="gramEnd"/>
      <w:r>
        <w:rPr>
          <w:rFonts w:ascii="標楷體" w:eastAsia="標楷體" w:hAnsi="標楷體"/>
          <w:color w:val="000000"/>
        </w:rPr>
        <w:t>之病例，使用量以每星期不高於30gm為原則，若因病情需要使用量需超過每星期30gm者，應於病歷詳細記錄理由。其面積計算:依照rule of nines計算法。（同13.10備註1）</w:t>
      </w:r>
    </w:p>
    <w:p w14:paraId="429143C7" w14:textId="77777777" w:rsidR="00CA3F27" w:rsidRDefault="00ED050B" w:rsidP="0054576B">
      <w:pPr>
        <w:spacing w:line="400" w:lineRule="exact"/>
        <w:ind w:left="811" w:hanging="24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2.與tazarotene</w:t>
      </w:r>
      <w:proofErr w:type="gramStart"/>
      <w:r>
        <w:rPr>
          <w:rFonts w:ascii="標楷體" w:eastAsia="標楷體" w:hAnsi="標楷體"/>
          <w:color w:val="000000"/>
        </w:rPr>
        <w:t>併</w:t>
      </w:r>
      <w:proofErr w:type="gramEnd"/>
      <w:r>
        <w:rPr>
          <w:rFonts w:ascii="標楷體" w:eastAsia="標楷體" w:hAnsi="標楷體"/>
          <w:color w:val="000000"/>
        </w:rPr>
        <w:t>用，兩者合計總量每星期不超過30gm或30mL，若因病情需要兩者合併使用量需超過每星期30gm者，應於病歷詳細記錄理由。</w:t>
      </w:r>
    </w:p>
    <w:p w14:paraId="59E2138A" w14:textId="77777777" w:rsidR="00CA3F27" w:rsidRDefault="00ED050B" w:rsidP="0054576B">
      <w:pPr>
        <w:spacing w:line="400" w:lineRule="exact"/>
        <w:ind w:left="811" w:hanging="24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(99/12/1)</w:t>
      </w:r>
    </w:p>
    <w:p w14:paraId="511484B3" w14:textId="77777777" w:rsidR="00CA3F27" w:rsidRDefault="00ED050B" w:rsidP="0054576B">
      <w:pPr>
        <w:spacing w:line="400" w:lineRule="exact"/>
        <w:ind w:left="432" w:hanging="386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13.10.Tacrolimus (如</w:t>
      </w:r>
      <w:proofErr w:type="spellStart"/>
      <w:r>
        <w:rPr>
          <w:rFonts w:ascii="標楷體" w:eastAsia="標楷體" w:hAnsi="標楷體"/>
          <w:color w:val="000000"/>
        </w:rPr>
        <w:t>Protopic</w:t>
      </w:r>
      <w:proofErr w:type="spellEnd"/>
      <w:r>
        <w:rPr>
          <w:rFonts w:ascii="標楷體" w:eastAsia="標楷體" w:hAnsi="標楷體"/>
          <w:color w:val="000000"/>
        </w:rPr>
        <w:t xml:space="preserve"> Ointment )：(91/12/1、93/8/1、95/7/1、99/12/1、111/2/1) </w:t>
      </w:r>
    </w:p>
    <w:p w14:paraId="1B33B2A0" w14:textId="77777777" w:rsidR="00CA3F27" w:rsidRDefault="00ED050B" w:rsidP="0054576B">
      <w:pPr>
        <w:spacing w:line="400" w:lineRule="exact"/>
        <w:ind w:left="558" w:hanging="1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限2歲以上因為潛在危險而不宜使用其他傳統治療、或對其他傳統治療反應不充分、或無法耐受其他傳統治療且患部面積&gt;30%之中、</w:t>
      </w:r>
      <w:proofErr w:type="gramStart"/>
      <w:r>
        <w:rPr>
          <w:rFonts w:ascii="標楷體" w:eastAsia="標楷體" w:hAnsi="標楷體"/>
          <w:color w:val="000000"/>
        </w:rPr>
        <w:t>重度異位</w:t>
      </w:r>
      <w:proofErr w:type="gramEnd"/>
      <w:r>
        <w:rPr>
          <w:rFonts w:ascii="標楷體" w:eastAsia="標楷體" w:hAnsi="標楷體"/>
          <w:color w:val="000000"/>
        </w:rPr>
        <w:t>性皮膚炎之下列病患第二線使用(95/7/1、111/2/1)</w:t>
      </w:r>
    </w:p>
    <w:p w14:paraId="295877AC" w14:textId="77777777" w:rsidR="00CA3F27" w:rsidRDefault="00ED050B" w:rsidP="0054576B">
      <w:pPr>
        <w:spacing w:line="400" w:lineRule="exact"/>
        <w:ind w:left="811" w:hanging="24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1.成人患部面積30%~50%，每星期不超過30gm；患部面積&gt;50%，每星期不超過60gm。(99/12/1)</w:t>
      </w:r>
    </w:p>
    <w:p w14:paraId="41F3C944" w14:textId="77777777" w:rsidR="00CA3F27" w:rsidRDefault="00ED050B" w:rsidP="0054576B">
      <w:pPr>
        <w:spacing w:line="400" w:lineRule="exact"/>
        <w:ind w:left="811" w:hanging="24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2.孩童患部面積30%~50%，每兩星期不超過30gm；患部面積&gt;50%，每星期不超過30gm。(99/12/1)</w:t>
      </w:r>
    </w:p>
    <w:p w14:paraId="407D0FFE" w14:textId="77777777" w:rsidR="00CA3F27" w:rsidRDefault="00ED050B" w:rsidP="0054576B">
      <w:pPr>
        <w:spacing w:line="400" w:lineRule="exact"/>
        <w:ind w:left="811" w:hanging="24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3.面積計算：成人依照 rule of nines(詳備註1)，由</w:t>
      </w:r>
      <w:proofErr w:type="gramStart"/>
      <w:r>
        <w:rPr>
          <w:rFonts w:ascii="標楷體" w:eastAsia="標楷體" w:hAnsi="標楷體"/>
          <w:color w:val="000000"/>
        </w:rPr>
        <w:t>部位乘予大約</w:t>
      </w:r>
      <w:proofErr w:type="gramEnd"/>
      <w:r>
        <w:rPr>
          <w:rFonts w:ascii="標楷體" w:eastAsia="標楷體" w:hAnsi="標楷體"/>
          <w:color w:val="000000"/>
        </w:rPr>
        <w:t>比例之總和，兒童依比例 (備註2，</w:t>
      </w:r>
      <w:proofErr w:type="spellStart"/>
      <w:r>
        <w:rPr>
          <w:rFonts w:ascii="標楷體" w:eastAsia="標楷體" w:hAnsi="標楷體"/>
          <w:color w:val="000000"/>
        </w:rPr>
        <w:t>Barkin</w:t>
      </w:r>
      <w:proofErr w:type="spellEnd"/>
      <w:r>
        <w:rPr>
          <w:rFonts w:ascii="標楷體" w:eastAsia="標楷體" w:hAnsi="標楷體"/>
          <w:color w:val="000000"/>
        </w:rPr>
        <w:t>公式) 修訂。</w:t>
      </w:r>
    </w:p>
    <w:p w14:paraId="18DB5865" w14:textId="77777777" w:rsidR="00CA3F27" w:rsidRDefault="00ED050B" w:rsidP="0054576B">
      <w:pPr>
        <w:spacing w:line="400" w:lineRule="exact"/>
        <w:ind w:left="811" w:hanging="24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4.使用一個月後，症狀若無改善，應改用其他藥物治療。</w:t>
      </w:r>
    </w:p>
    <w:p w14:paraId="31DADB5B" w14:textId="77777777" w:rsidR="00CA3F27" w:rsidRDefault="00ED050B" w:rsidP="0054576B">
      <w:pPr>
        <w:spacing w:line="400" w:lineRule="exact"/>
        <w:ind w:left="811" w:hanging="24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5.以三個月為一個療程，作間歇性長期治療者，若需繼續治療，每月限使用30公克。（93/8 /1）</w:t>
      </w:r>
    </w:p>
    <w:p w14:paraId="341E0288" w14:textId="77777777" w:rsidR="00CA3F27" w:rsidRDefault="00ED050B" w:rsidP="0054576B">
      <w:pPr>
        <w:spacing w:line="400" w:lineRule="exact"/>
        <w:ind w:left="811" w:hanging="24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6.不可合併紫外線治療。（93/8 /1）</w:t>
      </w:r>
    </w:p>
    <w:p w14:paraId="7E53F864" w14:textId="77777777" w:rsidR="00CA3F27" w:rsidRDefault="00ED050B" w:rsidP="0054576B">
      <w:pPr>
        <w:spacing w:line="400" w:lineRule="exact"/>
        <w:ind w:left="811" w:hanging="24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7.與pimecrolimus</w:t>
      </w:r>
      <w:proofErr w:type="gramStart"/>
      <w:r>
        <w:rPr>
          <w:rFonts w:ascii="標楷體" w:eastAsia="標楷體" w:hAnsi="標楷體"/>
          <w:color w:val="000000"/>
        </w:rPr>
        <w:t>併</w:t>
      </w:r>
      <w:proofErr w:type="gramEnd"/>
      <w:r>
        <w:rPr>
          <w:rFonts w:ascii="標楷體" w:eastAsia="標楷體" w:hAnsi="標楷體"/>
          <w:color w:val="000000"/>
        </w:rPr>
        <w:t>用時 (99/12/1)：</w:t>
      </w:r>
    </w:p>
    <w:p w14:paraId="766CFE20" w14:textId="77777777" w:rsidR="00CA3F27" w:rsidRDefault="00ED050B" w:rsidP="0054576B">
      <w:pPr>
        <w:spacing w:line="400" w:lineRule="exact"/>
        <w:ind w:left="1049" w:hanging="341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(1)成人：患部面積30%~50%，每星期兩者合併用量不超過30gm；患部面積&gt;50%，兩者每星期合併用量不超過60gm。</w:t>
      </w:r>
    </w:p>
    <w:p w14:paraId="4E5DFDBF" w14:textId="77777777" w:rsidR="00CA3F27" w:rsidRDefault="00ED050B" w:rsidP="0054576B">
      <w:pPr>
        <w:spacing w:line="400" w:lineRule="exact"/>
        <w:ind w:left="1049" w:hanging="341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(2)孩童：患部面積30%~50%，每兩星期兩者合併用量不超過30gm；患部面積&gt;50%，每星期兩者合併用量不超過30gm。</w:t>
      </w:r>
    </w:p>
    <w:p w14:paraId="06DC666D" w14:textId="77777777" w:rsidR="00CA3F27" w:rsidRDefault="00ED050B" w:rsidP="0054576B">
      <w:pPr>
        <w:spacing w:line="400" w:lineRule="exact"/>
        <w:ind w:left="1049" w:hanging="341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(3)若因病情需要兩者合併使用量需超過限制者，應於病歷詳細記錄理由。</w:t>
      </w:r>
    </w:p>
    <w:p w14:paraId="50521580" w14:textId="77777777" w:rsidR="00CA3F27" w:rsidRDefault="00ED050B" w:rsidP="0054576B">
      <w:pPr>
        <w:spacing w:line="400" w:lineRule="exact"/>
        <w:ind w:left="1438" w:hanging="874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備註1：Rule of nines計算法：頭頸9%，兩上肢18%，軀幹18%，背18%，兩下肢36%，</w:t>
      </w:r>
      <w:r>
        <w:rPr>
          <w:rFonts w:ascii="標楷體" w:eastAsia="標楷體" w:hAnsi="標楷體"/>
          <w:color w:val="000000"/>
        </w:rPr>
        <w:lastRenderedPageBreak/>
        <w:t>陰部1%。</w:t>
      </w:r>
    </w:p>
    <w:p w14:paraId="780FA849" w14:textId="77777777" w:rsidR="00CA3F27" w:rsidRDefault="00ED050B" w:rsidP="0054576B">
      <w:pPr>
        <w:spacing w:line="400" w:lineRule="exact"/>
        <w:ind w:left="811" w:hanging="24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備註2：兒童患部面積計算如附表十七 (From Roger M. </w:t>
      </w:r>
      <w:proofErr w:type="spellStart"/>
      <w:r>
        <w:rPr>
          <w:rFonts w:ascii="標楷體" w:eastAsia="標楷體" w:hAnsi="標楷體"/>
          <w:color w:val="000000"/>
        </w:rPr>
        <w:t>Barkin</w:t>
      </w:r>
      <w:proofErr w:type="spellEnd"/>
      <w:r>
        <w:rPr>
          <w:rFonts w:ascii="標楷體" w:eastAsia="標楷體" w:hAnsi="標楷體"/>
          <w:color w:val="000000"/>
        </w:rPr>
        <w:t>)</w:t>
      </w:r>
    </w:p>
    <w:p w14:paraId="0BB80217" w14:textId="77777777" w:rsidR="00CA3F27" w:rsidRDefault="00ED050B" w:rsidP="0054576B">
      <w:pPr>
        <w:spacing w:line="400" w:lineRule="exact"/>
        <w:ind w:left="682" w:hanging="60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13.11.Pimecrolimus (</w:t>
      </w:r>
      <w:proofErr w:type="spellStart"/>
      <w:r>
        <w:rPr>
          <w:rFonts w:ascii="標楷體" w:eastAsia="標楷體" w:hAnsi="標楷體"/>
          <w:color w:val="000000"/>
        </w:rPr>
        <w:t>Elidel</w:t>
      </w:r>
      <w:proofErr w:type="spellEnd"/>
      <w:r>
        <w:rPr>
          <w:rFonts w:ascii="標楷體" w:eastAsia="標楷體" w:hAnsi="標楷體"/>
          <w:color w:val="000000"/>
        </w:rPr>
        <w:t xml:space="preserve"> 1% )：(92/11/1、93/8/1、94/3/1、95/7/1、99/12/1、110/12/1、111/2/1)</w:t>
      </w:r>
    </w:p>
    <w:p w14:paraId="2D34F2B7" w14:textId="77777777" w:rsidR="00CA3F27" w:rsidRDefault="00ED050B" w:rsidP="0054576B">
      <w:pPr>
        <w:spacing w:line="400" w:lineRule="exact"/>
        <w:ind w:left="809" w:hanging="101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限2歲以上且患部面積&gt;30%之中、</w:t>
      </w:r>
      <w:proofErr w:type="gramStart"/>
      <w:r>
        <w:rPr>
          <w:rFonts w:ascii="標楷體" w:eastAsia="標楷體" w:hAnsi="標楷體"/>
          <w:color w:val="000000"/>
        </w:rPr>
        <w:t>重度異位</w:t>
      </w:r>
      <w:proofErr w:type="gramEnd"/>
      <w:r>
        <w:rPr>
          <w:rFonts w:ascii="標楷體" w:eastAsia="標楷體" w:hAnsi="標楷體"/>
          <w:color w:val="000000"/>
        </w:rPr>
        <w:t>性皮膚炎，或敏感性皮膚部位(頭頸部、眼瞼、</w:t>
      </w:r>
      <w:proofErr w:type="gramStart"/>
      <w:r>
        <w:rPr>
          <w:rFonts w:ascii="標楷體" w:eastAsia="標楷體" w:hAnsi="標楷體"/>
          <w:color w:val="000000"/>
        </w:rPr>
        <w:t>耳後區</w:t>
      </w:r>
      <w:proofErr w:type="gramEnd"/>
      <w:r>
        <w:rPr>
          <w:rFonts w:ascii="標楷體" w:eastAsia="標楷體" w:hAnsi="標楷體"/>
          <w:color w:val="000000"/>
        </w:rPr>
        <w:t>、生殖器、皮膚彎曲處、腋下、鼠蹊部)異位性皮膚炎之下列病患第二線使用：(94/3/1、95/7/1、110/12/1、111/2/1)</w:t>
      </w:r>
    </w:p>
    <w:p w14:paraId="63501F75" w14:textId="77777777" w:rsidR="00CA3F27" w:rsidRDefault="00ED050B" w:rsidP="0054576B">
      <w:pPr>
        <w:spacing w:line="400" w:lineRule="exact"/>
        <w:ind w:left="811" w:hanging="24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1.成人患部面積30%~50%，每星期不超過30gm；患部面積&gt;50%，每星期不超過60gm。(94/3/1、99/12/1)</w:t>
      </w:r>
    </w:p>
    <w:p w14:paraId="13D3C890" w14:textId="77777777" w:rsidR="00CA3F27" w:rsidRDefault="00ED050B" w:rsidP="0054576B">
      <w:pPr>
        <w:spacing w:line="400" w:lineRule="exact"/>
        <w:ind w:left="811" w:hanging="24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2.孩童患部面積30%~50%，每兩星期不超過30gm；患部面積&gt;50%，每星期不超過30gm。(99/12/1)</w:t>
      </w:r>
    </w:p>
    <w:p w14:paraId="3EC1F5DC" w14:textId="77777777" w:rsidR="00CA3F27" w:rsidRDefault="00ED050B" w:rsidP="0054576B">
      <w:pPr>
        <w:spacing w:line="400" w:lineRule="exact"/>
        <w:ind w:left="811" w:hanging="24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3.敏感性皮膚部位(頭頸部、眼瞼、</w:t>
      </w:r>
      <w:proofErr w:type="gramStart"/>
      <w:r>
        <w:rPr>
          <w:rFonts w:ascii="標楷體" w:eastAsia="標楷體" w:hAnsi="標楷體"/>
          <w:color w:val="000000"/>
        </w:rPr>
        <w:t>耳後區</w:t>
      </w:r>
      <w:proofErr w:type="gramEnd"/>
      <w:r>
        <w:rPr>
          <w:rFonts w:ascii="標楷體" w:eastAsia="標楷體" w:hAnsi="標楷體"/>
          <w:color w:val="000000"/>
        </w:rPr>
        <w:t>、生殖器、皮膚彎曲處、腋下、鼠蹊部)異位性皮膚炎部分：成人每月不超過30gm，孩童每月不超過不超過20gm，且不得與全身用藥分開計算。(110/12/1)</w:t>
      </w:r>
    </w:p>
    <w:p w14:paraId="3201BF95" w14:textId="77777777" w:rsidR="00CA3F27" w:rsidRDefault="00ED050B" w:rsidP="0054576B">
      <w:pPr>
        <w:spacing w:line="400" w:lineRule="exact"/>
        <w:ind w:left="811" w:hanging="24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4.使用一個月後，症狀若無改善，應改用其他藥物治療。</w:t>
      </w:r>
    </w:p>
    <w:p w14:paraId="081F759F" w14:textId="77777777" w:rsidR="00CA3F27" w:rsidRDefault="00ED050B" w:rsidP="0054576B">
      <w:pPr>
        <w:spacing w:line="400" w:lineRule="exact"/>
        <w:ind w:left="811" w:hanging="24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5.以三個月為一個療程，作間歇性長期治療者，若需繼續治療，每月限使用30公克。（93/8/1）</w:t>
      </w:r>
    </w:p>
    <w:p w14:paraId="39F01AF8" w14:textId="77777777" w:rsidR="00CA3F27" w:rsidRDefault="00ED050B" w:rsidP="0054576B">
      <w:pPr>
        <w:spacing w:line="400" w:lineRule="exact"/>
        <w:ind w:left="811" w:hanging="24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6.不可合併紫外線治療。（93/8/1）</w:t>
      </w:r>
    </w:p>
    <w:p w14:paraId="4B477D80" w14:textId="77777777" w:rsidR="00CA3F27" w:rsidRDefault="00ED050B" w:rsidP="0054576B">
      <w:pPr>
        <w:spacing w:line="400" w:lineRule="exact"/>
        <w:ind w:left="811" w:hanging="24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7.與tacrolimus</w:t>
      </w:r>
      <w:proofErr w:type="gramStart"/>
      <w:r>
        <w:rPr>
          <w:rFonts w:ascii="標楷體" w:eastAsia="標楷體" w:hAnsi="標楷體"/>
          <w:color w:val="000000"/>
        </w:rPr>
        <w:t>併</w:t>
      </w:r>
      <w:proofErr w:type="gramEnd"/>
      <w:r>
        <w:rPr>
          <w:rFonts w:ascii="標楷體" w:eastAsia="標楷體" w:hAnsi="標楷體"/>
          <w:color w:val="000000"/>
        </w:rPr>
        <w:t>用時(99/12/1)：</w:t>
      </w:r>
    </w:p>
    <w:p w14:paraId="10A67670" w14:textId="77777777" w:rsidR="00CA3F27" w:rsidRDefault="00ED050B" w:rsidP="0054576B">
      <w:pPr>
        <w:spacing w:line="400" w:lineRule="exact"/>
        <w:ind w:left="1049" w:hanging="341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(1)成人：患部面積30%~50%，每星期兩者合併用量不超過30gm；患部面積&gt;50%，兩者每星期合併用量不超過60gm。</w:t>
      </w:r>
    </w:p>
    <w:p w14:paraId="5D1A5F7B" w14:textId="77777777" w:rsidR="00CA3F27" w:rsidRDefault="00ED050B" w:rsidP="0054576B">
      <w:pPr>
        <w:spacing w:line="400" w:lineRule="exact"/>
        <w:ind w:left="1049" w:hanging="341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(2)孩童：患部面積30%~50%，每兩星期兩者合併用量不超過30gm；患部面積&gt;50%，每星期兩者合併用量不超過30gm。</w:t>
      </w:r>
    </w:p>
    <w:p w14:paraId="57CDE5BF" w14:textId="77777777" w:rsidR="00CA3F27" w:rsidRDefault="00ED050B" w:rsidP="0054576B">
      <w:pPr>
        <w:spacing w:line="400" w:lineRule="exact"/>
        <w:ind w:left="1049" w:hanging="341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(3)若因病情需要兩者合併使用量需超過限制者，應於病歷詳細記錄理由。</w:t>
      </w:r>
    </w:p>
    <w:p w14:paraId="10F3B817" w14:textId="77777777" w:rsidR="00CA3F27" w:rsidRDefault="00ED050B" w:rsidP="0054576B">
      <w:pPr>
        <w:spacing w:line="400" w:lineRule="exact"/>
        <w:ind w:left="432" w:hanging="386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13.12.Amorolfine (如</w:t>
      </w:r>
      <w:proofErr w:type="spellStart"/>
      <w:r>
        <w:rPr>
          <w:rFonts w:ascii="標楷體" w:eastAsia="標楷體" w:hAnsi="標楷體"/>
          <w:color w:val="000000"/>
        </w:rPr>
        <w:t>Amocoat</w:t>
      </w:r>
      <w:proofErr w:type="spellEnd"/>
      <w:r>
        <w:rPr>
          <w:rFonts w:ascii="標楷體" w:eastAsia="標楷體" w:hAnsi="標楷體"/>
          <w:color w:val="000000"/>
        </w:rPr>
        <w:t>)：(99/4/1)</w:t>
      </w:r>
    </w:p>
    <w:p w14:paraId="70EA0CD0" w14:textId="77777777" w:rsidR="00CA3F27" w:rsidRDefault="00ED050B" w:rsidP="0054576B">
      <w:pPr>
        <w:spacing w:line="400" w:lineRule="exact"/>
        <w:ind w:left="811" w:hanging="24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1.限用於皮真菌、酵母菌及黴菌引起之甲癬。</w:t>
      </w:r>
    </w:p>
    <w:p w14:paraId="5DFA8C2F" w14:textId="77777777" w:rsidR="00CA3F27" w:rsidRDefault="00ED050B" w:rsidP="0054576B">
      <w:pPr>
        <w:spacing w:line="400" w:lineRule="exact"/>
        <w:ind w:left="811" w:hanging="24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2.每年限使用一瓶5mL。</w:t>
      </w:r>
    </w:p>
    <w:p w14:paraId="6FE0D464" w14:textId="77777777" w:rsidR="00CA3F27" w:rsidRDefault="00ED050B" w:rsidP="0054576B">
      <w:pPr>
        <w:spacing w:line="400" w:lineRule="exact"/>
        <w:ind w:left="811" w:hanging="24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3.許可證類別若變更為指示用藥，將不予給付。</w:t>
      </w:r>
    </w:p>
    <w:p w14:paraId="1F41010F" w14:textId="77777777" w:rsidR="00CA3F27" w:rsidRDefault="00ED050B" w:rsidP="0054576B">
      <w:pPr>
        <w:spacing w:line="400" w:lineRule="exact"/>
        <w:ind w:left="43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13.13.Podophyllotoxin (如Wart Del Cream)：(102/9/1) </w:t>
      </w:r>
    </w:p>
    <w:p w14:paraId="1BD25253" w14:textId="77777777" w:rsidR="00CA3F27" w:rsidRDefault="00ED050B" w:rsidP="0054576B">
      <w:pPr>
        <w:spacing w:line="400" w:lineRule="exact"/>
        <w:ind w:left="811" w:hanging="24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1.限皮膚、泌尿、婦產專科醫師或經病理診斷確認，使用於生殖器疣 (包括外生殖器及肛門附近)之治療。</w:t>
      </w:r>
    </w:p>
    <w:p w14:paraId="6EAD04A1" w14:textId="77777777" w:rsidR="00CA3F27" w:rsidRDefault="00ED050B" w:rsidP="0054576B">
      <w:pPr>
        <w:spacing w:line="400" w:lineRule="exact"/>
        <w:ind w:left="782" w:hanging="216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2.每次限給付乙支(5gm)，一個月內不得重複處方，每次療程</w:t>
      </w:r>
      <w:proofErr w:type="gramStart"/>
      <w:r>
        <w:rPr>
          <w:rFonts w:ascii="標楷體" w:eastAsia="標楷體" w:hAnsi="標楷體"/>
          <w:color w:val="000000"/>
        </w:rPr>
        <w:t>間應相隔</w:t>
      </w:r>
      <w:proofErr w:type="gramEnd"/>
      <w:r>
        <w:rPr>
          <w:rFonts w:ascii="標楷體" w:eastAsia="標楷體" w:hAnsi="標楷體"/>
          <w:color w:val="000000"/>
        </w:rPr>
        <w:t>至少3個月，治療期間不得與其它冷凍、電燒、雷射治療合併申報。</w:t>
      </w:r>
    </w:p>
    <w:p w14:paraId="7E978374" w14:textId="77777777" w:rsidR="00CA3F27" w:rsidRDefault="00ED050B" w:rsidP="0054576B">
      <w:pPr>
        <w:spacing w:line="400" w:lineRule="exact"/>
        <w:ind w:left="780" w:hanging="216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3.若病灶侵犯生殖器部位超過50%，每療程處方之總劑量以10gm為上限，並且需於</w:t>
      </w:r>
      <w:proofErr w:type="gramStart"/>
      <w:r>
        <w:rPr>
          <w:rFonts w:ascii="標楷體" w:eastAsia="標楷體" w:hAnsi="標楷體"/>
          <w:color w:val="000000"/>
        </w:rPr>
        <w:t>病歷上詳載</w:t>
      </w:r>
      <w:proofErr w:type="gramEnd"/>
      <w:r>
        <w:rPr>
          <w:rFonts w:ascii="標楷體" w:eastAsia="標楷體" w:hAnsi="標楷體"/>
          <w:color w:val="000000"/>
        </w:rPr>
        <w:t>，</w:t>
      </w:r>
      <w:proofErr w:type="gramStart"/>
      <w:r>
        <w:rPr>
          <w:rFonts w:ascii="標楷體" w:eastAsia="標楷體" w:hAnsi="標楷體"/>
          <w:color w:val="000000"/>
        </w:rPr>
        <w:t>併</w:t>
      </w:r>
      <w:proofErr w:type="gramEnd"/>
      <w:r>
        <w:rPr>
          <w:rFonts w:ascii="標楷體" w:eastAsia="標楷體" w:hAnsi="標楷體"/>
          <w:color w:val="000000"/>
        </w:rPr>
        <w:t>得合併申報冷凍、電燒或雷射治療。</w:t>
      </w:r>
    </w:p>
    <w:p w14:paraId="159AF9CC" w14:textId="77777777" w:rsidR="00CA3F27" w:rsidRDefault="00ED050B" w:rsidP="0054576B">
      <w:pPr>
        <w:spacing w:line="400" w:lineRule="exact"/>
        <w:ind w:left="43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lastRenderedPageBreak/>
        <w:t>13.14.Ingenol (如</w:t>
      </w:r>
      <w:proofErr w:type="spellStart"/>
      <w:r>
        <w:rPr>
          <w:rFonts w:ascii="標楷體" w:eastAsia="標楷體" w:hAnsi="標楷體"/>
          <w:color w:val="000000"/>
        </w:rPr>
        <w:t>Picato</w:t>
      </w:r>
      <w:proofErr w:type="spellEnd"/>
      <w:r>
        <w:rPr>
          <w:rFonts w:ascii="標楷體" w:eastAsia="標楷體" w:hAnsi="標楷體"/>
          <w:color w:val="000000"/>
        </w:rPr>
        <w:t>) ：(105/11/1)</w:t>
      </w:r>
    </w:p>
    <w:p w14:paraId="756DB5F0" w14:textId="77777777" w:rsidR="00CA3F27" w:rsidRDefault="00ED050B" w:rsidP="0054576B">
      <w:pPr>
        <w:spacing w:line="400" w:lineRule="exact"/>
        <w:ind w:left="848" w:hanging="1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限用於治療局部性、非過度角化 (non-hyperkeratotic)、非肥厚型(non-hypertrophic)光</w:t>
      </w:r>
      <w:proofErr w:type="gramStart"/>
      <w:r>
        <w:rPr>
          <w:rFonts w:ascii="標楷體" w:eastAsia="標楷體" w:hAnsi="標楷體"/>
          <w:color w:val="000000"/>
        </w:rPr>
        <w:t>化性角</w:t>
      </w:r>
      <w:proofErr w:type="gramEnd"/>
      <w:r>
        <w:rPr>
          <w:rFonts w:ascii="標楷體" w:eastAsia="標楷體" w:hAnsi="標楷體"/>
          <w:color w:val="000000"/>
        </w:rPr>
        <w:t>化症</w:t>
      </w:r>
    </w:p>
    <w:p w14:paraId="0CE9A630" w14:textId="77777777" w:rsidR="00CA3F27" w:rsidRDefault="00ED050B" w:rsidP="0054576B">
      <w:pPr>
        <w:spacing w:line="400" w:lineRule="exact"/>
        <w:ind w:left="796" w:hanging="230"/>
      </w:pPr>
      <w:r>
        <w:rPr>
          <w:rFonts w:ascii="標楷體" w:eastAsia="標楷體" w:hAnsi="標楷體"/>
          <w:color w:val="000000"/>
        </w:rPr>
        <w:t>1.限用於局部性治療25cm</w:t>
      </w:r>
      <w:r>
        <w:rPr>
          <w:rFonts w:ascii="標楷體" w:eastAsia="標楷體" w:hAnsi="標楷體"/>
          <w:color w:val="000000"/>
          <w:vertAlign w:val="superscript"/>
        </w:rPr>
        <w:t>2</w:t>
      </w:r>
      <w:r>
        <w:rPr>
          <w:rFonts w:ascii="標楷體" w:eastAsia="標楷體" w:hAnsi="標楷體"/>
          <w:color w:val="000000"/>
        </w:rPr>
        <w:t xml:space="preserve">的連續治療面積內，4個(含)以上病灶數量。 </w:t>
      </w:r>
    </w:p>
    <w:p w14:paraId="7A99256C" w14:textId="77777777" w:rsidR="00CA3F27" w:rsidRDefault="00ED050B" w:rsidP="0054576B">
      <w:pPr>
        <w:spacing w:line="400" w:lineRule="exact"/>
        <w:ind w:left="796" w:hanging="23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2.須經皮膚科醫師診斷為光</w:t>
      </w:r>
      <w:proofErr w:type="gramStart"/>
      <w:r>
        <w:rPr>
          <w:rFonts w:ascii="標楷體" w:eastAsia="標楷體" w:hAnsi="標楷體"/>
          <w:color w:val="000000"/>
        </w:rPr>
        <w:t>化性角</w:t>
      </w:r>
      <w:proofErr w:type="gramEnd"/>
      <w:r>
        <w:rPr>
          <w:rFonts w:ascii="標楷體" w:eastAsia="標楷體" w:hAnsi="標楷體"/>
          <w:color w:val="000000"/>
        </w:rPr>
        <w:t>化症，並附照片備查。</w:t>
      </w:r>
    </w:p>
    <w:p w14:paraId="603DA3F5" w14:textId="77777777" w:rsidR="00CA3F27" w:rsidRDefault="00ED050B" w:rsidP="0054576B">
      <w:pPr>
        <w:spacing w:line="400" w:lineRule="exact"/>
        <w:ind w:left="796" w:hanging="23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3.療程: </w:t>
      </w:r>
    </w:p>
    <w:p w14:paraId="37C7D46F" w14:textId="77777777" w:rsidR="00CA3F27" w:rsidRDefault="00ED050B" w:rsidP="0054576B">
      <w:pPr>
        <w:spacing w:line="400" w:lineRule="exact"/>
        <w:ind w:left="1077" w:hanging="367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(1)150微克/克(0.015%)用於臉部或頭皮，每天一次、連續塗抹3天，每部位每一次療程限處方3支； 500微克/克(0.05%)用於身軀或四肢，每天一次，連續塗抹2天，每部位每一次療程限處方2支。</w:t>
      </w:r>
    </w:p>
    <w:p w14:paraId="082D656B" w14:textId="77777777" w:rsidR="00CA3F27" w:rsidRDefault="00ED050B" w:rsidP="0054576B">
      <w:pPr>
        <w:spacing w:line="400" w:lineRule="exact"/>
        <w:ind w:left="1077" w:hanging="367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(2)若未達完全清除、或病灶復發或出現新病灶，須進行第二次療程，須距第一次療程八</w:t>
      </w:r>
      <w:proofErr w:type="gramStart"/>
      <w:r>
        <w:rPr>
          <w:rFonts w:ascii="標楷體" w:eastAsia="標楷體" w:hAnsi="標楷體"/>
          <w:color w:val="000000"/>
        </w:rPr>
        <w:t>週</w:t>
      </w:r>
      <w:proofErr w:type="gramEnd"/>
      <w:r>
        <w:rPr>
          <w:rFonts w:ascii="標楷體" w:eastAsia="標楷體" w:hAnsi="標楷體"/>
          <w:color w:val="000000"/>
        </w:rPr>
        <w:t>以上，</w:t>
      </w:r>
      <w:proofErr w:type="gramStart"/>
      <w:r>
        <w:rPr>
          <w:rFonts w:ascii="標楷體" w:eastAsia="標楷體" w:hAnsi="標楷體"/>
          <w:color w:val="000000"/>
        </w:rPr>
        <w:t>一</w:t>
      </w:r>
      <w:proofErr w:type="gramEnd"/>
      <w:r>
        <w:rPr>
          <w:rFonts w:ascii="標楷體" w:eastAsia="標楷體" w:hAnsi="標楷體"/>
          <w:color w:val="000000"/>
        </w:rPr>
        <w:t>年內以兩療程為限。</w:t>
      </w:r>
    </w:p>
    <w:p w14:paraId="50986B19" w14:textId="77777777" w:rsidR="00CA3F27" w:rsidRDefault="00ED050B" w:rsidP="0054576B">
      <w:pPr>
        <w:spacing w:line="400" w:lineRule="exact"/>
        <w:ind w:left="1077" w:hanging="367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(3)於局部治療範圍處，八</w:t>
      </w:r>
      <w:proofErr w:type="gramStart"/>
      <w:r>
        <w:rPr>
          <w:rFonts w:ascii="標楷體" w:eastAsia="標楷體" w:hAnsi="標楷體"/>
          <w:color w:val="000000"/>
        </w:rPr>
        <w:t>週</w:t>
      </w:r>
      <w:proofErr w:type="gramEnd"/>
      <w:r>
        <w:rPr>
          <w:rFonts w:ascii="標楷體" w:eastAsia="標楷體" w:hAnsi="標楷體"/>
          <w:color w:val="000000"/>
        </w:rPr>
        <w:t>內不得同時</w:t>
      </w:r>
      <w:proofErr w:type="gramStart"/>
      <w:r>
        <w:rPr>
          <w:rFonts w:ascii="標楷體" w:eastAsia="標楷體" w:hAnsi="標楷體"/>
          <w:color w:val="000000"/>
        </w:rPr>
        <w:t>併</w:t>
      </w:r>
      <w:proofErr w:type="gramEnd"/>
      <w:r>
        <w:rPr>
          <w:rFonts w:ascii="標楷體" w:eastAsia="標楷體" w:hAnsi="標楷體"/>
          <w:color w:val="000000"/>
        </w:rPr>
        <w:t>用其他光</w:t>
      </w:r>
      <w:proofErr w:type="gramStart"/>
      <w:r>
        <w:rPr>
          <w:rFonts w:ascii="標楷體" w:eastAsia="標楷體" w:hAnsi="標楷體"/>
          <w:color w:val="000000"/>
        </w:rPr>
        <w:t>化性角</w:t>
      </w:r>
      <w:proofErr w:type="gramEnd"/>
      <w:r>
        <w:rPr>
          <w:rFonts w:ascii="標楷體" w:eastAsia="標楷體" w:hAnsi="標楷體"/>
          <w:color w:val="000000"/>
        </w:rPr>
        <w:t>化症治療，如冷凍治療、雷射、電燒等。</w:t>
      </w:r>
    </w:p>
    <w:p w14:paraId="025184E3" w14:textId="77777777" w:rsidR="00CA3F27" w:rsidRDefault="00ED050B" w:rsidP="0054576B">
      <w:pPr>
        <w:spacing w:line="400" w:lineRule="exact"/>
        <w:ind w:left="43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13.15.Permethrin外用製劑：（106/9/1、111/6/1、113/12/1）</w:t>
      </w:r>
    </w:p>
    <w:p w14:paraId="0C63B409" w14:textId="77777777" w:rsidR="00CA3F27" w:rsidRDefault="00ED050B" w:rsidP="0054576B">
      <w:pPr>
        <w:spacing w:line="400" w:lineRule="exact"/>
        <w:ind w:left="796" w:hanging="23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1.每人每次處方使用30gm一支，需要時得於7天後再處方使用一支(限30gm)；若第1次處方使用60gm一支，則7天後之第2次治療不得再處方一支(30gm或60gm)。（106/9/1、111/6/1、113/12/1）</w:t>
      </w:r>
    </w:p>
    <w:p w14:paraId="67FE8041" w14:textId="77777777" w:rsidR="00CA3F27" w:rsidRDefault="00ED050B" w:rsidP="0054576B">
      <w:pPr>
        <w:spacing w:line="400" w:lineRule="exact"/>
        <w:ind w:left="796" w:hanging="23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2.半年內需使用第3次時，須經皮膚科醫師確診處方。</w:t>
      </w:r>
    </w:p>
    <w:p w14:paraId="298B3D49" w14:textId="77777777" w:rsidR="00CA3F27" w:rsidRDefault="00ED050B" w:rsidP="0054576B">
      <w:pPr>
        <w:spacing w:line="400" w:lineRule="exact"/>
        <w:ind w:left="43"/>
      </w:pPr>
      <w:r>
        <w:rPr>
          <w:rFonts w:ascii="標楷體" w:eastAsia="標楷體" w:hAnsi="標楷體"/>
          <w:color w:val="000000"/>
        </w:rPr>
        <w:t>13.16.Ivermectin (如</w:t>
      </w:r>
      <w:proofErr w:type="spellStart"/>
      <w:r>
        <w:rPr>
          <w:rFonts w:ascii="標楷體" w:eastAsia="標楷體" w:hAnsi="標楷體"/>
          <w:color w:val="000000"/>
        </w:rPr>
        <w:t>Stromectol</w:t>
      </w:r>
      <w:proofErr w:type="spellEnd"/>
      <w:r>
        <w:rPr>
          <w:rFonts w:ascii="標楷體" w:eastAsia="標楷體" w:hAnsi="標楷體"/>
          <w:color w:val="000000"/>
        </w:rPr>
        <w:t>)：（107/8/1</w:t>
      </w:r>
      <w:r>
        <w:rPr>
          <w:rFonts w:ascii="標楷體" w:eastAsia="標楷體" w:hAnsi="標楷體"/>
          <w:color w:val="000000"/>
          <w:szCs w:val="24"/>
        </w:rPr>
        <w:t>、112/12/1</w:t>
      </w:r>
      <w:r>
        <w:rPr>
          <w:rFonts w:ascii="標楷體" w:eastAsia="標楷體" w:hAnsi="標楷體"/>
          <w:color w:val="000000"/>
        </w:rPr>
        <w:t>、113/4/1）</w:t>
      </w:r>
    </w:p>
    <w:p w14:paraId="5DBAD17D" w14:textId="77777777" w:rsidR="00CA3F27" w:rsidRDefault="00ED050B" w:rsidP="0054576B">
      <w:pPr>
        <w:spacing w:line="400" w:lineRule="exact"/>
        <w:ind w:left="796" w:hanging="23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1.</w:t>
      </w:r>
      <w:proofErr w:type="gramStart"/>
      <w:r>
        <w:rPr>
          <w:rFonts w:ascii="標楷體" w:eastAsia="標楷體" w:hAnsi="標楷體"/>
          <w:color w:val="000000"/>
        </w:rPr>
        <w:t>限鏡檢</w:t>
      </w:r>
      <w:proofErr w:type="gramEnd"/>
      <w:r>
        <w:rPr>
          <w:rFonts w:ascii="標楷體" w:eastAsia="標楷體" w:hAnsi="標楷體"/>
          <w:color w:val="000000"/>
        </w:rPr>
        <w:t>呈陽性之確診的疥瘡病患使用，須附照片備查。</w:t>
      </w:r>
    </w:p>
    <w:p w14:paraId="63039C8C" w14:textId="77777777" w:rsidR="00CA3F27" w:rsidRDefault="00ED050B" w:rsidP="0054576B">
      <w:pPr>
        <w:spacing w:line="400" w:lineRule="exact"/>
        <w:ind w:left="796" w:hanging="23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2.</w:t>
      </w:r>
      <w:proofErr w:type="gramStart"/>
      <w:r>
        <w:rPr>
          <w:rFonts w:ascii="標楷體" w:eastAsia="標楷體" w:hAnsi="標楷體"/>
          <w:color w:val="000000"/>
        </w:rPr>
        <w:t>結痂性疥瘡</w:t>
      </w:r>
      <w:proofErr w:type="gramEnd"/>
      <w:r>
        <w:rPr>
          <w:rFonts w:ascii="標楷體" w:eastAsia="標楷體" w:hAnsi="標楷體"/>
          <w:color w:val="000000"/>
        </w:rPr>
        <w:t>患者，可合併外用疥瘡藥物治療，但需附照片備查，且每次處方時，限仍有新典型臨床病灶</w:t>
      </w:r>
      <w:proofErr w:type="gramStart"/>
      <w:r>
        <w:rPr>
          <w:rFonts w:ascii="標楷體" w:eastAsia="標楷體" w:hAnsi="標楷體"/>
          <w:color w:val="000000"/>
        </w:rPr>
        <w:t>及鏡檢呈</w:t>
      </w:r>
      <w:proofErr w:type="gramEnd"/>
      <w:r>
        <w:rPr>
          <w:rFonts w:ascii="標楷體" w:eastAsia="標楷體" w:hAnsi="標楷體"/>
          <w:color w:val="000000"/>
        </w:rPr>
        <w:t>陽性者。</w:t>
      </w:r>
    </w:p>
    <w:p w14:paraId="1C999588" w14:textId="77777777" w:rsidR="00CA3F27" w:rsidRDefault="00ED050B" w:rsidP="0054576B">
      <w:pPr>
        <w:spacing w:line="400" w:lineRule="exact"/>
        <w:ind w:left="796" w:hanging="230"/>
        <w:rPr>
          <w:rFonts w:ascii="標楷體" w:eastAsia="標楷體" w:hAnsi="標楷體"/>
          <w:color w:val="000000"/>
          <w:kern w:val="0"/>
          <w:szCs w:val="24"/>
        </w:rPr>
      </w:pPr>
      <w:r>
        <w:rPr>
          <w:rFonts w:ascii="標楷體" w:eastAsia="標楷體" w:hAnsi="標楷體"/>
          <w:color w:val="000000"/>
          <w:kern w:val="0"/>
          <w:szCs w:val="24"/>
        </w:rPr>
        <w:t>3.保險對象收容於矯正機關者，依據「全民健康保險提供保險對象收容於矯正機關者醫療服務計畫」辦理。（112/12/1）</w:t>
      </w:r>
    </w:p>
    <w:p w14:paraId="4B0A40BF" w14:textId="77777777" w:rsidR="00CA3F27" w:rsidRDefault="00ED050B" w:rsidP="0054576B">
      <w:pPr>
        <w:spacing w:line="400" w:lineRule="exact"/>
        <w:ind w:left="796" w:hanging="230"/>
      </w:pPr>
      <w:r>
        <w:rPr>
          <w:rFonts w:ascii="標楷體" w:eastAsia="標楷體" w:hAnsi="標楷體"/>
          <w:color w:val="000000"/>
          <w:kern w:val="0"/>
        </w:rPr>
        <w:t>4.醫師於住宿型長期照顧機構為住民處方時，不</w:t>
      </w:r>
      <w:proofErr w:type="gramStart"/>
      <w:r>
        <w:rPr>
          <w:rFonts w:ascii="標楷體" w:eastAsia="標楷體" w:hAnsi="標楷體"/>
          <w:color w:val="000000"/>
          <w:kern w:val="0"/>
        </w:rPr>
        <w:t>限鏡檢確</w:t>
      </w:r>
      <w:proofErr w:type="gramEnd"/>
      <w:r>
        <w:rPr>
          <w:rFonts w:ascii="標楷體" w:eastAsia="標楷體" w:hAnsi="標楷體"/>
          <w:color w:val="000000"/>
          <w:kern w:val="0"/>
        </w:rPr>
        <w:t>診者使用，惟須附照片備查。（113/4/1）</w:t>
      </w:r>
    </w:p>
    <w:p w14:paraId="6362BE05" w14:textId="51B5FDC2" w:rsidR="00CA3F27" w:rsidRPr="0054576B" w:rsidRDefault="0054576B" w:rsidP="0054576B">
      <w:pPr>
        <w:spacing w:line="400" w:lineRule="exact"/>
        <w:ind w:left="482" w:hanging="482"/>
      </w:pPr>
      <w:bookmarkStart w:id="0" w:name="_Hlk191288397"/>
      <w:r>
        <w:rPr>
          <w:rFonts w:ascii="標楷體" w:eastAsia="標楷體" w:hAnsi="標楷體"/>
          <w:color w:val="000000"/>
          <w:szCs w:val="24"/>
        </w:rPr>
        <w:t>13.17.</w:t>
      </w:r>
      <w:bookmarkEnd w:id="0"/>
      <w:r>
        <w:rPr>
          <w:rFonts w:ascii="標楷體" w:eastAsia="標楷體" w:hAnsi="標楷體"/>
          <w:color w:val="000000"/>
          <w:szCs w:val="24"/>
        </w:rPr>
        <w:t xml:space="preserve">Dupilumab (如Dupixent) ; </w:t>
      </w:r>
      <w:proofErr w:type="spellStart"/>
      <w:r>
        <w:rPr>
          <w:rFonts w:ascii="標楷體" w:eastAsia="標楷體" w:hAnsi="標楷體"/>
          <w:color w:val="000000"/>
          <w:szCs w:val="24"/>
        </w:rPr>
        <w:t>upadacitinib</w:t>
      </w:r>
      <w:proofErr w:type="spellEnd"/>
      <w:r>
        <w:rPr>
          <w:rFonts w:ascii="標楷體" w:eastAsia="標楷體" w:hAnsi="標楷體"/>
          <w:color w:val="000000"/>
          <w:szCs w:val="24"/>
        </w:rPr>
        <w:t>(如</w:t>
      </w:r>
      <w:proofErr w:type="spellStart"/>
      <w:r>
        <w:rPr>
          <w:rFonts w:ascii="標楷體" w:eastAsia="標楷體" w:hAnsi="標楷體"/>
          <w:color w:val="000000"/>
          <w:szCs w:val="24"/>
        </w:rPr>
        <w:t>Rinvoq</w:t>
      </w:r>
      <w:proofErr w:type="spellEnd"/>
      <w:r>
        <w:rPr>
          <w:rFonts w:ascii="標楷體" w:eastAsia="標楷體" w:hAnsi="標楷體"/>
          <w:color w:val="000000"/>
          <w:szCs w:val="24"/>
        </w:rPr>
        <w:t xml:space="preserve">) ; </w:t>
      </w:r>
      <w:proofErr w:type="spellStart"/>
      <w:r>
        <w:rPr>
          <w:rFonts w:ascii="標楷體" w:eastAsia="標楷體" w:hAnsi="標楷體"/>
          <w:color w:val="000000"/>
          <w:szCs w:val="24"/>
        </w:rPr>
        <w:t>abrocitinib</w:t>
      </w:r>
      <w:proofErr w:type="spellEnd"/>
      <w:r>
        <w:rPr>
          <w:rFonts w:ascii="標楷體" w:eastAsia="標楷體" w:hAnsi="標楷體"/>
          <w:color w:val="000000"/>
          <w:szCs w:val="24"/>
        </w:rPr>
        <w:t xml:space="preserve"> (如</w:t>
      </w:r>
      <w:proofErr w:type="spellStart"/>
      <w:r>
        <w:rPr>
          <w:rFonts w:ascii="標楷體" w:eastAsia="標楷體" w:hAnsi="標楷體"/>
          <w:color w:val="000000"/>
          <w:szCs w:val="24"/>
        </w:rPr>
        <w:t>Cibinqo</w:t>
      </w:r>
      <w:proofErr w:type="spellEnd"/>
      <w:r>
        <w:rPr>
          <w:rFonts w:ascii="標楷體" w:eastAsia="標楷體" w:hAnsi="標楷體"/>
          <w:color w:val="000000"/>
          <w:szCs w:val="24"/>
        </w:rPr>
        <w:t>)</w:t>
      </w:r>
      <w:r w:rsidRPr="00F94FED">
        <w:t xml:space="preserve"> </w:t>
      </w:r>
      <w:r w:rsidRPr="00F94FED">
        <w:rPr>
          <w:rFonts w:ascii="標楷體" w:eastAsia="標楷體" w:hAnsi="標楷體"/>
          <w:color w:val="000000"/>
          <w:szCs w:val="24"/>
        </w:rPr>
        <w:t>;</w:t>
      </w:r>
      <w:r w:rsidRPr="00F94FED">
        <w:rPr>
          <w:rFonts w:ascii="標楷體" w:eastAsia="標楷體" w:hAnsi="標楷體" w:hint="eastAsia"/>
          <w:color w:val="000000"/>
          <w:szCs w:val="24"/>
        </w:rPr>
        <w:t>lebrikizumab (如</w:t>
      </w:r>
      <w:proofErr w:type="spellStart"/>
      <w:r w:rsidRPr="00F94FED">
        <w:rPr>
          <w:rFonts w:ascii="標楷體" w:eastAsia="標楷體" w:hAnsi="標楷體" w:hint="eastAsia"/>
          <w:color w:val="000000"/>
          <w:szCs w:val="24"/>
        </w:rPr>
        <w:t>Ebglyss</w:t>
      </w:r>
      <w:proofErr w:type="spellEnd"/>
      <w:r w:rsidRPr="00F94FED">
        <w:rPr>
          <w:rFonts w:ascii="標楷體" w:eastAsia="標楷體" w:hAnsi="標楷體" w:hint="eastAsia"/>
          <w:color w:val="000000"/>
          <w:szCs w:val="24"/>
        </w:rPr>
        <w:t>)</w:t>
      </w:r>
      <w:r>
        <w:rPr>
          <w:rFonts w:ascii="標楷體" w:eastAsia="標楷體" w:hAnsi="標楷體"/>
          <w:color w:val="000000"/>
          <w:szCs w:val="24"/>
        </w:rPr>
        <w:t>：（108/12/1、109/8/1、111/8/1、112/4/1、112/6/1、112/8/1、113/2/1、113/8/1、114/6/1、11</w:t>
      </w:r>
      <w:r>
        <w:rPr>
          <w:rFonts w:ascii="標楷體" w:eastAsia="標楷體" w:hAnsi="標楷體" w:hint="eastAsia"/>
          <w:color w:val="000000"/>
          <w:szCs w:val="24"/>
        </w:rPr>
        <w:t>5</w:t>
      </w:r>
      <w:r>
        <w:rPr>
          <w:rFonts w:ascii="標楷體" w:eastAsia="標楷體" w:hAnsi="標楷體"/>
          <w:color w:val="000000"/>
          <w:szCs w:val="24"/>
        </w:rPr>
        <w:t>/6/1）</w:t>
      </w:r>
    </w:p>
    <w:p w14:paraId="65B55445" w14:textId="77777777" w:rsidR="0054576B" w:rsidRDefault="0054576B" w:rsidP="0054576B">
      <w:pPr>
        <w:snapToGrid w:val="0"/>
        <w:spacing w:line="400" w:lineRule="exact"/>
        <w:ind w:left="284" w:hanging="283"/>
      </w:pPr>
      <w:bookmarkStart w:id="1" w:name="_Hlk191288427"/>
      <w:r>
        <w:rPr>
          <w:rFonts w:ascii="標楷體" w:eastAsia="標楷體" w:hAnsi="標楷體"/>
          <w:szCs w:val="24"/>
        </w:rPr>
        <w:t xml:space="preserve">13.17.1.Dupilumab(如Dupixent) ; </w:t>
      </w:r>
      <w:proofErr w:type="spellStart"/>
      <w:r>
        <w:rPr>
          <w:rFonts w:ascii="標楷體" w:eastAsia="標楷體" w:hAnsi="標楷體"/>
          <w:szCs w:val="24"/>
        </w:rPr>
        <w:t>upadacitinib</w:t>
      </w:r>
      <w:proofErr w:type="spellEnd"/>
      <w:r>
        <w:rPr>
          <w:rFonts w:ascii="標楷體" w:eastAsia="標楷體" w:hAnsi="標楷體"/>
          <w:szCs w:val="24"/>
        </w:rPr>
        <w:t>(如</w:t>
      </w:r>
      <w:proofErr w:type="spellStart"/>
      <w:r>
        <w:rPr>
          <w:rFonts w:ascii="標楷體" w:eastAsia="標楷體" w:hAnsi="標楷體"/>
          <w:szCs w:val="24"/>
        </w:rPr>
        <w:t>Rinvoq</w:t>
      </w:r>
      <w:proofErr w:type="spellEnd"/>
      <w:r>
        <w:rPr>
          <w:rFonts w:ascii="標楷體" w:eastAsia="標楷體" w:hAnsi="標楷體"/>
          <w:szCs w:val="24"/>
        </w:rPr>
        <w:t xml:space="preserve">) ; </w:t>
      </w:r>
      <w:proofErr w:type="spellStart"/>
      <w:r>
        <w:rPr>
          <w:rFonts w:ascii="標楷體" w:eastAsia="標楷體" w:hAnsi="標楷體"/>
          <w:szCs w:val="24"/>
        </w:rPr>
        <w:t>abrocitinib</w:t>
      </w:r>
      <w:proofErr w:type="spellEnd"/>
      <w:r>
        <w:rPr>
          <w:rFonts w:ascii="標楷體" w:eastAsia="標楷體" w:hAnsi="標楷體"/>
          <w:szCs w:val="24"/>
        </w:rPr>
        <w:t>(如</w:t>
      </w:r>
      <w:proofErr w:type="spellStart"/>
      <w:r>
        <w:rPr>
          <w:rFonts w:ascii="標楷體" w:eastAsia="標楷體" w:hAnsi="標楷體"/>
          <w:szCs w:val="24"/>
        </w:rPr>
        <w:t>Cibinqo</w:t>
      </w:r>
      <w:proofErr w:type="spellEnd"/>
      <w:r>
        <w:rPr>
          <w:rFonts w:ascii="標楷體" w:eastAsia="標楷體" w:hAnsi="標楷體"/>
          <w:szCs w:val="24"/>
        </w:rPr>
        <w:t>)</w:t>
      </w:r>
      <w:r w:rsidRPr="00F94FED">
        <w:rPr>
          <w:rFonts w:ascii="標楷體" w:eastAsia="標楷體" w:hAnsi="標楷體"/>
          <w:color w:val="000000"/>
          <w:szCs w:val="24"/>
        </w:rPr>
        <w:t xml:space="preserve"> ;</w:t>
      </w:r>
      <w:r w:rsidRPr="00F94FED">
        <w:rPr>
          <w:rFonts w:ascii="標楷體" w:eastAsia="標楷體" w:hAnsi="標楷體" w:hint="eastAsia"/>
          <w:color w:val="000000"/>
          <w:szCs w:val="24"/>
        </w:rPr>
        <w:t>lebrikizumab (如</w:t>
      </w:r>
      <w:proofErr w:type="spellStart"/>
      <w:r w:rsidRPr="00F94FED">
        <w:rPr>
          <w:rFonts w:ascii="標楷體" w:eastAsia="標楷體" w:hAnsi="標楷體" w:hint="eastAsia"/>
          <w:color w:val="000000"/>
          <w:szCs w:val="24"/>
        </w:rPr>
        <w:t>Ebglyss</w:t>
      </w:r>
      <w:proofErr w:type="spellEnd"/>
      <w:r w:rsidRPr="00F94FED">
        <w:rPr>
          <w:rFonts w:ascii="標楷體" w:eastAsia="標楷體" w:hAnsi="標楷體" w:hint="eastAsia"/>
          <w:color w:val="000000"/>
          <w:szCs w:val="24"/>
        </w:rPr>
        <w:t>)</w:t>
      </w:r>
      <w:r>
        <w:rPr>
          <w:rFonts w:ascii="標楷體" w:eastAsia="標楷體" w:hAnsi="標楷體"/>
          <w:szCs w:val="24"/>
        </w:rPr>
        <w:t>（113/2/1、113/8/1、114/6/1</w:t>
      </w:r>
      <w:r>
        <w:rPr>
          <w:rFonts w:ascii="標楷體" w:eastAsia="標楷體" w:hAnsi="標楷體"/>
          <w:color w:val="000000"/>
          <w:szCs w:val="24"/>
        </w:rPr>
        <w:t>、11</w:t>
      </w:r>
      <w:r>
        <w:rPr>
          <w:rFonts w:ascii="標楷體" w:eastAsia="標楷體" w:hAnsi="標楷體" w:hint="eastAsia"/>
          <w:color w:val="000000"/>
          <w:szCs w:val="24"/>
        </w:rPr>
        <w:t>5</w:t>
      </w:r>
      <w:r>
        <w:rPr>
          <w:rFonts w:ascii="標楷體" w:eastAsia="標楷體" w:hAnsi="標楷體"/>
          <w:color w:val="000000"/>
          <w:szCs w:val="24"/>
        </w:rPr>
        <w:t>/6/1</w:t>
      </w:r>
      <w:r>
        <w:rPr>
          <w:rFonts w:ascii="標楷體" w:eastAsia="標楷體" w:hAnsi="標楷體"/>
          <w:szCs w:val="24"/>
        </w:rPr>
        <w:t>）(12歲以上病人治療部分)</w:t>
      </w:r>
    </w:p>
    <w:bookmarkEnd w:id="1"/>
    <w:p w14:paraId="786EB6B3" w14:textId="77777777" w:rsidR="0054576B" w:rsidRDefault="0054576B" w:rsidP="0054576B">
      <w:pPr>
        <w:suppressAutoHyphens w:val="0"/>
        <w:spacing w:line="400" w:lineRule="exact"/>
        <w:ind w:left="796" w:hanging="230"/>
        <w:textAlignment w:val="auto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1.處方科別如下：(111/8/1)</w:t>
      </w:r>
    </w:p>
    <w:p w14:paraId="4A63F6D9" w14:textId="77777777" w:rsidR="0054576B" w:rsidRDefault="0054576B" w:rsidP="0054576B">
      <w:pPr>
        <w:suppressAutoHyphens w:val="0"/>
        <w:spacing w:line="400" w:lineRule="exact"/>
        <w:ind w:left="1077" w:hanging="367"/>
        <w:textAlignment w:val="auto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(1)18歲以上患者：限皮膚科及風濕免疫科專科醫師處方。</w:t>
      </w:r>
    </w:p>
    <w:p w14:paraId="7801CC8E" w14:textId="77777777" w:rsidR="0054576B" w:rsidRDefault="0054576B" w:rsidP="0054576B">
      <w:pPr>
        <w:suppressAutoHyphens w:val="0"/>
        <w:spacing w:line="400" w:lineRule="exact"/>
        <w:ind w:left="1077" w:hanging="367"/>
        <w:textAlignment w:val="auto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(2)12歲以上至未滿18歲患者：限皮膚科專科醫師，或具兒童過敏免疫風濕專長之兒</w:t>
      </w:r>
      <w:r>
        <w:rPr>
          <w:rFonts w:ascii="標楷體" w:eastAsia="標楷體" w:hAnsi="標楷體"/>
          <w:color w:val="000000"/>
          <w:szCs w:val="24"/>
        </w:rPr>
        <w:lastRenderedPageBreak/>
        <w:t>科專科醫師處方。</w:t>
      </w:r>
    </w:p>
    <w:p w14:paraId="781148BC" w14:textId="77777777" w:rsidR="0054576B" w:rsidRDefault="0054576B" w:rsidP="0054576B">
      <w:pPr>
        <w:suppressAutoHyphens w:val="0"/>
        <w:spacing w:line="400" w:lineRule="exact"/>
        <w:ind w:left="796" w:hanging="230"/>
        <w:textAlignment w:val="auto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2.限用於經照光治療及其他系統性(全身性)治療無效(治療需6個月的完整療程，得合併它院就診病歷)，或因醫療因素而無法接受照光治療及其他系統性(全身性)治療之全身慢性中重度之異位性皮膚炎患者。(111/8/1)</w:t>
      </w:r>
    </w:p>
    <w:p w14:paraId="4A205CE4" w14:textId="77777777" w:rsidR="0054576B" w:rsidRDefault="0054576B" w:rsidP="0054576B">
      <w:pPr>
        <w:suppressAutoHyphens w:val="0"/>
        <w:spacing w:line="400" w:lineRule="exact"/>
        <w:ind w:left="1077" w:hanging="367"/>
        <w:textAlignment w:val="auto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 xml:space="preserve">(1)所稱慢性中重度之異位性皮膚炎，指病灶持續至少6個月，且Eczema area severity index (EASI) </w:t>
      </w:r>
      <w:proofErr w:type="gramStart"/>
      <w:r>
        <w:rPr>
          <w:rFonts w:ascii="標楷體" w:eastAsia="標楷體" w:hAnsi="標楷體"/>
          <w:color w:val="000000"/>
          <w:szCs w:val="24"/>
        </w:rPr>
        <w:t>≧</w:t>
      </w:r>
      <w:proofErr w:type="gramEnd"/>
      <w:r>
        <w:rPr>
          <w:rFonts w:ascii="標楷體" w:eastAsia="標楷體" w:hAnsi="標楷體"/>
          <w:color w:val="000000"/>
          <w:szCs w:val="24"/>
        </w:rPr>
        <w:t>16且異位性皮膚炎皮膚紅腫體表面積需</w:t>
      </w:r>
      <w:proofErr w:type="gramStart"/>
      <w:r>
        <w:rPr>
          <w:rFonts w:ascii="標楷體" w:eastAsia="標楷體" w:hAnsi="標楷體"/>
          <w:color w:val="000000"/>
          <w:szCs w:val="24"/>
        </w:rPr>
        <w:t>≧</w:t>
      </w:r>
      <w:proofErr w:type="gramEnd"/>
      <w:r>
        <w:rPr>
          <w:rFonts w:ascii="標楷體" w:eastAsia="標楷體" w:hAnsi="標楷體"/>
          <w:color w:val="000000"/>
          <w:szCs w:val="24"/>
        </w:rPr>
        <w:t>30%且Investigator's  Global Assessment (IGA):3~4。(111/8/1)</w:t>
      </w:r>
    </w:p>
    <w:p w14:paraId="569875C3" w14:textId="77777777" w:rsidR="0054576B" w:rsidRDefault="0054576B" w:rsidP="0054576B">
      <w:pPr>
        <w:suppressAutoHyphens w:val="0"/>
        <w:spacing w:line="400" w:lineRule="exact"/>
        <w:ind w:left="1133" w:hanging="425"/>
        <w:textAlignment w:val="auto"/>
        <w:rPr>
          <w:rFonts w:ascii="標楷體" w:eastAsia="標楷體" w:hAnsi="標楷體"/>
          <w:color w:val="000000"/>
          <w:szCs w:val="24"/>
        </w:rPr>
      </w:pPr>
      <w:proofErr w:type="gramStart"/>
      <w:r>
        <w:rPr>
          <w:rFonts w:ascii="標楷體" w:eastAsia="標楷體" w:hAnsi="標楷體"/>
          <w:color w:val="000000"/>
          <w:szCs w:val="24"/>
        </w:rPr>
        <w:t>註</w:t>
      </w:r>
      <w:proofErr w:type="gramEnd"/>
      <w:r>
        <w:rPr>
          <w:rFonts w:ascii="標楷體" w:eastAsia="標楷體" w:hAnsi="標楷體"/>
          <w:color w:val="000000"/>
          <w:szCs w:val="24"/>
        </w:rPr>
        <w:t>：Eczema area severity index (EASI)之異位性皮膚炎面積計算，只含皮膚紅腫濕疹部位，單純的皮膚</w:t>
      </w:r>
      <w:proofErr w:type="gramStart"/>
      <w:r>
        <w:rPr>
          <w:rFonts w:ascii="標楷體" w:eastAsia="標楷體" w:hAnsi="標楷體"/>
          <w:color w:val="000000"/>
          <w:szCs w:val="24"/>
        </w:rPr>
        <w:t>乾燥、</w:t>
      </w:r>
      <w:proofErr w:type="gramEnd"/>
      <w:r>
        <w:rPr>
          <w:rFonts w:ascii="標楷體" w:eastAsia="標楷體" w:hAnsi="標楷體"/>
          <w:color w:val="000000"/>
          <w:szCs w:val="24"/>
        </w:rPr>
        <w:t>脫皮、抓痕，不可列入計算。</w:t>
      </w:r>
    </w:p>
    <w:p w14:paraId="31EA9900" w14:textId="77777777" w:rsidR="0054576B" w:rsidRDefault="0054576B" w:rsidP="0054576B">
      <w:pPr>
        <w:suppressAutoHyphens w:val="0"/>
        <w:spacing w:line="400" w:lineRule="exact"/>
        <w:ind w:left="1077" w:hanging="367"/>
        <w:textAlignment w:val="auto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(2)所稱治療無效，指經完整療程後，3個月內連續兩次評估，嚴重度均符合</w:t>
      </w:r>
      <w:proofErr w:type="gramStart"/>
      <w:r>
        <w:rPr>
          <w:rFonts w:ascii="標楷體" w:eastAsia="標楷體" w:hAnsi="標楷體"/>
          <w:color w:val="000000"/>
          <w:szCs w:val="24"/>
        </w:rPr>
        <w:t>上列第</w:t>
      </w:r>
      <w:proofErr w:type="gramEnd"/>
      <w:r>
        <w:rPr>
          <w:rFonts w:ascii="標楷體" w:eastAsia="標楷體" w:hAnsi="標楷體"/>
          <w:color w:val="000000"/>
          <w:szCs w:val="24"/>
        </w:rPr>
        <w:t>(1)點情況，且兩次評估</w:t>
      </w:r>
      <w:proofErr w:type="gramStart"/>
      <w:r>
        <w:rPr>
          <w:rFonts w:ascii="標楷體" w:eastAsia="標楷體" w:hAnsi="標楷體"/>
          <w:color w:val="000000"/>
          <w:szCs w:val="24"/>
        </w:rPr>
        <w:t>之間相隔至少</w:t>
      </w:r>
      <w:proofErr w:type="gramEnd"/>
      <w:r>
        <w:rPr>
          <w:rFonts w:ascii="標楷體" w:eastAsia="標楷體" w:hAnsi="標楷體"/>
          <w:color w:val="000000"/>
          <w:szCs w:val="24"/>
        </w:rPr>
        <w:t>4</w:t>
      </w:r>
      <w:proofErr w:type="gramStart"/>
      <w:r>
        <w:rPr>
          <w:rFonts w:ascii="標楷體" w:eastAsia="標楷體" w:hAnsi="標楷體"/>
          <w:color w:val="000000"/>
          <w:szCs w:val="24"/>
        </w:rPr>
        <w:t>週</w:t>
      </w:r>
      <w:proofErr w:type="gramEnd"/>
      <w:r>
        <w:rPr>
          <w:rFonts w:ascii="標楷體" w:eastAsia="標楷體" w:hAnsi="標楷體"/>
          <w:color w:val="000000"/>
          <w:szCs w:val="24"/>
        </w:rPr>
        <w:t>。。</w:t>
      </w:r>
    </w:p>
    <w:p w14:paraId="0FFC62B4" w14:textId="77777777" w:rsidR="0054576B" w:rsidRDefault="0054576B" w:rsidP="0054576B">
      <w:pPr>
        <w:spacing w:line="400" w:lineRule="exact"/>
        <w:ind w:left="1276" w:hanging="383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Ⅰ.治療必須包括足量之照光治療及包括以下三種系統性(全身性)治療之至少二種，包括methotrexate、azathioprine、cyclosporin。</w:t>
      </w:r>
    </w:p>
    <w:p w14:paraId="606354BA" w14:textId="77777777" w:rsidR="0054576B" w:rsidRDefault="0054576B" w:rsidP="0054576B">
      <w:pPr>
        <w:spacing w:line="400" w:lineRule="exact"/>
        <w:ind w:left="1276" w:hanging="383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Ⅱ.照光治療應依學理，如光化療法(PUVA)及窄頻UVB(</w:t>
      </w:r>
      <w:proofErr w:type="spellStart"/>
      <w:r>
        <w:rPr>
          <w:rFonts w:ascii="標楷體" w:eastAsia="標楷體" w:hAnsi="標楷體"/>
          <w:color w:val="000000"/>
          <w:szCs w:val="24"/>
        </w:rPr>
        <w:t>nb</w:t>
      </w:r>
      <w:proofErr w:type="spellEnd"/>
      <w:r>
        <w:rPr>
          <w:rFonts w:ascii="標楷體" w:eastAsia="標楷體" w:hAnsi="標楷體"/>
          <w:color w:val="000000"/>
          <w:szCs w:val="24"/>
        </w:rPr>
        <w:t>-UVB)必須每週至少2次，療程達12</w:t>
      </w:r>
      <w:proofErr w:type="gramStart"/>
      <w:r>
        <w:rPr>
          <w:rFonts w:ascii="標楷體" w:eastAsia="標楷體" w:hAnsi="標楷體"/>
          <w:color w:val="000000"/>
          <w:szCs w:val="24"/>
        </w:rPr>
        <w:t>週</w:t>
      </w:r>
      <w:proofErr w:type="gramEnd"/>
      <w:r>
        <w:rPr>
          <w:rFonts w:ascii="標楷體" w:eastAsia="標楷體" w:hAnsi="標楷體"/>
          <w:color w:val="000000"/>
          <w:szCs w:val="24"/>
        </w:rPr>
        <w:t>。申請時必須附病歷影印及詳細照光劑量紀錄。</w:t>
      </w:r>
    </w:p>
    <w:p w14:paraId="5DB64C65" w14:textId="77777777" w:rsidR="0054576B" w:rsidRDefault="0054576B" w:rsidP="0054576B">
      <w:pPr>
        <w:spacing w:line="400" w:lineRule="exact"/>
        <w:ind w:left="1276" w:hanging="383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Ⅲ.前開免疫抑制劑之劑量：</w:t>
      </w:r>
    </w:p>
    <w:p w14:paraId="359D9CF4" w14:textId="77777777" w:rsidR="0054576B" w:rsidRDefault="0054576B" w:rsidP="0054576B">
      <w:pPr>
        <w:spacing w:line="400" w:lineRule="exact"/>
        <w:ind w:left="1560" w:hanging="383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i.18歲以上患者：Methotrexate合理劑量需達每週15mg、azathioprine為2mg/kg/d、cyclosporin為5mg/kg/d，足量治療至少各分別使用12</w:t>
      </w:r>
      <w:proofErr w:type="gramStart"/>
      <w:r>
        <w:rPr>
          <w:rFonts w:ascii="標楷體" w:eastAsia="標楷體" w:hAnsi="標楷體"/>
          <w:color w:val="000000"/>
          <w:szCs w:val="24"/>
        </w:rPr>
        <w:t>週</w:t>
      </w:r>
      <w:proofErr w:type="gramEnd"/>
      <w:r>
        <w:rPr>
          <w:rFonts w:ascii="標楷體" w:eastAsia="標楷體" w:hAnsi="標楷體"/>
          <w:color w:val="000000"/>
          <w:szCs w:val="24"/>
        </w:rPr>
        <w:t>無效或是有客觀證據產生不良反應(</w:t>
      </w:r>
      <w:proofErr w:type="gramStart"/>
      <w:r>
        <w:rPr>
          <w:rFonts w:ascii="標楷體" w:eastAsia="標楷體" w:hAnsi="標楷體"/>
          <w:color w:val="000000"/>
          <w:szCs w:val="24"/>
        </w:rPr>
        <w:t>如相隔</w:t>
      </w:r>
      <w:proofErr w:type="gramEnd"/>
      <w:r>
        <w:rPr>
          <w:rFonts w:ascii="標楷體" w:eastAsia="標楷體" w:hAnsi="標楷體"/>
          <w:color w:val="000000"/>
          <w:szCs w:val="24"/>
        </w:rPr>
        <w:t>至少4</w:t>
      </w:r>
      <w:proofErr w:type="gramStart"/>
      <w:r>
        <w:rPr>
          <w:rFonts w:ascii="標楷體" w:eastAsia="標楷體" w:hAnsi="標楷體"/>
          <w:color w:val="000000"/>
          <w:szCs w:val="24"/>
        </w:rPr>
        <w:t>週</w:t>
      </w:r>
      <w:proofErr w:type="gramEnd"/>
      <w:r>
        <w:rPr>
          <w:rFonts w:ascii="標楷體" w:eastAsia="標楷體" w:hAnsi="標楷體"/>
          <w:color w:val="000000"/>
          <w:szCs w:val="24"/>
        </w:rPr>
        <w:t>，兩次肝功能AST/ALT &gt;2.5 UNL，白血球低於4000/</w:t>
      </w:r>
      <w:proofErr w:type="spellStart"/>
      <w:r>
        <w:rPr>
          <w:rFonts w:ascii="標楷體" w:eastAsia="標楷體" w:hAnsi="標楷體"/>
          <w:color w:val="000000"/>
          <w:szCs w:val="24"/>
        </w:rPr>
        <w:t>μL</w:t>
      </w:r>
      <w:proofErr w:type="spellEnd"/>
      <w:r>
        <w:rPr>
          <w:rFonts w:ascii="標楷體" w:eastAsia="標楷體" w:hAnsi="標楷體"/>
          <w:color w:val="000000"/>
          <w:szCs w:val="24"/>
        </w:rPr>
        <w:t>，高血壓或腎功能異常，或是至少兩次經培養確診之皰疹性皮膚炎)或有禁忌症後，且不應同時合併使用兩種或以上傳統用藥。</w:t>
      </w:r>
    </w:p>
    <w:p w14:paraId="7A9B0372" w14:textId="77777777" w:rsidR="0054576B" w:rsidRDefault="0054576B" w:rsidP="0054576B">
      <w:pPr>
        <w:spacing w:line="400" w:lineRule="exact"/>
        <w:ind w:left="1560" w:hanging="383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ii.12歲以上至未滿18歲患者：Methotrexate合理劑量需達每週10mg、azathioprine為1.0mg/kg/d、cyclosporin為2.5mg/kg/d，足量治療至少各分別使用12</w:t>
      </w:r>
      <w:proofErr w:type="gramStart"/>
      <w:r>
        <w:rPr>
          <w:rFonts w:ascii="標楷體" w:eastAsia="標楷體" w:hAnsi="標楷體"/>
          <w:color w:val="000000"/>
          <w:szCs w:val="24"/>
        </w:rPr>
        <w:t>週</w:t>
      </w:r>
      <w:proofErr w:type="gramEnd"/>
      <w:r>
        <w:rPr>
          <w:rFonts w:ascii="標楷體" w:eastAsia="標楷體" w:hAnsi="標楷體"/>
          <w:color w:val="000000"/>
          <w:szCs w:val="24"/>
        </w:rPr>
        <w:t>治療無效或是有客觀證據產生不良反應(如肝功能AST/ALT &gt;2.5 UNL，白血球低於4000/</w:t>
      </w:r>
      <w:proofErr w:type="spellStart"/>
      <w:r>
        <w:rPr>
          <w:rFonts w:ascii="標楷體" w:eastAsia="標楷體" w:hAnsi="標楷體"/>
          <w:color w:val="000000"/>
          <w:szCs w:val="24"/>
        </w:rPr>
        <w:t>μL</w:t>
      </w:r>
      <w:proofErr w:type="spellEnd"/>
      <w:r>
        <w:rPr>
          <w:rFonts w:ascii="標楷體" w:eastAsia="標楷體" w:hAnsi="標楷體"/>
          <w:color w:val="000000"/>
          <w:szCs w:val="24"/>
        </w:rPr>
        <w:t>，高血壓或腎功能異常，或是經培養確診之皰疹性皮膚炎)或有禁忌症後，且不應同時合併使用兩種或以上傳統用藥。</w:t>
      </w:r>
    </w:p>
    <w:p w14:paraId="27E01F35" w14:textId="77777777" w:rsidR="0054576B" w:rsidRDefault="0054576B" w:rsidP="0054576B">
      <w:pPr>
        <w:spacing w:line="400" w:lineRule="exact"/>
        <w:ind w:left="1560" w:hanging="383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iii.若臨床上發生無法耐受或特殊體質者(例如NUDT15或TPMT代謝不良基因變異型、肝腎功能不佳、或曾因服用上述藥物發生嚴重感染)，得降低前述系統性治療藥物之合理劑量(病歷中須詳述說明及紀載)。</w:t>
      </w:r>
    </w:p>
    <w:p w14:paraId="5C19F238" w14:textId="77777777" w:rsidR="0054576B" w:rsidRDefault="0054576B" w:rsidP="0054576B">
      <w:pPr>
        <w:suppressAutoHyphens w:val="0"/>
        <w:spacing w:line="400" w:lineRule="exact"/>
        <w:ind w:left="1077" w:hanging="367"/>
        <w:textAlignment w:val="auto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(3)所稱醫療因素，係指如光過敏(經photo patch test)、白化症（Albinism）及多形性日光疹(PMLE)，或光照會使原有疾病惡化者(如紅斑性狼瘡(LE)、</w:t>
      </w:r>
      <w:proofErr w:type="gramStart"/>
      <w:r>
        <w:rPr>
          <w:rFonts w:ascii="標楷體" w:eastAsia="標楷體" w:hAnsi="標楷體"/>
          <w:color w:val="000000"/>
          <w:szCs w:val="24"/>
        </w:rPr>
        <w:t>皮肌炎</w:t>
      </w:r>
      <w:proofErr w:type="gramEnd"/>
      <w:r>
        <w:rPr>
          <w:rFonts w:ascii="標楷體" w:eastAsia="標楷體" w:hAnsi="標楷體"/>
          <w:color w:val="000000"/>
          <w:szCs w:val="24"/>
        </w:rPr>
        <w:t>(DM)、</w:t>
      </w:r>
      <w:proofErr w:type="gramStart"/>
      <w:r>
        <w:rPr>
          <w:rFonts w:ascii="標楷體" w:eastAsia="標楷體" w:hAnsi="標楷體"/>
          <w:color w:val="000000"/>
          <w:szCs w:val="24"/>
        </w:rPr>
        <w:t>著色性乾皮</w:t>
      </w:r>
      <w:proofErr w:type="gramEnd"/>
      <w:r>
        <w:rPr>
          <w:rFonts w:ascii="標楷體" w:eastAsia="標楷體" w:hAnsi="標楷體"/>
          <w:color w:val="000000"/>
          <w:szCs w:val="24"/>
        </w:rPr>
        <w:t>症(XP)、</w:t>
      </w:r>
      <w:proofErr w:type="gramStart"/>
      <w:r>
        <w:rPr>
          <w:rFonts w:ascii="標楷體" w:eastAsia="標楷體" w:hAnsi="標楷體"/>
          <w:color w:val="000000"/>
          <w:szCs w:val="24"/>
        </w:rPr>
        <w:t>紫質症</w:t>
      </w:r>
      <w:proofErr w:type="gramEnd"/>
      <w:r>
        <w:rPr>
          <w:rFonts w:ascii="標楷體" w:eastAsia="標楷體" w:hAnsi="標楷體"/>
          <w:color w:val="000000"/>
          <w:szCs w:val="24"/>
        </w:rPr>
        <w:t xml:space="preserve">(PCT)及基底細胞母斑症候群(NBCCS))，或經皮膚科醫師確診之光敏感性疾病〔慢性光激性皮炎(chronic actinic dermatitis)、日光性蕁麻疹(solar urticaria)〕、皮膚癌(skin cancer) 或有皮膚癌家族史。 </w:t>
      </w:r>
    </w:p>
    <w:p w14:paraId="6A6E307F" w14:textId="77777777" w:rsidR="0054576B" w:rsidRDefault="0054576B" w:rsidP="0054576B">
      <w:pPr>
        <w:suppressAutoHyphens w:val="0"/>
        <w:spacing w:line="400" w:lineRule="exact"/>
        <w:ind w:left="796" w:hanging="230"/>
        <w:textAlignment w:val="auto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lastRenderedPageBreak/>
        <w:t>3.需經事前審查核准後使用。</w:t>
      </w:r>
    </w:p>
    <w:p w14:paraId="20477665" w14:textId="77777777" w:rsidR="0054576B" w:rsidRDefault="0054576B" w:rsidP="0054576B">
      <w:pPr>
        <w:suppressAutoHyphens w:val="0"/>
        <w:spacing w:line="400" w:lineRule="exact"/>
        <w:ind w:left="1077" w:hanging="367"/>
        <w:textAlignment w:val="auto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(1)初次申請時，以6個月為1個療程。經</w:t>
      </w:r>
      <w:proofErr w:type="gramStart"/>
      <w:r>
        <w:rPr>
          <w:rFonts w:ascii="標楷體" w:eastAsia="標楷體" w:hAnsi="標楷體"/>
          <w:color w:val="000000"/>
          <w:szCs w:val="24"/>
        </w:rPr>
        <w:t>評估需續用</w:t>
      </w:r>
      <w:proofErr w:type="gramEnd"/>
      <w:r>
        <w:rPr>
          <w:rFonts w:ascii="標楷體" w:eastAsia="標楷體" w:hAnsi="標楷體"/>
          <w:color w:val="000000"/>
          <w:szCs w:val="24"/>
        </w:rPr>
        <w:t>者，每6個月需再次提出事前審查申請續用評估，且應於期滿前1個月提出，並於</w:t>
      </w:r>
      <w:proofErr w:type="gramStart"/>
      <w:r>
        <w:rPr>
          <w:rFonts w:ascii="標楷體" w:eastAsia="標楷體" w:hAnsi="標楷體"/>
          <w:color w:val="000000"/>
          <w:szCs w:val="24"/>
        </w:rPr>
        <w:t>申請時檢附</w:t>
      </w:r>
      <w:proofErr w:type="gramEnd"/>
      <w:r>
        <w:rPr>
          <w:rFonts w:ascii="標楷體" w:eastAsia="標楷體" w:hAnsi="標楷體"/>
          <w:color w:val="000000"/>
          <w:szCs w:val="24"/>
        </w:rPr>
        <w:t>照片。</w:t>
      </w:r>
    </w:p>
    <w:p w14:paraId="7095B6A3" w14:textId="77777777" w:rsidR="0054576B" w:rsidRDefault="0054576B" w:rsidP="0054576B">
      <w:pPr>
        <w:suppressAutoHyphens w:val="0"/>
        <w:spacing w:line="400" w:lineRule="exact"/>
        <w:ind w:left="1077" w:hanging="367"/>
        <w:textAlignment w:val="auto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(2)初次申請經核准，於治療滿6個月後，經</w:t>
      </w:r>
      <w:proofErr w:type="gramStart"/>
      <w:r>
        <w:rPr>
          <w:rFonts w:ascii="標楷體" w:eastAsia="標楷體" w:hAnsi="標楷體"/>
          <w:color w:val="000000"/>
          <w:szCs w:val="24"/>
        </w:rPr>
        <w:t>評估需續用</w:t>
      </w:r>
      <w:proofErr w:type="gramEnd"/>
      <w:r>
        <w:rPr>
          <w:rFonts w:ascii="標楷體" w:eastAsia="標楷體" w:hAnsi="標楷體"/>
          <w:color w:val="000000"/>
          <w:szCs w:val="24"/>
        </w:rPr>
        <w:t xml:space="preserve">者，申請續用時，需檢附照片證明初次申請治療6個月後，與初次治療前之療效達EASI 50方可申請使用。停藥超過3個月再申請者，視同新申請案件，否則視為續用案件。 </w:t>
      </w:r>
    </w:p>
    <w:p w14:paraId="3A8C8307" w14:textId="77777777" w:rsidR="0054576B" w:rsidRDefault="0054576B" w:rsidP="0054576B">
      <w:pPr>
        <w:suppressAutoHyphens w:val="0"/>
        <w:spacing w:line="400" w:lineRule="exact"/>
        <w:ind w:left="1077" w:hanging="367"/>
        <w:textAlignment w:val="auto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(3)使用劑量：(112/4/1、112/6/1、112/8/1、113/8/1)</w:t>
      </w:r>
    </w:p>
    <w:p w14:paraId="3B8B681A" w14:textId="77777777" w:rsidR="0054576B" w:rsidRDefault="0054576B" w:rsidP="0054576B">
      <w:pPr>
        <w:spacing w:line="400" w:lineRule="exact"/>
        <w:ind w:left="1276" w:hanging="383"/>
        <w:rPr>
          <w:rFonts w:ascii="標楷體" w:eastAsia="標楷體" w:hAnsi="標楷體"/>
          <w:color w:val="000000"/>
          <w:szCs w:val="24"/>
        </w:rPr>
      </w:pPr>
      <w:proofErr w:type="spellStart"/>
      <w:r>
        <w:rPr>
          <w:rFonts w:ascii="標楷體" w:eastAsia="標楷體" w:hAnsi="標楷體"/>
          <w:color w:val="000000"/>
          <w:szCs w:val="24"/>
        </w:rPr>
        <w:t>I.dupilumab</w:t>
      </w:r>
      <w:proofErr w:type="spellEnd"/>
      <w:r>
        <w:rPr>
          <w:rFonts w:ascii="標楷體" w:eastAsia="標楷體" w:hAnsi="標楷體"/>
          <w:color w:val="000000"/>
          <w:szCs w:val="24"/>
        </w:rPr>
        <w:t>：</w:t>
      </w:r>
    </w:p>
    <w:p w14:paraId="6E258F00" w14:textId="77777777" w:rsidR="0054576B" w:rsidRDefault="0054576B" w:rsidP="0054576B">
      <w:pPr>
        <w:spacing w:line="400" w:lineRule="exact"/>
        <w:ind w:left="1560" w:hanging="383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i.18歲以上:起始劑量600mg (限300mg注射2劑)，接著以300mg隔</w:t>
      </w:r>
      <w:proofErr w:type="gramStart"/>
      <w:r>
        <w:rPr>
          <w:rFonts w:ascii="標楷體" w:eastAsia="標楷體" w:hAnsi="標楷體"/>
          <w:color w:val="000000"/>
          <w:szCs w:val="24"/>
        </w:rPr>
        <w:t>週</w:t>
      </w:r>
      <w:proofErr w:type="gramEnd"/>
      <w:r>
        <w:rPr>
          <w:rFonts w:ascii="標楷體" w:eastAsia="標楷體" w:hAnsi="標楷體"/>
          <w:color w:val="000000"/>
          <w:szCs w:val="24"/>
        </w:rPr>
        <w:t>注射一次，且於16</w:t>
      </w:r>
      <w:proofErr w:type="gramStart"/>
      <w:r>
        <w:rPr>
          <w:rFonts w:ascii="標楷體" w:eastAsia="標楷體" w:hAnsi="標楷體"/>
          <w:color w:val="000000"/>
          <w:szCs w:val="24"/>
        </w:rPr>
        <w:t>週</w:t>
      </w:r>
      <w:proofErr w:type="gramEnd"/>
      <w:r>
        <w:rPr>
          <w:rFonts w:ascii="標楷體" w:eastAsia="標楷體" w:hAnsi="標楷體"/>
          <w:color w:val="000000"/>
          <w:szCs w:val="24"/>
        </w:rPr>
        <w:t>時，須先行評估，至少有EASI 50療效方可使用。</w:t>
      </w:r>
    </w:p>
    <w:p w14:paraId="31EBDFDF" w14:textId="77777777" w:rsidR="0054576B" w:rsidRDefault="0054576B" w:rsidP="0054576B">
      <w:pPr>
        <w:spacing w:line="400" w:lineRule="exact"/>
        <w:ind w:left="1560" w:hanging="383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ii.12歲以上至未滿18歲：</w:t>
      </w:r>
    </w:p>
    <w:p w14:paraId="40F84501" w14:textId="77777777" w:rsidR="0054576B" w:rsidRDefault="0054576B" w:rsidP="0054576B">
      <w:pPr>
        <w:spacing w:line="400" w:lineRule="exact"/>
        <w:ind w:left="1701" w:hanging="513"/>
      </w:pPr>
      <w:r>
        <w:rPr>
          <w:rFonts w:ascii="標楷體" w:eastAsia="標楷體" w:hAnsi="標楷體"/>
          <w:color w:val="000000"/>
          <w:szCs w:val="24"/>
        </w:rPr>
        <w:t>(</w:t>
      </w:r>
      <w:r>
        <w:rPr>
          <w:rFonts w:ascii="新細明體" w:hAnsi="新細明體" w:cs="新細明體"/>
          <w:color w:val="000000"/>
          <w:szCs w:val="24"/>
        </w:rPr>
        <w:t>ⅰ</w:t>
      </w:r>
      <w:r>
        <w:rPr>
          <w:rFonts w:ascii="標楷體" w:eastAsia="標楷體" w:hAnsi="標楷體"/>
          <w:color w:val="000000"/>
          <w:szCs w:val="24"/>
        </w:rPr>
        <w:t>)</w:t>
      </w:r>
      <w:r>
        <w:rPr>
          <w:rFonts w:ascii="標楷體" w:eastAsia="標楷體" w:hAnsi="標楷體"/>
          <w:szCs w:val="24"/>
        </w:rPr>
        <w:t>體重</w:t>
      </w:r>
      <w:r>
        <w:rPr>
          <w:rFonts w:ascii="標楷體" w:eastAsia="標楷體" w:hAnsi="標楷體"/>
          <w:color w:val="000000"/>
          <w:szCs w:val="24"/>
        </w:rPr>
        <w:t>15公斤以上至未滿30公斤：起始劑量600mg (限300mg注射兩劑) ，接著以300mg隔4</w:t>
      </w:r>
      <w:proofErr w:type="gramStart"/>
      <w:r>
        <w:rPr>
          <w:rFonts w:ascii="標楷體" w:eastAsia="標楷體" w:hAnsi="標楷體"/>
          <w:color w:val="000000"/>
          <w:szCs w:val="24"/>
        </w:rPr>
        <w:t>週</w:t>
      </w:r>
      <w:proofErr w:type="gramEnd"/>
      <w:r>
        <w:rPr>
          <w:rFonts w:ascii="標楷體" w:eastAsia="標楷體" w:hAnsi="標楷體"/>
          <w:color w:val="000000"/>
          <w:szCs w:val="24"/>
        </w:rPr>
        <w:t>注射一次，且於16</w:t>
      </w:r>
      <w:proofErr w:type="gramStart"/>
      <w:r>
        <w:rPr>
          <w:rFonts w:ascii="標楷體" w:eastAsia="標楷體" w:hAnsi="標楷體"/>
          <w:color w:val="000000"/>
          <w:szCs w:val="24"/>
        </w:rPr>
        <w:t>週</w:t>
      </w:r>
      <w:proofErr w:type="gramEnd"/>
      <w:r>
        <w:rPr>
          <w:rFonts w:ascii="標楷體" w:eastAsia="標楷體" w:hAnsi="標楷體"/>
          <w:color w:val="000000"/>
          <w:szCs w:val="24"/>
        </w:rPr>
        <w:t>時，須先行評估，至少有EASI 50療效方可使用。</w:t>
      </w:r>
    </w:p>
    <w:p w14:paraId="0F7C0CC9" w14:textId="77777777" w:rsidR="0054576B" w:rsidRDefault="0054576B" w:rsidP="0054576B">
      <w:pPr>
        <w:spacing w:line="400" w:lineRule="exact"/>
        <w:ind w:left="1701" w:hanging="513"/>
      </w:pPr>
      <w:r>
        <w:rPr>
          <w:rFonts w:ascii="標楷體" w:eastAsia="標楷體" w:hAnsi="標楷體"/>
          <w:color w:val="000000"/>
          <w:szCs w:val="24"/>
        </w:rPr>
        <w:t>(</w:t>
      </w:r>
      <w:r>
        <w:rPr>
          <w:rFonts w:ascii="新細明體" w:hAnsi="新細明體" w:cs="新細明體"/>
          <w:color w:val="000000"/>
          <w:szCs w:val="24"/>
        </w:rPr>
        <w:t>ⅱ</w:t>
      </w:r>
      <w:r>
        <w:rPr>
          <w:rFonts w:ascii="標楷體" w:eastAsia="標楷體" w:hAnsi="標楷體"/>
          <w:color w:val="000000"/>
          <w:szCs w:val="24"/>
        </w:rPr>
        <w:t>)體重</w:t>
      </w:r>
      <w:r>
        <w:rPr>
          <w:rFonts w:ascii="標楷體" w:eastAsia="標楷體" w:hAnsi="標楷體"/>
          <w:szCs w:val="24"/>
        </w:rPr>
        <w:t>30公斤以上至未滿60公斤：起始劑量400mg (限200mg注射兩劑) ，接著以200mg隔</w:t>
      </w:r>
      <w:proofErr w:type="gramStart"/>
      <w:r>
        <w:rPr>
          <w:rFonts w:ascii="標楷體" w:eastAsia="標楷體" w:hAnsi="標楷體"/>
          <w:szCs w:val="24"/>
        </w:rPr>
        <w:t>週</w:t>
      </w:r>
      <w:proofErr w:type="gramEnd"/>
      <w:r>
        <w:rPr>
          <w:rFonts w:ascii="標楷體" w:eastAsia="標楷體" w:hAnsi="標楷體"/>
          <w:szCs w:val="24"/>
        </w:rPr>
        <w:t>注射一次，且於16</w:t>
      </w:r>
      <w:proofErr w:type="gramStart"/>
      <w:r>
        <w:rPr>
          <w:rFonts w:ascii="標楷體" w:eastAsia="標楷體" w:hAnsi="標楷體"/>
          <w:szCs w:val="24"/>
        </w:rPr>
        <w:t>週</w:t>
      </w:r>
      <w:proofErr w:type="gramEnd"/>
      <w:r>
        <w:rPr>
          <w:rFonts w:ascii="標楷體" w:eastAsia="標楷體" w:hAnsi="標楷體"/>
          <w:szCs w:val="24"/>
        </w:rPr>
        <w:t>時，須先行評估，至少有EASI 50療效方可使用。</w:t>
      </w:r>
    </w:p>
    <w:p w14:paraId="25033132" w14:textId="77777777" w:rsidR="0054576B" w:rsidRDefault="0054576B" w:rsidP="0054576B">
      <w:pPr>
        <w:spacing w:line="400" w:lineRule="exact"/>
        <w:ind w:left="1701" w:hanging="513"/>
      </w:pPr>
      <w:r>
        <w:rPr>
          <w:rFonts w:ascii="標楷體" w:eastAsia="標楷體" w:hAnsi="標楷體"/>
          <w:szCs w:val="24"/>
        </w:rPr>
        <w:t>(</w:t>
      </w:r>
      <w:r>
        <w:rPr>
          <w:rFonts w:ascii="新細明體" w:hAnsi="新細明體" w:cs="新細明體"/>
          <w:szCs w:val="24"/>
        </w:rPr>
        <w:t>ⅲ</w:t>
      </w:r>
      <w:r>
        <w:rPr>
          <w:rFonts w:ascii="標楷體" w:eastAsia="標楷體" w:hAnsi="標楷體"/>
          <w:szCs w:val="24"/>
        </w:rPr>
        <w:t>)體重6</w:t>
      </w:r>
      <w:r>
        <w:rPr>
          <w:rFonts w:ascii="標楷體" w:eastAsia="標楷體" w:hAnsi="標楷體"/>
          <w:color w:val="000000"/>
          <w:szCs w:val="24"/>
        </w:rPr>
        <w:t>0公斤以上：起始劑量600mg (限300mg注射兩劑) ，接著以300mg隔</w:t>
      </w:r>
      <w:proofErr w:type="gramStart"/>
      <w:r>
        <w:rPr>
          <w:rFonts w:ascii="標楷體" w:eastAsia="標楷體" w:hAnsi="標楷體"/>
          <w:color w:val="000000"/>
          <w:szCs w:val="24"/>
        </w:rPr>
        <w:t>週</w:t>
      </w:r>
      <w:proofErr w:type="gramEnd"/>
      <w:r>
        <w:rPr>
          <w:rFonts w:ascii="標楷體" w:eastAsia="標楷體" w:hAnsi="標楷體"/>
          <w:color w:val="000000"/>
          <w:szCs w:val="24"/>
        </w:rPr>
        <w:t>注射一次，且於16</w:t>
      </w:r>
      <w:proofErr w:type="gramStart"/>
      <w:r>
        <w:rPr>
          <w:rFonts w:ascii="標楷體" w:eastAsia="標楷體" w:hAnsi="標楷體"/>
          <w:color w:val="000000"/>
          <w:szCs w:val="24"/>
        </w:rPr>
        <w:t>週</w:t>
      </w:r>
      <w:proofErr w:type="gramEnd"/>
      <w:r>
        <w:rPr>
          <w:rFonts w:ascii="標楷體" w:eastAsia="標楷體" w:hAnsi="標楷體"/>
          <w:color w:val="000000"/>
          <w:szCs w:val="24"/>
        </w:rPr>
        <w:t>時，須先行評估，至少有EASI 50療效方可使用。</w:t>
      </w:r>
    </w:p>
    <w:p w14:paraId="06830B28" w14:textId="77777777" w:rsidR="0054576B" w:rsidRDefault="0054576B" w:rsidP="0054576B">
      <w:pPr>
        <w:spacing w:line="400" w:lineRule="exact"/>
        <w:ind w:left="1276" w:hanging="383"/>
        <w:rPr>
          <w:rFonts w:ascii="標楷體" w:eastAsia="標楷體" w:hAnsi="標楷體"/>
          <w:color w:val="000000"/>
          <w:szCs w:val="24"/>
        </w:rPr>
      </w:pPr>
      <w:proofErr w:type="spellStart"/>
      <w:r>
        <w:rPr>
          <w:rFonts w:ascii="標楷體" w:eastAsia="標楷體" w:hAnsi="標楷體"/>
          <w:color w:val="000000"/>
          <w:szCs w:val="24"/>
        </w:rPr>
        <w:t>Ⅱ.upadacitinib</w:t>
      </w:r>
      <w:proofErr w:type="spellEnd"/>
      <w:r>
        <w:rPr>
          <w:rFonts w:ascii="標楷體" w:eastAsia="標楷體" w:hAnsi="標楷體"/>
          <w:color w:val="000000"/>
          <w:szCs w:val="24"/>
        </w:rPr>
        <w:t>：每日1次15mg或30mg。(112/4/1)</w:t>
      </w:r>
    </w:p>
    <w:p w14:paraId="6C4FB5A6" w14:textId="77777777" w:rsidR="0054576B" w:rsidRDefault="0054576B" w:rsidP="0054576B">
      <w:pPr>
        <w:spacing w:line="400" w:lineRule="exact"/>
        <w:ind w:left="1560" w:hanging="383"/>
      </w:pPr>
      <w:proofErr w:type="spellStart"/>
      <w:r>
        <w:rPr>
          <w:rFonts w:ascii="新細明體" w:hAnsi="新細明體" w:cs="新細明體"/>
          <w:color w:val="000000"/>
          <w:szCs w:val="24"/>
        </w:rPr>
        <w:t>ⅰ</w:t>
      </w:r>
      <w:r>
        <w:rPr>
          <w:rFonts w:ascii="標楷體" w:eastAsia="標楷體" w:hAnsi="標楷體"/>
          <w:color w:val="000000"/>
          <w:szCs w:val="24"/>
        </w:rPr>
        <w:t>.EASI</w:t>
      </w:r>
      <w:proofErr w:type="spellEnd"/>
      <w:r>
        <w:rPr>
          <w:rFonts w:ascii="標楷體" w:eastAsia="標楷體" w:hAnsi="標楷體"/>
          <w:color w:val="000000"/>
          <w:szCs w:val="24"/>
        </w:rPr>
        <w:t xml:space="preserve"> 16~20者：限每日使用15mg。</w:t>
      </w:r>
    </w:p>
    <w:p w14:paraId="48F8A361" w14:textId="77777777" w:rsidR="0054576B" w:rsidRDefault="0054576B" w:rsidP="0054576B">
      <w:pPr>
        <w:spacing w:line="400" w:lineRule="exact"/>
        <w:ind w:left="1560" w:hanging="383"/>
      </w:pPr>
      <w:r>
        <w:rPr>
          <w:rFonts w:ascii="新細明體" w:hAnsi="新細明體" w:cs="新細明體"/>
          <w:color w:val="000000"/>
          <w:szCs w:val="24"/>
        </w:rPr>
        <w:t>ⅱ</w:t>
      </w:r>
      <w:r>
        <w:rPr>
          <w:rFonts w:ascii="標楷體" w:eastAsia="標楷體" w:hAnsi="標楷體"/>
          <w:color w:val="000000"/>
          <w:szCs w:val="24"/>
        </w:rPr>
        <w:t>.18歲以上，且EASI 20以上者：每日得使用30mg。</w:t>
      </w:r>
    </w:p>
    <w:p w14:paraId="05A0A6AB" w14:textId="77777777" w:rsidR="0054576B" w:rsidRDefault="0054576B" w:rsidP="0054576B">
      <w:pPr>
        <w:spacing w:line="400" w:lineRule="exact"/>
        <w:ind w:left="1276" w:hanging="383"/>
        <w:rPr>
          <w:rFonts w:ascii="標楷體" w:eastAsia="標楷體" w:hAnsi="標楷體"/>
          <w:color w:val="000000"/>
          <w:szCs w:val="24"/>
        </w:rPr>
      </w:pPr>
      <w:proofErr w:type="spellStart"/>
      <w:r>
        <w:rPr>
          <w:rFonts w:ascii="標楷體" w:eastAsia="標楷體" w:hAnsi="標楷體"/>
          <w:color w:val="000000"/>
          <w:szCs w:val="24"/>
        </w:rPr>
        <w:t>Ⅲ.abrocitinib</w:t>
      </w:r>
      <w:proofErr w:type="spellEnd"/>
      <w:r>
        <w:rPr>
          <w:rFonts w:ascii="標楷體" w:eastAsia="標楷體" w:hAnsi="標楷體"/>
          <w:color w:val="000000"/>
          <w:szCs w:val="24"/>
        </w:rPr>
        <w:t>：(112/6/1、113/8/1)</w:t>
      </w:r>
    </w:p>
    <w:p w14:paraId="7F26AD35" w14:textId="77777777" w:rsidR="0054576B" w:rsidRDefault="0054576B" w:rsidP="0054576B">
      <w:pPr>
        <w:spacing w:line="400" w:lineRule="exact"/>
        <w:ind w:left="1560" w:hanging="383"/>
      </w:pPr>
      <w:r>
        <w:rPr>
          <w:rFonts w:ascii="新細明體" w:hAnsi="新細明體" w:cs="新細明體"/>
          <w:color w:val="000000"/>
          <w:szCs w:val="24"/>
        </w:rPr>
        <w:t>ⅰ</w:t>
      </w:r>
      <w:r>
        <w:rPr>
          <w:rFonts w:ascii="標楷體" w:eastAsia="標楷體" w:hAnsi="標楷體"/>
          <w:color w:val="000000"/>
          <w:szCs w:val="24"/>
        </w:rPr>
        <w:t>.限使用於12歲以上，每日1次100mg或200mg。</w:t>
      </w:r>
    </w:p>
    <w:p w14:paraId="09CFC836" w14:textId="77777777" w:rsidR="0054576B" w:rsidRDefault="0054576B" w:rsidP="0054576B">
      <w:pPr>
        <w:spacing w:line="400" w:lineRule="exact"/>
        <w:ind w:left="1560" w:hanging="383"/>
        <w:rPr>
          <w:rFonts w:ascii="標楷體" w:eastAsia="標楷體" w:hAnsi="標楷體"/>
          <w:color w:val="000000"/>
          <w:szCs w:val="24"/>
        </w:rPr>
      </w:pPr>
      <w:r>
        <w:rPr>
          <w:rFonts w:ascii="新細明體" w:hAnsi="新細明體" w:cs="新細明體"/>
          <w:color w:val="000000"/>
          <w:szCs w:val="24"/>
        </w:rPr>
        <w:t>ⅱ</w:t>
      </w:r>
      <w:r>
        <w:rPr>
          <w:rFonts w:ascii="標楷體" w:eastAsia="標楷體" w:hAnsi="標楷體"/>
          <w:color w:val="000000"/>
          <w:szCs w:val="24"/>
        </w:rPr>
        <w:t>.於16</w:t>
      </w:r>
      <w:proofErr w:type="gramStart"/>
      <w:r>
        <w:rPr>
          <w:rFonts w:ascii="標楷體" w:eastAsia="標楷體" w:hAnsi="標楷體"/>
          <w:color w:val="000000"/>
          <w:szCs w:val="24"/>
        </w:rPr>
        <w:t>週</w:t>
      </w:r>
      <w:proofErr w:type="gramEnd"/>
      <w:r>
        <w:rPr>
          <w:rFonts w:ascii="標楷體" w:eastAsia="標楷體" w:hAnsi="標楷體"/>
          <w:color w:val="000000"/>
          <w:szCs w:val="24"/>
        </w:rPr>
        <w:t>時，須先行評估，至少有EASI 50療效方可使用。</w:t>
      </w:r>
    </w:p>
    <w:p w14:paraId="03408022" w14:textId="77777777" w:rsidR="0054576B" w:rsidRPr="00F94FED" w:rsidRDefault="0054576B" w:rsidP="0054576B">
      <w:pPr>
        <w:spacing w:line="400" w:lineRule="exact"/>
        <w:ind w:left="1276" w:hanging="383"/>
        <w:rPr>
          <w:rFonts w:ascii="標楷體" w:eastAsia="標楷體" w:hAnsi="標楷體"/>
          <w:color w:val="000000"/>
          <w:szCs w:val="24"/>
        </w:rPr>
      </w:pPr>
      <w:proofErr w:type="spellStart"/>
      <w:r w:rsidRPr="00F94FED">
        <w:rPr>
          <w:rFonts w:ascii="標楷體" w:eastAsia="標楷體" w:hAnsi="標楷體" w:hint="eastAsia"/>
          <w:color w:val="000000"/>
          <w:szCs w:val="24"/>
        </w:rPr>
        <w:t>IV.lebrikizumab</w:t>
      </w:r>
      <w:proofErr w:type="spellEnd"/>
      <w:r w:rsidRPr="00F94FED">
        <w:rPr>
          <w:rFonts w:ascii="標楷體" w:eastAsia="標楷體" w:hAnsi="標楷體" w:hint="eastAsia"/>
          <w:color w:val="000000"/>
          <w:szCs w:val="24"/>
        </w:rPr>
        <w:t>：（115/6/1）</w:t>
      </w:r>
    </w:p>
    <w:p w14:paraId="5C805AE3" w14:textId="77777777" w:rsidR="0054576B" w:rsidRPr="00F94FED" w:rsidRDefault="0054576B" w:rsidP="0054576B">
      <w:pPr>
        <w:spacing w:line="400" w:lineRule="exact"/>
        <w:ind w:left="1560" w:hanging="383"/>
        <w:rPr>
          <w:rFonts w:ascii="標楷體" w:eastAsia="標楷體" w:hAnsi="標楷體"/>
          <w:color w:val="000000"/>
          <w:szCs w:val="24"/>
        </w:rPr>
      </w:pPr>
      <w:r w:rsidRPr="00F94FED">
        <w:rPr>
          <w:rFonts w:ascii="新細明體" w:hAnsi="新細明體" w:cs="新細明體" w:hint="eastAsia"/>
          <w:color w:val="000000"/>
          <w:szCs w:val="24"/>
        </w:rPr>
        <w:t>ⅰ</w:t>
      </w:r>
      <w:r w:rsidRPr="00F94FED">
        <w:rPr>
          <w:rFonts w:ascii="標楷體" w:eastAsia="標楷體" w:hAnsi="標楷體"/>
          <w:color w:val="000000"/>
          <w:szCs w:val="24"/>
        </w:rPr>
        <w:t>.</w:t>
      </w:r>
      <w:r w:rsidRPr="00F94FED">
        <w:rPr>
          <w:rFonts w:ascii="標楷體" w:eastAsia="標楷體" w:hAnsi="標楷體" w:hint="eastAsia"/>
          <w:color w:val="000000"/>
          <w:szCs w:val="24"/>
        </w:rPr>
        <w:t>限使用於</w:t>
      </w:r>
      <w:r w:rsidRPr="00F94FED">
        <w:rPr>
          <w:rFonts w:ascii="標楷體" w:eastAsia="標楷體" w:hAnsi="標楷體"/>
          <w:color w:val="000000"/>
          <w:szCs w:val="24"/>
        </w:rPr>
        <w:t>12</w:t>
      </w:r>
      <w:r w:rsidRPr="00F94FED">
        <w:rPr>
          <w:rFonts w:ascii="標楷體" w:eastAsia="標楷體" w:hAnsi="標楷體" w:hint="eastAsia"/>
          <w:color w:val="000000"/>
          <w:szCs w:val="24"/>
        </w:rPr>
        <w:t>歲以上且體重至少</w:t>
      </w:r>
      <w:r w:rsidRPr="00F94FED">
        <w:rPr>
          <w:rFonts w:ascii="標楷體" w:eastAsia="標楷體" w:hAnsi="標楷體"/>
          <w:color w:val="000000"/>
          <w:szCs w:val="24"/>
        </w:rPr>
        <w:t>40</w:t>
      </w:r>
      <w:r w:rsidRPr="00F94FED">
        <w:rPr>
          <w:rFonts w:ascii="標楷體" w:eastAsia="標楷體" w:hAnsi="標楷體" w:hint="eastAsia"/>
          <w:color w:val="000000"/>
          <w:szCs w:val="24"/>
        </w:rPr>
        <w:t>公斤。</w:t>
      </w:r>
    </w:p>
    <w:p w14:paraId="432B9BB2" w14:textId="77777777" w:rsidR="0054576B" w:rsidRPr="00F94FED" w:rsidRDefault="0054576B" w:rsidP="0054576B">
      <w:pPr>
        <w:spacing w:line="400" w:lineRule="exact"/>
        <w:ind w:left="1560" w:hanging="383"/>
        <w:rPr>
          <w:rFonts w:ascii="標楷體" w:eastAsia="標楷體" w:hAnsi="標楷體"/>
          <w:color w:val="000000"/>
          <w:szCs w:val="24"/>
        </w:rPr>
      </w:pPr>
      <w:r w:rsidRPr="00F94FED">
        <w:rPr>
          <w:rFonts w:ascii="新細明體" w:hAnsi="新細明體" w:cs="新細明體" w:hint="eastAsia"/>
          <w:color w:val="000000"/>
          <w:szCs w:val="24"/>
        </w:rPr>
        <w:t>ⅱ</w:t>
      </w:r>
      <w:r w:rsidRPr="00F94FED">
        <w:rPr>
          <w:rFonts w:ascii="標楷體" w:eastAsia="標楷體" w:hAnsi="標楷體"/>
          <w:color w:val="000000"/>
          <w:szCs w:val="24"/>
        </w:rPr>
        <w:t>.</w:t>
      </w:r>
      <w:r w:rsidRPr="00F94FED">
        <w:rPr>
          <w:rFonts w:ascii="標楷體" w:eastAsia="標楷體" w:hAnsi="標楷體" w:hint="eastAsia"/>
          <w:color w:val="000000"/>
          <w:szCs w:val="24"/>
        </w:rPr>
        <w:t>起始劑量為第</w:t>
      </w:r>
      <w:r w:rsidRPr="00F94FED">
        <w:rPr>
          <w:rFonts w:ascii="標楷體" w:eastAsia="標楷體" w:hAnsi="標楷體"/>
          <w:color w:val="000000"/>
          <w:szCs w:val="24"/>
        </w:rPr>
        <w:t>0</w:t>
      </w:r>
      <w:proofErr w:type="gramStart"/>
      <w:r w:rsidRPr="00F94FED">
        <w:rPr>
          <w:rFonts w:ascii="標楷體" w:eastAsia="標楷體" w:hAnsi="標楷體" w:hint="eastAsia"/>
          <w:color w:val="000000"/>
          <w:szCs w:val="24"/>
        </w:rPr>
        <w:t>週</w:t>
      </w:r>
      <w:proofErr w:type="gramEnd"/>
      <w:r w:rsidRPr="00F94FED">
        <w:rPr>
          <w:rFonts w:ascii="標楷體" w:eastAsia="標楷體" w:hAnsi="標楷體" w:hint="eastAsia"/>
          <w:color w:val="000000"/>
          <w:szCs w:val="24"/>
        </w:rPr>
        <w:t>及第</w:t>
      </w:r>
      <w:r w:rsidRPr="00F94FED">
        <w:rPr>
          <w:rFonts w:ascii="標楷體" w:eastAsia="標楷體" w:hAnsi="標楷體"/>
          <w:color w:val="000000"/>
          <w:szCs w:val="24"/>
        </w:rPr>
        <w:t>2</w:t>
      </w:r>
      <w:proofErr w:type="gramStart"/>
      <w:r w:rsidRPr="00F94FED">
        <w:rPr>
          <w:rFonts w:ascii="標楷體" w:eastAsia="標楷體" w:hAnsi="標楷體" w:hint="eastAsia"/>
          <w:color w:val="000000"/>
          <w:szCs w:val="24"/>
        </w:rPr>
        <w:t>週</w:t>
      </w:r>
      <w:proofErr w:type="gramEnd"/>
      <w:r w:rsidRPr="00F94FED">
        <w:rPr>
          <w:rFonts w:ascii="標楷體" w:eastAsia="標楷體" w:hAnsi="標楷體" w:hint="eastAsia"/>
          <w:color w:val="000000"/>
          <w:szCs w:val="24"/>
        </w:rPr>
        <w:t>以皮下注射給予</w:t>
      </w:r>
      <w:r w:rsidRPr="00F94FED">
        <w:rPr>
          <w:rFonts w:ascii="標楷體" w:eastAsia="標楷體" w:hAnsi="標楷體"/>
          <w:color w:val="000000"/>
          <w:szCs w:val="24"/>
        </w:rPr>
        <w:t>500mg (</w:t>
      </w:r>
      <w:r w:rsidRPr="00F94FED">
        <w:rPr>
          <w:rFonts w:ascii="標楷體" w:eastAsia="標楷體" w:hAnsi="標楷體" w:hint="eastAsia"/>
          <w:color w:val="000000"/>
          <w:szCs w:val="24"/>
        </w:rPr>
        <w:t>限</w:t>
      </w:r>
      <w:r w:rsidRPr="00F94FED">
        <w:rPr>
          <w:rFonts w:ascii="標楷體" w:eastAsia="標楷體" w:hAnsi="標楷體"/>
          <w:color w:val="000000"/>
          <w:szCs w:val="24"/>
        </w:rPr>
        <w:t>250mg</w:t>
      </w:r>
      <w:r w:rsidRPr="00F94FED">
        <w:rPr>
          <w:rFonts w:ascii="標楷體" w:eastAsia="標楷體" w:hAnsi="標楷體" w:hint="eastAsia"/>
          <w:color w:val="000000"/>
          <w:szCs w:val="24"/>
        </w:rPr>
        <w:t>注射兩劑</w:t>
      </w:r>
      <w:r w:rsidRPr="00F94FED">
        <w:rPr>
          <w:rFonts w:ascii="標楷體" w:eastAsia="標楷體" w:hAnsi="標楷體"/>
          <w:color w:val="000000"/>
          <w:szCs w:val="24"/>
        </w:rPr>
        <w:t>)</w:t>
      </w:r>
      <w:r w:rsidRPr="00F94FED">
        <w:rPr>
          <w:rFonts w:ascii="標楷體" w:eastAsia="標楷體" w:hAnsi="標楷體" w:hint="eastAsia"/>
          <w:color w:val="000000"/>
          <w:szCs w:val="24"/>
        </w:rPr>
        <w:t>，第</w:t>
      </w:r>
      <w:r w:rsidRPr="00F94FED">
        <w:rPr>
          <w:rFonts w:ascii="標楷體" w:eastAsia="標楷體" w:hAnsi="標楷體"/>
          <w:color w:val="000000"/>
          <w:szCs w:val="24"/>
        </w:rPr>
        <w:t>4</w:t>
      </w:r>
      <w:proofErr w:type="gramStart"/>
      <w:r w:rsidRPr="00F94FED">
        <w:rPr>
          <w:rFonts w:ascii="標楷體" w:eastAsia="標楷體" w:hAnsi="標楷體" w:hint="eastAsia"/>
          <w:color w:val="000000"/>
          <w:szCs w:val="24"/>
        </w:rPr>
        <w:t>週</w:t>
      </w:r>
      <w:proofErr w:type="gramEnd"/>
      <w:r w:rsidRPr="00F94FED">
        <w:rPr>
          <w:rFonts w:ascii="標楷體" w:eastAsia="標楷體" w:hAnsi="標楷體" w:hint="eastAsia"/>
          <w:color w:val="000000"/>
          <w:szCs w:val="24"/>
        </w:rPr>
        <w:t>起皮下注射給予</w:t>
      </w:r>
      <w:r w:rsidRPr="00F94FED">
        <w:rPr>
          <w:rFonts w:ascii="標楷體" w:eastAsia="標楷體" w:hAnsi="標楷體"/>
          <w:color w:val="000000"/>
          <w:szCs w:val="24"/>
        </w:rPr>
        <w:t>250mg</w:t>
      </w:r>
      <w:r w:rsidRPr="00F94FED">
        <w:rPr>
          <w:rFonts w:ascii="標楷體" w:eastAsia="標楷體" w:hAnsi="標楷體" w:hint="eastAsia"/>
          <w:color w:val="000000"/>
          <w:szCs w:val="24"/>
        </w:rPr>
        <w:t>，每</w:t>
      </w:r>
      <w:r w:rsidRPr="00F94FED">
        <w:rPr>
          <w:rFonts w:ascii="標楷體" w:eastAsia="標楷體" w:hAnsi="標楷體"/>
          <w:color w:val="000000"/>
          <w:szCs w:val="24"/>
        </w:rPr>
        <w:t>2</w:t>
      </w:r>
      <w:r w:rsidRPr="00F94FED">
        <w:rPr>
          <w:rFonts w:ascii="標楷體" w:eastAsia="標楷體" w:hAnsi="標楷體" w:hint="eastAsia"/>
          <w:color w:val="000000"/>
          <w:szCs w:val="24"/>
        </w:rPr>
        <w:t>週一次直到第</w:t>
      </w:r>
      <w:r w:rsidRPr="00F94FED">
        <w:rPr>
          <w:rFonts w:ascii="標楷體" w:eastAsia="標楷體" w:hAnsi="標楷體"/>
          <w:color w:val="000000"/>
          <w:szCs w:val="24"/>
        </w:rPr>
        <w:t>16</w:t>
      </w:r>
      <w:proofErr w:type="gramStart"/>
      <w:r w:rsidRPr="00F94FED">
        <w:rPr>
          <w:rFonts w:ascii="標楷體" w:eastAsia="標楷體" w:hAnsi="標楷體" w:hint="eastAsia"/>
          <w:color w:val="000000"/>
          <w:szCs w:val="24"/>
        </w:rPr>
        <w:t>週</w:t>
      </w:r>
      <w:proofErr w:type="gramEnd"/>
      <w:r w:rsidRPr="00F94FED">
        <w:rPr>
          <w:rFonts w:ascii="標楷體" w:eastAsia="標楷體" w:hAnsi="標楷體" w:hint="eastAsia"/>
          <w:color w:val="000000"/>
          <w:szCs w:val="24"/>
        </w:rPr>
        <w:t>，之後維持劑量</w:t>
      </w:r>
      <w:r w:rsidRPr="00F94FED">
        <w:rPr>
          <w:rFonts w:ascii="標楷體" w:eastAsia="標楷體" w:hAnsi="標楷體"/>
          <w:color w:val="000000"/>
          <w:szCs w:val="24"/>
        </w:rPr>
        <w:t>250mg</w:t>
      </w:r>
      <w:r w:rsidRPr="00F94FED">
        <w:rPr>
          <w:rFonts w:ascii="標楷體" w:eastAsia="標楷體" w:hAnsi="標楷體" w:hint="eastAsia"/>
          <w:color w:val="000000"/>
          <w:szCs w:val="24"/>
        </w:rPr>
        <w:t>每</w:t>
      </w:r>
      <w:r w:rsidRPr="00F94FED">
        <w:rPr>
          <w:rFonts w:ascii="標楷體" w:eastAsia="標楷體" w:hAnsi="標楷體"/>
          <w:color w:val="000000"/>
          <w:szCs w:val="24"/>
        </w:rPr>
        <w:t>4</w:t>
      </w:r>
      <w:r w:rsidRPr="00F94FED">
        <w:rPr>
          <w:rFonts w:ascii="標楷體" w:eastAsia="標楷體" w:hAnsi="標楷體" w:hint="eastAsia"/>
          <w:color w:val="000000"/>
          <w:szCs w:val="24"/>
        </w:rPr>
        <w:t>週一次。</w:t>
      </w:r>
    </w:p>
    <w:p w14:paraId="7B00D55A" w14:textId="77777777" w:rsidR="0054576B" w:rsidRPr="00F94FED" w:rsidRDefault="0054576B" w:rsidP="0054576B">
      <w:pPr>
        <w:spacing w:line="400" w:lineRule="exact"/>
        <w:ind w:left="1560" w:hanging="383"/>
        <w:rPr>
          <w:rFonts w:ascii="標楷體" w:eastAsia="標楷體" w:hAnsi="標楷體"/>
          <w:color w:val="000000"/>
          <w:szCs w:val="24"/>
        </w:rPr>
      </w:pPr>
      <w:r w:rsidRPr="00F94FED">
        <w:rPr>
          <w:rFonts w:ascii="標楷體" w:eastAsia="標楷體" w:hAnsi="標楷體" w:hint="eastAsia"/>
          <w:color w:val="000000"/>
          <w:szCs w:val="24"/>
        </w:rPr>
        <w:t>iii.於16</w:t>
      </w:r>
      <w:proofErr w:type="gramStart"/>
      <w:r w:rsidRPr="00F94FED">
        <w:rPr>
          <w:rFonts w:ascii="標楷體" w:eastAsia="標楷體" w:hAnsi="標楷體" w:hint="eastAsia"/>
          <w:color w:val="000000"/>
          <w:szCs w:val="24"/>
        </w:rPr>
        <w:t>週</w:t>
      </w:r>
      <w:proofErr w:type="gramEnd"/>
      <w:r w:rsidRPr="00F94FED">
        <w:rPr>
          <w:rFonts w:ascii="標楷體" w:eastAsia="標楷體" w:hAnsi="標楷體" w:hint="eastAsia"/>
          <w:color w:val="000000"/>
          <w:szCs w:val="24"/>
        </w:rPr>
        <w:t>時，須先行評估，至少有EASI 50療效方可使用。</w:t>
      </w:r>
    </w:p>
    <w:p w14:paraId="6A05C7CB" w14:textId="77777777" w:rsidR="0054576B" w:rsidRDefault="0054576B" w:rsidP="0054576B">
      <w:pPr>
        <w:suppressAutoHyphens w:val="0"/>
        <w:spacing w:line="400" w:lineRule="exact"/>
        <w:ind w:left="1077" w:hanging="367"/>
        <w:textAlignment w:val="auto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(4)若患者曾核准使用治療乾癬之生物製劑，需等到乾癬症狀消失後，至少兩年才能提出申請。或申請前須切片確定排除乾癬診斷並經皮膚科專科醫師確立診斷。</w:t>
      </w:r>
    </w:p>
    <w:p w14:paraId="7ACE9860" w14:textId="77777777" w:rsidR="0054576B" w:rsidRDefault="0054576B" w:rsidP="0054576B">
      <w:pPr>
        <w:suppressAutoHyphens w:val="0"/>
        <w:spacing w:line="400" w:lineRule="exact"/>
        <w:ind w:left="1077" w:hanging="367"/>
        <w:textAlignment w:val="auto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(5)使用</w:t>
      </w:r>
      <w:proofErr w:type="spellStart"/>
      <w:r>
        <w:rPr>
          <w:rFonts w:ascii="標楷體" w:eastAsia="標楷體" w:hAnsi="標楷體"/>
          <w:color w:val="000000"/>
          <w:szCs w:val="24"/>
        </w:rPr>
        <w:t>abrocitinib</w:t>
      </w:r>
      <w:proofErr w:type="spellEnd"/>
      <w:r>
        <w:rPr>
          <w:rFonts w:ascii="標楷體" w:eastAsia="標楷體" w:hAnsi="標楷體"/>
          <w:color w:val="000000"/>
          <w:szCs w:val="24"/>
        </w:rPr>
        <w:t>時，宜紀錄患者HBsAg、B型肝炎核心抗體 （anti-HBc Ab）及anti-HCV資料（若HBsAg 檢驗為陽性，宜加作HBV DNA）。(112/6/1)</w:t>
      </w:r>
    </w:p>
    <w:p w14:paraId="62B88EB6" w14:textId="77777777" w:rsidR="0054576B" w:rsidRDefault="0054576B" w:rsidP="0054576B">
      <w:pPr>
        <w:suppressAutoHyphens w:val="0"/>
        <w:spacing w:line="400" w:lineRule="exact"/>
        <w:ind w:left="1077" w:hanging="367"/>
        <w:textAlignment w:val="auto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lastRenderedPageBreak/>
        <w:t>(6)Upadacitinib及</w:t>
      </w:r>
      <w:proofErr w:type="spellStart"/>
      <w:r>
        <w:rPr>
          <w:rFonts w:ascii="標楷體" w:eastAsia="標楷體" w:hAnsi="標楷體"/>
          <w:color w:val="000000"/>
          <w:szCs w:val="24"/>
        </w:rPr>
        <w:t>abrocitinib</w:t>
      </w:r>
      <w:proofErr w:type="spellEnd"/>
      <w:r>
        <w:rPr>
          <w:rFonts w:ascii="標楷體" w:eastAsia="標楷體" w:hAnsi="標楷體"/>
          <w:color w:val="000000"/>
          <w:szCs w:val="24"/>
        </w:rPr>
        <w:t>僅能擇</w:t>
      </w:r>
      <w:proofErr w:type="gramStart"/>
      <w:r>
        <w:rPr>
          <w:rFonts w:ascii="標楷體" w:eastAsia="標楷體" w:hAnsi="標楷體"/>
          <w:color w:val="000000"/>
          <w:szCs w:val="24"/>
        </w:rPr>
        <w:t>一</w:t>
      </w:r>
      <w:proofErr w:type="gramEnd"/>
      <w:r>
        <w:rPr>
          <w:rFonts w:ascii="標楷體" w:eastAsia="標楷體" w:hAnsi="標楷體"/>
          <w:color w:val="000000"/>
          <w:szCs w:val="24"/>
        </w:rPr>
        <w:t>使用。唯有在出現無法忍受其副作用時方可互換。</w:t>
      </w:r>
      <w:proofErr w:type="gramStart"/>
      <w:r>
        <w:rPr>
          <w:rFonts w:ascii="標楷體" w:eastAsia="標楷體" w:hAnsi="標楷體"/>
          <w:color w:val="000000"/>
          <w:szCs w:val="24"/>
        </w:rPr>
        <w:t>（</w:t>
      </w:r>
      <w:proofErr w:type="gramEnd"/>
      <w:r>
        <w:rPr>
          <w:rFonts w:ascii="標楷體" w:eastAsia="標楷體" w:hAnsi="標楷體"/>
          <w:color w:val="000000"/>
          <w:szCs w:val="24"/>
        </w:rPr>
        <w:t>113/8/1)。</w:t>
      </w:r>
    </w:p>
    <w:p w14:paraId="5D47D56D" w14:textId="77777777" w:rsidR="0054576B" w:rsidRDefault="0054576B" w:rsidP="0054576B">
      <w:pPr>
        <w:suppressAutoHyphens w:val="0"/>
        <w:spacing w:line="400" w:lineRule="exact"/>
        <w:ind w:left="796" w:hanging="230"/>
        <w:textAlignment w:val="auto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4.需排除使用的情形應參照藥物仿單資訊，重要之排除使用狀況包括：</w:t>
      </w:r>
    </w:p>
    <w:p w14:paraId="27D3935C" w14:textId="77777777" w:rsidR="0054576B" w:rsidRDefault="0054576B" w:rsidP="0054576B">
      <w:pPr>
        <w:suppressAutoHyphens w:val="0"/>
        <w:spacing w:line="400" w:lineRule="exact"/>
        <w:ind w:left="1077" w:hanging="367"/>
        <w:textAlignment w:val="auto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(1)懷孕或</w:t>
      </w:r>
      <w:proofErr w:type="gramStart"/>
      <w:r>
        <w:rPr>
          <w:rFonts w:ascii="標楷體" w:eastAsia="標楷體" w:hAnsi="標楷體"/>
          <w:color w:val="000000"/>
          <w:szCs w:val="24"/>
        </w:rPr>
        <w:t>正在授乳的</w:t>
      </w:r>
      <w:proofErr w:type="gramEnd"/>
      <w:r>
        <w:rPr>
          <w:rFonts w:ascii="標楷體" w:eastAsia="標楷體" w:hAnsi="標楷體"/>
          <w:color w:val="000000"/>
          <w:szCs w:val="24"/>
        </w:rPr>
        <w:t>婦女。</w:t>
      </w:r>
    </w:p>
    <w:p w14:paraId="7AC90550" w14:textId="77777777" w:rsidR="0054576B" w:rsidRDefault="0054576B" w:rsidP="0054576B">
      <w:pPr>
        <w:suppressAutoHyphens w:val="0"/>
        <w:spacing w:line="400" w:lineRule="exact"/>
        <w:ind w:left="1077" w:hanging="367"/>
        <w:textAlignment w:val="auto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(2)寄生蟲 (蠕蟲) 感染。</w:t>
      </w:r>
    </w:p>
    <w:p w14:paraId="0CDDC68D" w14:textId="77777777" w:rsidR="0054576B" w:rsidRDefault="0054576B" w:rsidP="0054576B">
      <w:pPr>
        <w:suppressAutoHyphens w:val="0"/>
        <w:spacing w:line="400" w:lineRule="exact"/>
        <w:ind w:left="1077" w:hanging="367"/>
        <w:textAlignment w:val="auto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(3)活動性嚴重全身性感染(使用</w:t>
      </w:r>
      <w:proofErr w:type="spellStart"/>
      <w:r>
        <w:rPr>
          <w:rFonts w:ascii="標楷體" w:eastAsia="標楷體" w:hAnsi="標楷體"/>
          <w:color w:val="000000"/>
          <w:szCs w:val="24"/>
        </w:rPr>
        <w:t>abrocitnib</w:t>
      </w:r>
      <w:proofErr w:type="spellEnd"/>
      <w:r>
        <w:rPr>
          <w:rFonts w:ascii="標楷體" w:eastAsia="標楷體" w:hAnsi="標楷體"/>
          <w:color w:val="000000"/>
          <w:szCs w:val="24"/>
        </w:rPr>
        <w:t>者)。(112/6/1)</w:t>
      </w:r>
    </w:p>
    <w:p w14:paraId="3316C5B2" w14:textId="77777777" w:rsidR="0054576B" w:rsidRDefault="0054576B" w:rsidP="0054576B">
      <w:pPr>
        <w:suppressAutoHyphens w:val="0"/>
        <w:spacing w:line="400" w:lineRule="exact"/>
        <w:ind w:left="796" w:hanging="230"/>
        <w:textAlignment w:val="auto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5.需停止治療應參照藥物仿單之禁忌情形，如果發生下列現象應停止治療：</w:t>
      </w:r>
    </w:p>
    <w:p w14:paraId="0BAB1988" w14:textId="77777777" w:rsidR="0054576B" w:rsidRDefault="0054576B" w:rsidP="0054576B">
      <w:pPr>
        <w:suppressAutoHyphens w:val="0"/>
        <w:spacing w:line="400" w:lineRule="exact"/>
        <w:ind w:left="1077" w:hanging="367"/>
        <w:textAlignment w:val="auto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(1)不良事件，包括：</w:t>
      </w:r>
    </w:p>
    <w:p w14:paraId="3DFF1E0B" w14:textId="77777777" w:rsidR="0054576B" w:rsidRDefault="0054576B" w:rsidP="0054576B">
      <w:pPr>
        <w:spacing w:line="400" w:lineRule="exact"/>
        <w:ind w:left="1276" w:hanging="383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Ⅰ.惡性腫瘤。</w:t>
      </w:r>
    </w:p>
    <w:p w14:paraId="7F306934" w14:textId="77777777" w:rsidR="0054576B" w:rsidRDefault="0054576B" w:rsidP="0054576B">
      <w:pPr>
        <w:spacing w:line="400" w:lineRule="exact"/>
        <w:ind w:left="1276" w:hanging="383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Ⅱ.懷孕與</w:t>
      </w:r>
      <w:proofErr w:type="gramStart"/>
      <w:r>
        <w:rPr>
          <w:rFonts w:ascii="標楷體" w:eastAsia="標楷體" w:hAnsi="標楷體"/>
          <w:color w:val="000000"/>
          <w:szCs w:val="24"/>
        </w:rPr>
        <w:t>授乳期間</w:t>
      </w:r>
      <w:proofErr w:type="gramEnd"/>
      <w:r>
        <w:rPr>
          <w:rFonts w:ascii="標楷體" w:eastAsia="標楷體" w:hAnsi="標楷體"/>
          <w:color w:val="000000"/>
          <w:szCs w:val="24"/>
        </w:rPr>
        <w:t>。</w:t>
      </w:r>
    </w:p>
    <w:p w14:paraId="7F40EE97" w14:textId="77777777" w:rsidR="0054576B" w:rsidRDefault="0054576B" w:rsidP="0054576B">
      <w:pPr>
        <w:spacing w:line="400" w:lineRule="exact"/>
        <w:ind w:left="1276" w:hanging="383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Ⅲ.寄生蟲 (蠕蟲) 感染。</w:t>
      </w:r>
    </w:p>
    <w:p w14:paraId="790E1D0D" w14:textId="77777777" w:rsidR="0054576B" w:rsidRDefault="0054576B" w:rsidP="0054576B">
      <w:pPr>
        <w:spacing w:line="400" w:lineRule="exact"/>
        <w:ind w:left="1276" w:hanging="383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Ⅳ.使用</w:t>
      </w:r>
      <w:proofErr w:type="spellStart"/>
      <w:r>
        <w:rPr>
          <w:rFonts w:ascii="標楷體" w:eastAsia="標楷體" w:hAnsi="標楷體"/>
          <w:color w:val="000000"/>
          <w:szCs w:val="24"/>
        </w:rPr>
        <w:t>abrocitnib</w:t>
      </w:r>
      <w:proofErr w:type="spellEnd"/>
      <w:r>
        <w:rPr>
          <w:rFonts w:ascii="標楷體" w:eastAsia="標楷體" w:hAnsi="標楷體"/>
          <w:color w:val="000000"/>
          <w:szCs w:val="24"/>
        </w:rPr>
        <w:t>者發生嚴重</w:t>
      </w:r>
      <w:proofErr w:type="gramStart"/>
      <w:r>
        <w:rPr>
          <w:rFonts w:ascii="標楷體" w:eastAsia="標楷體" w:hAnsi="標楷體"/>
          <w:color w:val="000000"/>
          <w:szCs w:val="24"/>
        </w:rPr>
        <w:t>的間發性</w:t>
      </w:r>
      <w:proofErr w:type="gramEnd"/>
      <w:r>
        <w:rPr>
          <w:rFonts w:ascii="標楷體" w:eastAsia="標楷體" w:hAnsi="標楷體"/>
          <w:color w:val="000000"/>
          <w:szCs w:val="24"/>
        </w:rPr>
        <w:t>感染症(帶狀皰疹) (暫時停藥即可)。(112/6/1)</w:t>
      </w:r>
    </w:p>
    <w:p w14:paraId="2D7D61DA" w14:textId="77777777" w:rsidR="0054576B" w:rsidRDefault="0054576B" w:rsidP="0054576B">
      <w:pPr>
        <w:suppressAutoHyphens w:val="0"/>
        <w:spacing w:line="400" w:lineRule="exact"/>
        <w:ind w:left="1077" w:hanging="367"/>
        <w:textAlignment w:val="auto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(2)療效</w:t>
      </w:r>
      <w:proofErr w:type="gramStart"/>
      <w:r>
        <w:rPr>
          <w:rFonts w:ascii="標楷體" w:eastAsia="標楷體" w:hAnsi="標楷體"/>
          <w:color w:val="000000"/>
          <w:szCs w:val="24"/>
        </w:rPr>
        <w:t>不</w:t>
      </w:r>
      <w:proofErr w:type="gramEnd"/>
      <w:r>
        <w:rPr>
          <w:rFonts w:ascii="標楷體" w:eastAsia="標楷體" w:hAnsi="標楷體"/>
          <w:color w:val="000000"/>
          <w:szCs w:val="24"/>
        </w:rPr>
        <w:t>彰：患者經過6個月治療（初次療程）後未達療效者，療效定義指EASI改善未達50%。</w:t>
      </w:r>
    </w:p>
    <w:p w14:paraId="3E1FB1DA" w14:textId="77777777" w:rsidR="0054576B" w:rsidRDefault="0054576B" w:rsidP="0054576B">
      <w:pPr>
        <w:suppressAutoHyphens w:val="0"/>
        <w:spacing w:line="400" w:lineRule="exact"/>
        <w:ind w:left="796" w:hanging="230"/>
        <w:textAlignment w:val="auto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6.暫緩續用之相關規定：</w:t>
      </w:r>
    </w:p>
    <w:p w14:paraId="60F6C0E0" w14:textId="32B34510" w:rsidR="0054576B" w:rsidRPr="00C924A7" w:rsidRDefault="0054576B" w:rsidP="0054576B">
      <w:pPr>
        <w:suppressAutoHyphens w:val="0"/>
        <w:spacing w:line="400" w:lineRule="exact"/>
        <w:ind w:left="1077" w:hanging="367"/>
        <w:textAlignment w:val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color w:val="000000"/>
          <w:szCs w:val="24"/>
        </w:rPr>
        <w:t>(1)暫緩續用時機：</w:t>
      </w:r>
      <w:r w:rsidR="00C63C53">
        <w:rPr>
          <w:rFonts w:ascii="標楷體" w:eastAsia="標楷體" w:hAnsi="標楷體"/>
          <w:color w:val="000000"/>
          <w:szCs w:val="24"/>
        </w:rPr>
        <w:t>使用</w:t>
      </w:r>
      <w:r w:rsidR="00C63C53" w:rsidRPr="00C924A7">
        <w:rPr>
          <w:rFonts w:ascii="標楷體" w:eastAsia="標楷體" w:hAnsi="標楷體" w:hint="eastAsia"/>
          <w:szCs w:val="24"/>
        </w:rPr>
        <w:t>dupilumab</w:t>
      </w:r>
      <w:r w:rsidR="00C63C53" w:rsidRPr="00C924A7">
        <w:rPr>
          <w:rFonts w:ascii="標楷體" w:eastAsia="標楷體" w:hAnsi="標楷體"/>
          <w:szCs w:val="24"/>
        </w:rPr>
        <w:t>治療1年後，或使用</w:t>
      </w:r>
      <w:proofErr w:type="spellStart"/>
      <w:r w:rsidR="00C63C53" w:rsidRPr="00C924A7">
        <w:rPr>
          <w:rFonts w:ascii="標楷體" w:eastAsia="標楷體" w:hAnsi="標楷體"/>
          <w:szCs w:val="24"/>
        </w:rPr>
        <w:t>abrocitinib</w:t>
      </w:r>
      <w:proofErr w:type="spellEnd"/>
      <w:r w:rsidR="00C63C53" w:rsidRPr="00C924A7">
        <w:rPr>
          <w:rFonts w:ascii="標楷體" w:eastAsia="標楷體" w:hAnsi="標楷體"/>
          <w:szCs w:val="24"/>
        </w:rPr>
        <w:t>、</w:t>
      </w:r>
      <w:proofErr w:type="spellStart"/>
      <w:r w:rsidR="00C63C53" w:rsidRPr="00C924A7">
        <w:rPr>
          <w:rFonts w:ascii="標楷體" w:eastAsia="標楷體" w:hAnsi="標楷體"/>
          <w:szCs w:val="24"/>
        </w:rPr>
        <w:t>upadacitinib</w:t>
      </w:r>
      <w:proofErr w:type="spellEnd"/>
      <w:r w:rsidR="00C63C53" w:rsidRPr="00C924A7">
        <w:rPr>
          <w:rFonts w:ascii="標楷體" w:eastAsia="標楷體" w:hAnsi="標楷體" w:hint="eastAsia"/>
          <w:szCs w:val="24"/>
        </w:rPr>
        <w:t>、lebrikizumab</w:t>
      </w:r>
      <w:r w:rsidR="00C63C53" w:rsidRPr="00C924A7">
        <w:rPr>
          <w:rFonts w:ascii="標楷體" w:eastAsia="標楷體" w:hAnsi="標楷體"/>
          <w:szCs w:val="24"/>
        </w:rPr>
        <w:t xml:space="preserve"> 2年後符合EASI</w:t>
      </w:r>
      <w:proofErr w:type="gramStart"/>
      <w:r w:rsidR="00C63C53" w:rsidRPr="00C924A7">
        <w:rPr>
          <w:rFonts w:ascii="標楷體" w:eastAsia="標楷體" w:hAnsi="標楷體"/>
          <w:szCs w:val="24"/>
        </w:rPr>
        <w:t>≦</w:t>
      </w:r>
      <w:proofErr w:type="gramEnd"/>
      <w:r w:rsidR="00C63C53" w:rsidRPr="00C924A7">
        <w:rPr>
          <w:rFonts w:ascii="標楷體" w:eastAsia="標楷體" w:hAnsi="標楷體"/>
          <w:szCs w:val="24"/>
        </w:rPr>
        <w:t>16者。(111/8/1、114/6/1</w:t>
      </w:r>
      <w:r w:rsidR="00C63C53" w:rsidRPr="00C924A7">
        <w:rPr>
          <w:rFonts w:ascii="標楷體" w:eastAsia="標楷體" w:hAnsi="標楷體" w:hint="eastAsia"/>
          <w:szCs w:val="24"/>
        </w:rPr>
        <w:t>、115/6/1</w:t>
      </w:r>
      <w:r w:rsidR="00C63C53" w:rsidRPr="00C924A7">
        <w:rPr>
          <w:rFonts w:ascii="標楷體" w:eastAsia="標楷體" w:hAnsi="標楷體"/>
          <w:szCs w:val="24"/>
        </w:rPr>
        <w:t>)</w:t>
      </w:r>
    </w:p>
    <w:p w14:paraId="7552328E" w14:textId="77777777" w:rsidR="0054576B" w:rsidRDefault="0054576B" w:rsidP="0054576B">
      <w:pPr>
        <w:suppressAutoHyphens w:val="0"/>
        <w:spacing w:line="400" w:lineRule="exact"/>
        <w:ind w:left="1077" w:hanging="367"/>
        <w:textAlignment w:val="auto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(2)暫緩續用後若疾病再復發，可重新申請使用，須符合至少有50%復發或EASI</w:t>
      </w:r>
      <w:proofErr w:type="gramStart"/>
      <w:r>
        <w:rPr>
          <w:rFonts w:ascii="標楷體" w:eastAsia="標楷體" w:hAnsi="標楷體"/>
          <w:color w:val="000000"/>
          <w:szCs w:val="24"/>
        </w:rPr>
        <w:t>≧</w:t>
      </w:r>
      <w:proofErr w:type="gramEnd"/>
      <w:r>
        <w:rPr>
          <w:rFonts w:ascii="標楷體" w:eastAsia="標楷體" w:hAnsi="標楷體"/>
          <w:color w:val="000000"/>
          <w:szCs w:val="24"/>
        </w:rPr>
        <w:t>16 (需附上次療程治療前、後，及本次照片)。(111/8/1)</w:t>
      </w:r>
    </w:p>
    <w:p w14:paraId="6D6A61FA" w14:textId="77777777" w:rsidR="0054576B" w:rsidRDefault="0054576B" w:rsidP="0054576B">
      <w:pPr>
        <w:suppressAutoHyphens w:val="0"/>
        <w:spacing w:line="400" w:lineRule="exact"/>
        <w:ind w:left="796" w:hanging="230"/>
        <w:textAlignment w:val="auto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7.</w:t>
      </w:r>
      <w:r w:rsidRPr="00F94FED">
        <w:rPr>
          <w:rFonts w:hint="eastAsia"/>
        </w:rPr>
        <w:t xml:space="preserve"> </w:t>
      </w:r>
      <w:r w:rsidRPr="00F94FED">
        <w:rPr>
          <w:rFonts w:ascii="標楷體" w:eastAsia="標楷體" w:hAnsi="標楷體" w:hint="eastAsia"/>
          <w:color w:val="000000"/>
          <w:szCs w:val="24"/>
        </w:rPr>
        <w:t>Dupilumab、</w:t>
      </w:r>
      <w:proofErr w:type="spellStart"/>
      <w:r w:rsidRPr="00F94FED">
        <w:rPr>
          <w:rFonts w:ascii="標楷體" w:eastAsia="標楷體" w:hAnsi="標楷體" w:hint="eastAsia"/>
          <w:color w:val="000000"/>
          <w:szCs w:val="24"/>
        </w:rPr>
        <w:t>upadacitinib</w:t>
      </w:r>
      <w:proofErr w:type="spellEnd"/>
      <w:r w:rsidRPr="00F94FED">
        <w:rPr>
          <w:rFonts w:ascii="標楷體" w:eastAsia="標楷體" w:hAnsi="標楷體" w:hint="eastAsia"/>
          <w:color w:val="000000"/>
          <w:szCs w:val="24"/>
        </w:rPr>
        <w:t>、</w:t>
      </w:r>
      <w:proofErr w:type="spellStart"/>
      <w:r w:rsidRPr="00F94FED">
        <w:rPr>
          <w:rFonts w:ascii="標楷體" w:eastAsia="標楷體" w:hAnsi="標楷體" w:hint="eastAsia"/>
          <w:color w:val="000000"/>
          <w:szCs w:val="24"/>
        </w:rPr>
        <w:t>abrocitinib</w:t>
      </w:r>
      <w:proofErr w:type="spellEnd"/>
      <w:r w:rsidRPr="00F94FED">
        <w:rPr>
          <w:rFonts w:ascii="標楷體" w:eastAsia="標楷體" w:hAnsi="標楷體" w:hint="eastAsia"/>
          <w:color w:val="000000"/>
          <w:szCs w:val="24"/>
        </w:rPr>
        <w:t>及lebrikizumab不得</w:t>
      </w:r>
      <w:proofErr w:type="gramStart"/>
      <w:r w:rsidRPr="00F94FED">
        <w:rPr>
          <w:rFonts w:ascii="標楷體" w:eastAsia="標楷體" w:hAnsi="標楷體" w:hint="eastAsia"/>
          <w:color w:val="000000"/>
          <w:szCs w:val="24"/>
        </w:rPr>
        <w:t>併</w:t>
      </w:r>
      <w:proofErr w:type="gramEnd"/>
      <w:r w:rsidRPr="00F94FED">
        <w:rPr>
          <w:rFonts w:ascii="標楷體" w:eastAsia="標楷體" w:hAnsi="標楷體" w:hint="eastAsia"/>
          <w:color w:val="000000"/>
          <w:szCs w:val="24"/>
        </w:rPr>
        <w:t>用；</w:t>
      </w:r>
      <w:proofErr w:type="spellStart"/>
      <w:r w:rsidRPr="00F94FED">
        <w:rPr>
          <w:rFonts w:ascii="標楷體" w:eastAsia="標楷體" w:hAnsi="標楷體" w:hint="eastAsia"/>
          <w:color w:val="000000"/>
          <w:szCs w:val="24"/>
        </w:rPr>
        <w:t>upadacitinib</w:t>
      </w:r>
      <w:proofErr w:type="spellEnd"/>
      <w:r w:rsidRPr="00F94FED">
        <w:rPr>
          <w:rFonts w:ascii="標楷體" w:eastAsia="標楷體" w:hAnsi="標楷體" w:hint="eastAsia"/>
          <w:color w:val="000000"/>
          <w:szCs w:val="24"/>
        </w:rPr>
        <w:t>及</w:t>
      </w:r>
      <w:proofErr w:type="spellStart"/>
      <w:r w:rsidRPr="00F94FED">
        <w:rPr>
          <w:rFonts w:ascii="標楷體" w:eastAsia="標楷體" w:hAnsi="標楷體" w:hint="eastAsia"/>
          <w:color w:val="000000"/>
          <w:szCs w:val="24"/>
        </w:rPr>
        <w:t>abrocitinib</w:t>
      </w:r>
      <w:proofErr w:type="spellEnd"/>
      <w:r w:rsidRPr="00F94FED">
        <w:rPr>
          <w:rFonts w:ascii="標楷體" w:eastAsia="標楷體" w:hAnsi="標楷體" w:hint="eastAsia"/>
          <w:color w:val="000000"/>
          <w:szCs w:val="24"/>
        </w:rPr>
        <w:t>不得</w:t>
      </w:r>
      <w:proofErr w:type="gramStart"/>
      <w:r w:rsidRPr="00F94FED">
        <w:rPr>
          <w:rFonts w:ascii="標楷體" w:eastAsia="標楷體" w:hAnsi="標楷體" w:hint="eastAsia"/>
          <w:color w:val="000000"/>
          <w:szCs w:val="24"/>
        </w:rPr>
        <w:t>併</w:t>
      </w:r>
      <w:proofErr w:type="gramEnd"/>
      <w:r w:rsidRPr="00F94FED">
        <w:rPr>
          <w:rFonts w:ascii="標楷體" w:eastAsia="標楷體" w:hAnsi="標楷體" w:hint="eastAsia"/>
          <w:color w:val="000000"/>
          <w:szCs w:val="24"/>
        </w:rPr>
        <w:t>用</w:t>
      </w:r>
      <w:r>
        <w:rPr>
          <w:rFonts w:ascii="標楷體" w:eastAsia="標楷體" w:hAnsi="標楷體"/>
          <w:color w:val="000000"/>
          <w:szCs w:val="24"/>
        </w:rPr>
        <w:t>cyclosporin。</w:t>
      </w:r>
      <w:r w:rsidRPr="00F94FED">
        <w:rPr>
          <w:rFonts w:ascii="標楷體" w:eastAsia="標楷體" w:hAnsi="標楷體" w:hint="eastAsia"/>
          <w:color w:val="000000"/>
          <w:szCs w:val="24"/>
        </w:rPr>
        <w:t>（112/4/1、112/6/1、115/6/1）</w:t>
      </w:r>
    </w:p>
    <w:p w14:paraId="253D9F58" w14:textId="77777777" w:rsidR="0054576B" w:rsidRDefault="0054576B" w:rsidP="0054576B">
      <w:pPr>
        <w:suppressAutoHyphens w:val="0"/>
        <w:spacing w:line="400" w:lineRule="exact"/>
        <w:ind w:left="991" w:hanging="240"/>
        <w:textAlignment w:val="auto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◎附表三十二：異位性皮膚炎面積暨嚴重度指數【Eczema Area and Severity Index (EASI)】(108/12/1)</w:t>
      </w:r>
    </w:p>
    <w:p w14:paraId="607F846B" w14:textId="6FAE52FF" w:rsidR="00CA3F27" w:rsidRDefault="0054576B" w:rsidP="0054576B">
      <w:pPr>
        <w:spacing w:line="400" w:lineRule="exact"/>
        <w:ind w:left="850" w:hanging="142"/>
      </w:pPr>
      <w:r>
        <w:rPr>
          <w:rFonts w:ascii="標楷體" w:eastAsia="標楷體" w:hAnsi="標楷體"/>
          <w:color w:val="000000"/>
          <w:szCs w:val="24"/>
        </w:rPr>
        <w:t>◎附表三十二之</w:t>
      </w:r>
      <w:proofErr w:type="gramStart"/>
      <w:r>
        <w:rPr>
          <w:rFonts w:ascii="標楷體" w:eastAsia="標楷體" w:hAnsi="標楷體"/>
          <w:color w:val="000000"/>
          <w:szCs w:val="24"/>
        </w:rPr>
        <w:t>一</w:t>
      </w:r>
      <w:proofErr w:type="gramEnd"/>
      <w:r>
        <w:rPr>
          <w:rFonts w:ascii="標楷體" w:eastAsia="標楷體" w:hAnsi="標楷體"/>
          <w:color w:val="000000"/>
          <w:szCs w:val="24"/>
        </w:rPr>
        <w:t>：全民健康保險12歲以上病人異位性皮膚炎使用生物製劑申請表(109/8/1、111/8/1、113/2/1</w:t>
      </w:r>
      <w:r>
        <w:rPr>
          <w:rFonts w:ascii="標楷體" w:eastAsia="標楷體" w:hAnsi="標楷體"/>
          <w:szCs w:val="24"/>
        </w:rPr>
        <w:t>)</w:t>
      </w:r>
    </w:p>
    <w:p w14:paraId="1707F522" w14:textId="77777777" w:rsidR="00CA3F27" w:rsidRDefault="00ED050B" w:rsidP="0054576B">
      <w:pPr>
        <w:snapToGrid w:val="0"/>
        <w:spacing w:line="400" w:lineRule="exact"/>
        <w:ind w:left="535" w:hanging="283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13.17.2. Dupilumab (如Dupixent)：（113/2/1）(6歲以上未滿12歲兒童治療部分)</w:t>
      </w:r>
    </w:p>
    <w:p w14:paraId="2753E149" w14:textId="77777777" w:rsidR="00CA3F27" w:rsidRDefault="00ED050B" w:rsidP="0054576B">
      <w:pPr>
        <w:pStyle w:val="a9"/>
        <w:numPr>
          <w:ilvl w:val="0"/>
          <w:numId w:val="1"/>
        </w:numPr>
        <w:snapToGrid w:val="0"/>
        <w:spacing w:line="400" w:lineRule="exact"/>
        <w:ind w:left="746" w:hanging="284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限皮膚科專科醫師，或具兒童過敏免疫風濕專長之兒科專科醫師處方。</w:t>
      </w:r>
    </w:p>
    <w:p w14:paraId="57F66F61" w14:textId="77777777" w:rsidR="00CA3F27" w:rsidRDefault="00ED050B" w:rsidP="0054576B">
      <w:pPr>
        <w:pStyle w:val="a9"/>
        <w:numPr>
          <w:ilvl w:val="0"/>
          <w:numId w:val="1"/>
        </w:numPr>
        <w:snapToGrid w:val="0"/>
        <w:spacing w:line="400" w:lineRule="exact"/>
        <w:ind w:left="746" w:hanging="284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限用於經外用藥物及一種全身性免疫抑制劑治療無效(需治療3個月完整療程，得合併他院就診病歷)，且適合以全身性療法治療之全身慢性中重度之異位性皮膚炎患者。</w:t>
      </w:r>
    </w:p>
    <w:p w14:paraId="241BCF7B" w14:textId="77777777" w:rsidR="00CA3F27" w:rsidRDefault="00ED050B" w:rsidP="0054576B">
      <w:pPr>
        <w:pStyle w:val="a9"/>
        <w:numPr>
          <w:ilvl w:val="0"/>
          <w:numId w:val="2"/>
        </w:numPr>
        <w:snapToGrid w:val="0"/>
        <w:spacing w:line="400" w:lineRule="exact"/>
        <w:ind w:left="1029" w:hanging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所稱慢性中重度之異位性皮膚炎，指病灶持續至少6個月，且符合Eczema area severity index (EASI) </w:t>
      </w:r>
      <w:proofErr w:type="gramStart"/>
      <w:r>
        <w:rPr>
          <w:rFonts w:ascii="標楷體" w:eastAsia="標楷體" w:hAnsi="標楷體"/>
        </w:rPr>
        <w:t>≧</w:t>
      </w:r>
      <w:proofErr w:type="gramEnd"/>
      <w:r>
        <w:rPr>
          <w:rFonts w:ascii="標楷體" w:eastAsia="標楷體" w:hAnsi="標楷體"/>
        </w:rPr>
        <w:t>16及Investigator</w:t>
      </w:r>
      <w:proofErr w:type="gramStart"/>
      <w:r>
        <w:rPr>
          <w:rFonts w:ascii="標楷體" w:eastAsia="標楷體" w:hAnsi="標楷體"/>
        </w:rPr>
        <w:t>’</w:t>
      </w:r>
      <w:proofErr w:type="gramEnd"/>
      <w:r>
        <w:rPr>
          <w:rFonts w:ascii="標楷體" w:eastAsia="標楷體" w:hAnsi="標楷體"/>
        </w:rPr>
        <w:t>s Global Assessment (IGA)</w:t>
      </w:r>
      <w:proofErr w:type="gramStart"/>
      <w:r>
        <w:rPr>
          <w:rFonts w:ascii="標楷體" w:eastAsia="標楷體" w:hAnsi="標楷體"/>
        </w:rPr>
        <w:t>≧</w:t>
      </w:r>
      <w:proofErr w:type="gramEnd"/>
      <w:r>
        <w:rPr>
          <w:rFonts w:ascii="標楷體" w:eastAsia="標楷體" w:hAnsi="標楷體"/>
        </w:rPr>
        <w:t>3。</w:t>
      </w:r>
    </w:p>
    <w:p w14:paraId="59F36318" w14:textId="77777777" w:rsidR="00CA3F27" w:rsidRDefault="00ED050B" w:rsidP="0054576B">
      <w:pPr>
        <w:snapToGrid w:val="0"/>
        <w:spacing w:line="400" w:lineRule="exact"/>
        <w:ind w:left="1511" w:hanging="498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/>
        </w:rPr>
        <w:t>註</w:t>
      </w:r>
      <w:proofErr w:type="gramEnd"/>
      <w:r>
        <w:rPr>
          <w:rFonts w:ascii="標楷體" w:eastAsia="標楷體" w:hAnsi="標楷體"/>
        </w:rPr>
        <w:t>：Eczema area severity index (EASI)之異位性皮膚炎面積計算，只含皮膚紅腫濕疹部位，單純的皮膚</w:t>
      </w:r>
      <w:proofErr w:type="gramStart"/>
      <w:r>
        <w:rPr>
          <w:rFonts w:ascii="標楷體" w:eastAsia="標楷體" w:hAnsi="標楷體"/>
        </w:rPr>
        <w:t>乾燥、</w:t>
      </w:r>
      <w:proofErr w:type="gramEnd"/>
      <w:r>
        <w:rPr>
          <w:rFonts w:ascii="標楷體" w:eastAsia="標楷體" w:hAnsi="標楷體"/>
        </w:rPr>
        <w:t>脫皮、抓痕，不可列入計算。</w:t>
      </w:r>
    </w:p>
    <w:p w14:paraId="692D7F82" w14:textId="77777777" w:rsidR="00CA3F27" w:rsidRDefault="00ED050B" w:rsidP="0054576B">
      <w:pPr>
        <w:pStyle w:val="a9"/>
        <w:numPr>
          <w:ilvl w:val="0"/>
          <w:numId w:val="2"/>
        </w:numPr>
        <w:snapToGrid w:val="0"/>
        <w:spacing w:line="400" w:lineRule="exact"/>
        <w:ind w:left="1029" w:hanging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lastRenderedPageBreak/>
        <w:t>所稱治療無效，指經完整療程後，3個月內連續兩次評估，嚴重度均符合</w:t>
      </w:r>
      <w:proofErr w:type="gramStart"/>
      <w:r>
        <w:rPr>
          <w:rFonts w:ascii="標楷體" w:eastAsia="標楷體" w:hAnsi="標楷體"/>
        </w:rPr>
        <w:t>上列第</w:t>
      </w:r>
      <w:proofErr w:type="gramEnd"/>
      <w:r>
        <w:rPr>
          <w:rFonts w:ascii="標楷體" w:eastAsia="標楷體" w:hAnsi="標楷體"/>
        </w:rPr>
        <w:t>(1)點情況，且兩次評估</w:t>
      </w:r>
      <w:proofErr w:type="gramStart"/>
      <w:r>
        <w:rPr>
          <w:rFonts w:ascii="標楷體" w:eastAsia="標楷體" w:hAnsi="標楷體"/>
        </w:rPr>
        <w:t>之間相隔至少</w:t>
      </w:r>
      <w:proofErr w:type="gramEnd"/>
      <w:r>
        <w:rPr>
          <w:rFonts w:ascii="標楷體" w:eastAsia="標楷體" w:hAnsi="標楷體"/>
        </w:rPr>
        <w:t>4</w:t>
      </w:r>
      <w:proofErr w:type="gramStart"/>
      <w:r>
        <w:rPr>
          <w:rFonts w:ascii="標楷體" w:eastAsia="標楷體" w:hAnsi="標楷體"/>
        </w:rPr>
        <w:t>週</w:t>
      </w:r>
      <w:proofErr w:type="gramEnd"/>
      <w:r>
        <w:rPr>
          <w:rFonts w:ascii="標楷體" w:eastAsia="標楷體" w:hAnsi="標楷體"/>
        </w:rPr>
        <w:t>。</w:t>
      </w:r>
    </w:p>
    <w:p w14:paraId="11819EBB" w14:textId="77777777" w:rsidR="00CA3F27" w:rsidRDefault="00ED050B" w:rsidP="0054576B">
      <w:pPr>
        <w:snapToGrid w:val="0"/>
        <w:spacing w:line="400" w:lineRule="exact"/>
        <w:ind w:left="1314" w:hanging="390"/>
      </w:pPr>
      <w:r>
        <w:rPr>
          <w:rFonts w:ascii="標楷體" w:eastAsia="標楷體" w:hAnsi="標楷體"/>
          <w:color w:val="000000"/>
        </w:rPr>
        <w:t>Ⅰ.</w:t>
      </w:r>
      <w:r>
        <w:rPr>
          <w:rFonts w:ascii="標楷體" w:eastAsia="標楷體" w:hAnsi="標楷體"/>
        </w:rPr>
        <w:t>治療必須</w:t>
      </w:r>
      <w:proofErr w:type="gramStart"/>
      <w:r>
        <w:rPr>
          <w:rFonts w:ascii="標楷體" w:eastAsia="標楷體" w:hAnsi="標楷體"/>
        </w:rPr>
        <w:t>包括中效強度</w:t>
      </w:r>
      <w:proofErr w:type="gramEnd"/>
      <w:r>
        <w:rPr>
          <w:rFonts w:ascii="標楷體" w:eastAsia="標楷體" w:hAnsi="標楷體"/>
        </w:rPr>
        <w:t xml:space="preserve"> (medium potency)</w:t>
      </w:r>
      <w:proofErr w:type="gramStart"/>
      <w:r>
        <w:rPr>
          <w:rFonts w:ascii="標楷體" w:eastAsia="標楷體" w:hAnsi="標楷體"/>
        </w:rPr>
        <w:t>或中效強度</w:t>
      </w:r>
      <w:proofErr w:type="gramEnd"/>
      <w:r>
        <w:rPr>
          <w:rFonts w:ascii="標楷體" w:eastAsia="標楷體" w:hAnsi="標楷體"/>
        </w:rPr>
        <w:t>以上之外用類固醇(topical corticosteroid)，及</w:t>
      </w:r>
      <w:proofErr w:type="gramStart"/>
      <w:r>
        <w:rPr>
          <w:rFonts w:ascii="標楷體" w:eastAsia="標楷體" w:hAnsi="標楷體"/>
        </w:rPr>
        <w:t>外用鈣調磷酸</w:t>
      </w:r>
      <w:proofErr w:type="gramEnd"/>
      <w:r>
        <w:rPr>
          <w:rFonts w:ascii="標楷體" w:eastAsia="標楷體" w:hAnsi="標楷體"/>
        </w:rPr>
        <w:t>酶抑制劑(topical calcineurin inhibitor)，規律使用達12週。</w:t>
      </w:r>
    </w:p>
    <w:p w14:paraId="34B3331E" w14:textId="77777777" w:rsidR="00CA3F27" w:rsidRDefault="00ED050B" w:rsidP="0054576B">
      <w:pPr>
        <w:snapToGrid w:val="0"/>
        <w:spacing w:line="400" w:lineRule="exact"/>
        <w:ind w:left="1313" w:hanging="462"/>
      </w:pPr>
      <w:r>
        <w:rPr>
          <w:rFonts w:ascii="標楷體" w:eastAsia="標楷體" w:hAnsi="標楷體"/>
          <w:color w:val="000000"/>
        </w:rPr>
        <w:t>Ⅱ.</w:t>
      </w:r>
      <w:r>
        <w:rPr>
          <w:rFonts w:ascii="標楷體" w:eastAsia="標楷體" w:hAnsi="標楷體"/>
        </w:rPr>
        <w:t>治療必須包括以下三種系統性(全身性)治療至少一種，包括methotrexate、azathioprine、cyclosporin，且可與前開外用藥物合併使用。</w:t>
      </w:r>
    </w:p>
    <w:p w14:paraId="59BCCECD" w14:textId="77777777" w:rsidR="00CA3F27" w:rsidRDefault="00ED050B" w:rsidP="0054576B">
      <w:pPr>
        <w:snapToGrid w:val="0"/>
        <w:spacing w:line="400" w:lineRule="exact"/>
        <w:ind w:left="1212" w:hanging="361"/>
      </w:pPr>
      <w:r>
        <w:rPr>
          <w:rFonts w:ascii="標楷體" w:eastAsia="標楷體" w:hAnsi="標楷體"/>
          <w:color w:val="000000"/>
        </w:rPr>
        <w:t>Ⅲ.</w:t>
      </w:r>
      <w:r>
        <w:rPr>
          <w:rFonts w:ascii="標楷體" w:eastAsia="標楷體" w:hAnsi="標楷體"/>
        </w:rPr>
        <w:t>若臨床上使用上述外用藥物發生皮膚萎縮或感染，得停止使用外用藥物，惟須於病歷中詳述說明。</w:t>
      </w:r>
    </w:p>
    <w:p w14:paraId="3B56848F" w14:textId="77777777" w:rsidR="00CA3F27" w:rsidRDefault="00ED050B" w:rsidP="0054576B">
      <w:pPr>
        <w:snapToGrid w:val="0"/>
        <w:spacing w:line="400" w:lineRule="exact"/>
        <w:ind w:left="1134" w:hanging="283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Ⅳ.前開免疫抑制劑之劑量：Methotrexate合理劑量需達每週10mg、azathioprine為1.0mg/kg/d、cyclosporin為2.5mg/kg/d，足量治療至少使用12</w:t>
      </w:r>
      <w:proofErr w:type="gramStart"/>
      <w:r>
        <w:rPr>
          <w:rFonts w:ascii="標楷體" w:eastAsia="標楷體" w:hAnsi="標楷體"/>
        </w:rPr>
        <w:t>週</w:t>
      </w:r>
      <w:proofErr w:type="gramEnd"/>
      <w:r>
        <w:rPr>
          <w:rFonts w:ascii="標楷體" w:eastAsia="標楷體" w:hAnsi="標楷體"/>
        </w:rPr>
        <w:t>無效或是有客觀證據產生不良反應(如肝功能異常、白血球低下、高血壓或腎功能異常，或是經培養確診之皰疹性皮膚炎)或有禁忌症。</w:t>
      </w:r>
    </w:p>
    <w:p w14:paraId="012845FC" w14:textId="77777777" w:rsidR="00CA3F27" w:rsidRDefault="00ED050B" w:rsidP="0054576B">
      <w:pPr>
        <w:snapToGrid w:val="0"/>
        <w:spacing w:line="400" w:lineRule="exact"/>
        <w:ind w:left="1239" w:hanging="388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V.若臨床上發生無法耐受或特殊體質者(例如NUDT15或TPMT代謝不良基因變異型、肝腎功能不佳、或曾因服用上述藥物發生嚴重感染)，得降低前述系統性治療藥物之合理劑量(病歷中須詳述說明及記載)。</w:t>
      </w:r>
    </w:p>
    <w:p w14:paraId="01117478" w14:textId="77777777" w:rsidR="00CA3F27" w:rsidRDefault="00ED050B" w:rsidP="0054576B">
      <w:pPr>
        <w:pStyle w:val="a9"/>
        <w:numPr>
          <w:ilvl w:val="0"/>
          <w:numId w:val="1"/>
        </w:numPr>
        <w:snapToGrid w:val="0"/>
        <w:spacing w:line="400" w:lineRule="exact"/>
        <w:ind w:left="746" w:hanging="284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需經事前審查核准後使用。</w:t>
      </w:r>
    </w:p>
    <w:p w14:paraId="15ADE19C" w14:textId="77777777" w:rsidR="00CA3F27" w:rsidRDefault="00ED050B" w:rsidP="0054576B">
      <w:pPr>
        <w:pStyle w:val="a9"/>
        <w:numPr>
          <w:ilvl w:val="0"/>
          <w:numId w:val="3"/>
        </w:numPr>
        <w:snapToGrid w:val="0"/>
        <w:spacing w:line="400" w:lineRule="exact"/>
        <w:ind w:left="1029" w:hanging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初次申請時，以6個月為1個療程。經</w:t>
      </w:r>
      <w:proofErr w:type="gramStart"/>
      <w:r>
        <w:rPr>
          <w:rFonts w:ascii="標楷體" w:eastAsia="標楷體" w:hAnsi="標楷體"/>
        </w:rPr>
        <w:t>評估需續用</w:t>
      </w:r>
      <w:proofErr w:type="gramEnd"/>
      <w:r>
        <w:rPr>
          <w:rFonts w:ascii="標楷體" w:eastAsia="標楷體" w:hAnsi="標楷體"/>
        </w:rPr>
        <w:t>者，每6個月需再次提出事前審查申請續用評估，且應於期滿前1個月提出，並於</w:t>
      </w:r>
      <w:proofErr w:type="gramStart"/>
      <w:r>
        <w:rPr>
          <w:rFonts w:ascii="標楷體" w:eastAsia="標楷體" w:hAnsi="標楷體"/>
        </w:rPr>
        <w:t>申請時檢附</w:t>
      </w:r>
      <w:proofErr w:type="gramEnd"/>
      <w:r>
        <w:rPr>
          <w:rFonts w:ascii="標楷體" w:eastAsia="標楷體" w:hAnsi="標楷體"/>
        </w:rPr>
        <w:t>照片。</w:t>
      </w:r>
    </w:p>
    <w:p w14:paraId="4AB4DD9F" w14:textId="77777777" w:rsidR="00CA3F27" w:rsidRDefault="00ED050B" w:rsidP="0054576B">
      <w:pPr>
        <w:pStyle w:val="a9"/>
        <w:numPr>
          <w:ilvl w:val="0"/>
          <w:numId w:val="3"/>
        </w:numPr>
        <w:snapToGrid w:val="0"/>
        <w:spacing w:line="400" w:lineRule="exact"/>
        <w:ind w:left="1029" w:hanging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初次申請經核准，於治療滿6個月後，經</w:t>
      </w:r>
      <w:proofErr w:type="gramStart"/>
      <w:r>
        <w:rPr>
          <w:rFonts w:ascii="標楷體" w:eastAsia="標楷體" w:hAnsi="標楷體"/>
        </w:rPr>
        <w:t>評估需續用</w:t>
      </w:r>
      <w:proofErr w:type="gramEnd"/>
      <w:r>
        <w:rPr>
          <w:rFonts w:ascii="標楷體" w:eastAsia="標楷體" w:hAnsi="標楷體"/>
        </w:rPr>
        <w:t xml:space="preserve">者，申請續用時，需檢附照片證明初次申請治療6個月後，與初次治療前之療效達EASI 50方可申請使用。停藥超過3個月再申請者，視同新申請案件，否則視為續用案件。 </w:t>
      </w:r>
    </w:p>
    <w:p w14:paraId="17A6F3F2" w14:textId="77777777" w:rsidR="00CA3F27" w:rsidRDefault="00ED050B" w:rsidP="0054576B">
      <w:pPr>
        <w:pStyle w:val="a9"/>
        <w:numPr>
          <w:ilvl w:val="0"/>
          <w:numId w:val="3"/>
        </w:numPr>
        <w:snapToGrid w:val="0"/>
        <w:spacing w:line="400" w:lineRule="exact"/>
        <w:ind w:left="1029" w:hanging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使用劑量：</w:t>
      </w:r>
    </w:p>
    <w:p w14:paraId="7AE9382B" w14:textId="77777777" w:rsidR="00CA3F27" w:rsidRDefault="00ED050B" w:rsidP="0054576B">
      <w:pPr>
        <w:snapToGrid w:val="0"/>
        <w:spacing w:line="400" w:lineRule="exact"/>
        <w:ind w:left="1323" w:hanging="43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Ⅰ.體重15公斤以上至未滿30公斤：起始劑量600mg (限300mg注射兩劑) ，接著以300mg隔4</w:t>
      </w:r>
      <w:proofErr w:type="gramStart"/>
      <w:r>
        <w:rPr>
          <w:rFonts w:ascii="標楷體" w:eastAsia="標楷體" w:hAnsi="標楷體"/>
        </w:rPr>
        <w:t>週</w:t>
      </w:r>
      <w:proofErr w:type="gramEnd"/>
      <w:r>
        <w:rPr>
          <w:rFonts w:ascii="標楷體" w:eastAsia="標楷體" w:hAnsi="標楷體"/>
        </w:rPr>
        <w:t>注射一次，且於16</w:t>
      </w:r>
      <w:proofErr w:type="gramStart"/>
      <w:r>
        <w:rPr>
          <w:rFonts w:ascii="標楷體" w:eastAsia="標楷體" w:hAnsi="標楷體"/>
        </w:rPr>
        <w:t>週</w:t>
      </w:r>
      <w:proofErr w:type="gramEnd"/>
      <w:r>
        <w:rPr>
          <w:rFonts w:ascii="標楷體" w:eastAsia="標楷體" w:hAnsi="標楷體"/>
        </w:rPr>
        <w:t>時，須先行評估，至少有EASI 50療效方可使用。</w:t>
      </w:r>
    </w:p>
    <w:p w14:paraId="601CBEBB" w14:textId="77777777" w:rsidR="00CA3F27" w:rsidRDefault="00ED050B" w:rsidP="0054576B">
      <w:pPr>
        <w:snapToGrid w:val="0"/>
        <w:spacing w:line="400" w:lineRule="exact"/>
        <w:ind w:left="1311" w:hanging="459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Ⅱ.體重30公斤以上至未滿60公斤：起始劑量400mg (限200mg注射兩劑) ，接著以200mg隔</w:t>
      </w:r>
      <w:proofErr w:type="gramStart"/>
      <w:r>
        <w:rPr>
          <w:rFonts w:ascii="標楷體" w:eastAsia="標楷體" w:hAnsi="標楷體"/>
        </w:rPr>
        <w:t>週</w:t>
      </w:r>
      <w:proofErr w:type="gramEnd"/>
      <w:r>
        <w:rPr>
          <w:rFonts w:ascii="標楷體" w:eastAsia="標楷體" w:hAnsi="標楷體"/>
        </w:rPr>
        <w:t>注射一次，且於16</w:t>
      </w:r>
      <w:proofErr w:type="gramStart"/>
      <w:r>
        <w:rPr>
          <w:rFonts w:ascii="標楷體" w:eastAsia="標楷體" w:hAnsi="標楷體"/>
        </w:rPr>
        <w:t>週</w:t>
      </w:r>
      <w:proofErr w:type="gramEnd"/>
      <w:r>
        <w:rPr>
          <w:rFonts w:ascii="標楷體" w:eastAsia="標楷體" w:hAnsi="標楷體"/>
        </w:rPr>
        <w:t>時，須先行評估，至少有EASI 50療效方可使用。</w:t>
      </w:r>
    </w:p>
    <w:p w14:paraId="49CE088A" w14:textId="77777777" w:rsidR="00CA3F27" w:rsidRDefault="00ED050B" w:rsidP="0054576B">
      <w:pPr>
        <w:snapToGrid w:val="0"/>
        <w:spacing w:line="400" w:lineRule="exact"/>
        <w:ind w:left="1170" w:hanging="319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Ⅲ.體重60公斤以上：起始劑量600mg (限300mg注射兩劑) ，接著以300mg隔</w:t>
      </w:r>
      <w:proofErr w:type="gramStart"/>
      <w:r>
        <w:rPr>
          <w:rFonts w:ascii="標楷體" w:eastAsia="標楷體" w:hAnsi="標楷體"/>
        </w:rPr>
        <w:t>週</w:t>
      </w:r>
      <w:proofErr w:type="gramEnd"/>
      <w:r>
        <w:rPr>
          <w:rFonts w:ascii="標楷體" w:eastAsia="標楷體" w:hAnsi="標楷體"/>
        </w:rPr>
        <w:t>注射一次，且於16</w:t>
      </w:r>
      <w:proofErr w:type="gramStart"/>
      <w:r>
        <w:rPr>
          <w:rFonts w:ascii="標楷體" w:eastAsia="標楷體" w:hAnsi="標楷體"/>
        </w:rPr>
        <w:t>週</w:t>
      </w:r>
      <w:proofErr w:type="gramEnd"/>
      <w:r>
        <w:rPr>
          <w:rFonts w:ascii="標楷體" w:eastAsia="標楷體" w:hAnsi="標楷體"/>
        </w:rPr>
        <w:t>時，須先行評估，至少有EASI 50療效方可使用。</w:t>
      </w:r>
    </w:p>
    <w:p w14:paraId="002A7299" w14:textId="77777777" w:rsidR="00CA3F27" w:rsidRDefault="00ED050B" w:rsidP="0054576B">
      <w:pPr>
        <w:pStyle w:val="a9"/>
        <w:numPr>
          <w:ilvl w:val="0"/>
          <w:numId w:val="3"/>
        </w:numPr>
        <w:snapToGrid w:val="0"/>
        <w:spacing w:line="400" w:lineRule="exact"/>
        <w:ind w:left="1029" w:hanging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若患者曾核准使用治療乾癬之生物製劑，需等到乾癬症狀消失後，至少兩年才能提出申請。或申請前須切片確定排除乾癬診斷並經皮膚科專科醫師確立診斷。</w:t>
      </w:r>
    </w:p>
    <w:p w14:paraId="777B1099" w14:textId="77777777" w:rsidR="00CA3F27" w:rsidRDefault="00ED050B" w:rsidP="0054576B">
      <w:pPr>
        <w:pStyle w:val="a9"/>
        <w:numPr>
          <w:ilvl w:val="0"/>
          <w:numId w:val="1"/>
        </w:numPr>
        <w:snapToGrid w:val="0"/>
        <w:spacing w:line="400" w:lineRule="exact"/>
        <w:ind w:left="746" w:hanging="284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需排除使用的情形應參照藥物仿單資訊，重要之排除使用狀況包括：寄生蟲 (蠕蟲) 感染。</w:t>
      </w:r>
    </w:p>
    <w:p w14:paraId="4738C68D" w14:textId="77777777" w:rsidR="00CA3F27" w:rsidRDefault="00ED050B" w:rsidP="0054576B">
      <w:pPr>
        <w:pStyle w:val="a9"/>
        <w:numPr>
          <w:ilvl w:val="0"/>
          <w:numId w:val="1"/>
        </w:numPr>
        <w:snapToGrid w:val="0"/>
        <w:spacing w:line="400" w:lineRule="exact"/>
        <w:ind w:left="746" w:hanging="284"/>
        <w:rPr>
          <w:rFonts w:ascii="標楷體" w:eastAsia="標楷體" w:hAnsi="標楷體"/>
        </w:rPr>
      </w:pPr>
      <w:r>
        <w:rPr>
          <w:rFonts w:ascii="標楷體" w:eastAsia="標楷體" w:hAnsi="標楷體"/>
        </w:rPr>
        <w:lastRenderedPageBreak/>
        <w:t>如果發生下列現象應停止治療：</w:t>
      </w:r>
    </w:p>
    <w:p w14:paraId="6825F8F2" w14:textId="77777777" w:rsidR="00CA3F27" w:rsidRDefault="00ED050B" w:rsidP="0054576B">
      <w:pPr>
        <w:pStyle w:val="a9"/>
        <w:numPr>
          <w:ilvl w:val="0"/>
          <w:numId w:val="4"/>
        </w:numPr>
        <w:snapToGrid w:val="0"/>
        <w:spacing w:line="400" w:lineRule="exact"/>
        <w:ind w:left="1029" w:hanging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不良事件，包括：</w:t>
      </w:r>
    </w:p>
    <w:p w14:paraId="13CC4112" w14:textId="77777777" w:rsidR="00CA3F27" w:rsidRDefault="00ED050B" w:rsidP="0054576B">
      <w:pPr>
        <w:snapToGrid w:val="0"/>
        <w:spacing w:line="400" w:lineRule="exact"/>
        <w:ind w:left="57" w:firstLine="794"/>
      </w:pPr>
      <w:bookmarkStart w:id="2" w:name="_Hlk156320877"/>
      <w:r>
        <w:rPr>
          <w:rFonts w:ascii="標楷體" w:eastAsia="標楷體" w:hAnsi="標楷體"/>
          <w:color w:val="000000"/>
        </w:rPr>
        <w:t>Ⅰ.</w:t>
      </w:r>
      <w:bookmarkEnd w:id="2"/>
      <w:r>
        <w:rPr>
          <w:rFonts w:ascii="標楷體" w:eastAsia="標楷體" w:hAnsi="標楷體"/>
        </w:rPr>
        <w:t>惡性腫瘤。</w:t>
      </w:r>
    </w:p>
    <w:p w14:paraId="1DE90B42" w14:textId="77777777" w:rsidR="00CA3F27" w:rsidRDefault="00ED050B" w:rsidP="0054576B">
      <w:pPr>
        <w:snapToGrid w:val="0"/>
        <w:spacing w:line="400" w:lineRule="exact"/>
        <w:ind w:left="404" w:firstLine="484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Ⅱ.寄生蟲 (蠕蟲) 感染。</w:t>
      </w:r>
    </w:p>
    <w:p w14:paraId="1061B3E7" w14:textId="77777777" w:rsidR="00CA3F27" w:rsidRDefault="00ED050B" w:rsidP="0054576B">
      <w:pPr>
        <w:pStyle w:val="a9"/>
        <w:numPr>
          <w:ilvl w:val="0"/>
          <w:numId w:val="4"/>
        </w:numPr>
        <w:snapToGrid w:val="0"/>
        <w:spacing w:line="400" w:lineRule="exact"/>
        <w:ind w:left="1029" w:hanging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療效</w:t>
      </w:r>
      <w:proofErr w:type="gramStart"/>
      <w:r>
        <w:rPr>
          <w:rFonts w:ascii="標楷體" w:eastAsia="標楷體" w:hAnsi="標楷體"/>
        </w:rPr>
        <w:t>不</w:t>
      </w:r>
      <w:proofErr w:type="gramEnd"/>
      <w:r>
        <w:rPr>
          <w:rFonts w:ascii="標楷體" w:eastAsia="標楷體" w:hAnsi="標楷體"/>
        </w:rPr>
        <w:t>彰：患者經過6個月治療（初次療程）後未達療效者，療效定義指EASI改善未達50%。</w:t>
      </w:r>
    </w:p>
    <w:p w14:paraId="0F3F5EFE" w14:textId="77777777" w:rsidR="00CA3F27" w:rsidRDefault="00ED050B" w:rsidP="0054576B">
      <w:pPr>
        <w:pStyle w:val="a9"/>
        <w:numPr>
          <w:ilvl w:val="0"/>
          <w:numId w:val="1"/>
        </w:numPr>
        <w:snapToGrid w:val="0"/>
        <w:spacing w:line="400" w:lineRule="exact"/>
        <w:ind w:left="746" w:hanging="284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暫緩續用之相關規定：</w:t>
      </w:r>
    </w:p>
    <w:p w14:paraId="0D2BE0FC" w14:textId="77777777" w:rsidR="00CA3F27" w:rsidRDefault="00ED050B" w:rsidP="0054576B">
      <w:pPr>
        <w:pStyle w:val="a9"/>
        <w:numPr>
          <w:ilvl w:val="0"/>
          <w:numId w:val="5"/>
        </w:numPr>
        <w:snapToGrid w:val="0"/>
        <w:spacing w:line="400" w:lineRule="exact"/>
        <w:ind w:left="1029" w:hanging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暫緩續用時機：使用生物製劑治療1年後符合EASI</w:t>
      </w:r>
      <w:proofErr w:type="gramStart"/>
      <w:r>
        <w:rPr>
          <w:rFonts w:ascii="標楷體" w:eastAsia="標楷體" w:hAnsi="標楷體"/>
        </w:rPr>
        <w:t>≦</w:t>
      </w:r>
      <w:proofErr w:type="gramEnd"/>
      <w:r>
        <w:rPr>
          <w:rFonts w:ascii="標楷體" w:eastAsia="標楷體" w:hAnsi="標楷體"/>
        </w:rPr>
        <w:t>16者。</w:t>
      </w:r>
    </w:p>
    <w:p w14:paraId="6762EB8D" w14:textId="77777777" w:rsidR="00CA3F27" w:rsidRDefault="00ED050B" w:rsidP="0054576B">
      <w:pPr>
        <w:pStyle w:val="a9"/>
        <w:numPr>
          <w:ilvl w:val="0"/>
          <w:numId w:val="5"/>
        </w:numPr>
        <w:snapToGrid w:val="0"/>
        <w:spacing w:line="400" w:lineRule="exact"/>
        <w:ind w:left="1029" w:hanging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暫緩續用後若疾病再復發，可重新申請使用，須符合至少有50%復發或EASI</w:t>
      </w:r>
      <w:proofErr w:type="gramStart"/>
      <w:r>
        <w:rPr>
          <w:rFonts w:ascii="標楷體" w:eastAsia="標楷體" w:hAnsi="標楷體"/>
        </w:rPr>
        <w:t>≧</w:t>
      </w:r>
      <w:proofErr w:type="gramEnd"/>
      <w:r>
        <w:rPr>
          <w:rFonts w:ascii="標楷體" w:eastAsia="標楷體" w:hAnsi="標楷體"/>
        </w:rPr>
        <w:t>16 (需附上次療程治療前、後，及本次照片)。</w:t>
      </w:r>
    </w:p>
    <w:p w14:paraId="58F36F6A" w14:textId="77777777" w:rsidR="00CA3F27" w:rsidRDefault="00ED050B" w:rsidP="0054576B">
      <w:pPr>
        <w:snapToGrid w:val="0"/>
        <w:spacing w:line="400" w:lineRule="exact"/>
        <w:ind w:left="603" w:hanging="269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◎附表三十二：異位性皮膚炎面積暨嚴重度指數【Eczema Area and Severity Index (EASI)】(108/12/1、113/2/1)</w:t>
      </w:r>
    </w:p>
    <w:p w14:paraId="0E0624A1" w14:textId="77777777" w:rsidR="00CA3F27" w:rsidRDefault="00ED050B" w:rsidP="0054576B">
      <w:pPr>
        <w:snapToGrid w:val="0"/>
        <w:spacing w:line="400" w:lineRule="exact"/>
        <w:ind w:left="649" w:hanging="308"/>
      </w:pPr>
      <w:r>
        <w:rPr>
          <w:rFonts w:ascii="標楷體" w:eastAsia="標楷體" w:hAnsi="標楷體"/>
        </w:rPr>
        <w:t>◎附表三十二之</w:t>
      </w:r>
      <w:proofErr w:type="gramStart"/>
      <w:r>
        <w:rPr>
          <w:rFonts w:ascii="標楷體" w:eastAsia="標楷體" w:hAnsi="標楷體"/>
        </w:rPr>
        <w:t>一</w:t>
      </w:r>
      <w:proofErr w:type="gramEnd"/>
      <w:r>
        <w:rPr>
          <w:rFonts w:ascii="標楷體" w:eastAsia="標楷體" w:hAnsi="標楷體"/>
        </w:rPr>
        <w:t>：全民健康保險</w:t>
      </w:r>
      <w:r>
        <w:rPr>
          <w:rFonts w:ascii="標楷體" w:eastAsia="標楷體" w:hAnsi="標楷體"/>
          <w:bCs/>
          <w:szCs w:val="24"/>
        </w:rPr>
        <w:t>12歲以上病人</w:t>
      </w:r>
      <w:r>
        <w:rPr>
          <w:rFonts w:ascii="標楷體" w:eastAsia="標楷體" w:hAnsi="標楷體"/>
        </w:rPr>
        <w:t>異位性皮膚炎使用生物製劑申請表(109/8/1、111/8/1、113/2/1)</w:t>
      </w:r>
    </w:p>
    <w:p w14:paraId="1CB7F647" w14:textId="77777777" w:rsidR="00CA3F27" w:rsidRDefault="00ED050B" w:rsidP="0054576B">
      <w:pPr>
        <w:snapToGrid w:val="0"/>
        <w:spacing w:line="400" w:lineRule="exact"/>
        <w:ind w:left="679" w:hanging="29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◎附表三十二之二：全民健康保險6歲以上未滿12歲兒童異位性皮膚炎使用生物製劑申請表(113/2/1)</w:t>
      </w:r>
    </w:p>
    <w:p w14:paraId="586FC7B3" w14:textId="77777777" w:rsidR="00CA3F27" w:rsidRDefault="00ED050B" w:rsidP="0054576B">
      <w:pPr>
        <w:spacing w:line="400" w:lineRule="exact"/>
        <w:ind w:left="43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13.18.Nadifloxacin外用製劑(如</w:t>
      </w:r>
      <w:proofErr w:type="spellStart"/>
      <w:r>
        <w:rPr>
          <w:rFonts w:ascii="標楷體" w:eastAsia="標楷體" w:hAnsi="標楷體"/>
          <w:color w:val="000000"/>
        </w:rPr>
        <w:t>Nadixa</w:t>
      </w:r>
      <w:proofErr w:type="spellEnd"/>
      <w:r>
        <w:rPr>
          <w:rFonts w:ascii="標楷體" w:eastAsia="標楷體" w:hAnsi="標楷體"/>
          <w:color w:val="000000"/>
        </w:rPr>
        <w:t>) (110/6/1)</w:t>
      </w:r>
    </w:p>
    <w:p w14:paraId="534D09EC" w14:textId="77777777" w:rsidR="00CA3F27" w:rsidRDefault="00ED050B" w:rsidP="0054576B">
      <w:pPr>
        <w:spacing w:line="400" w:lineRule="exact"/>
        <w:ind w:left="796" w:hanging="23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1.限用於傳統外用抗生素治療無效之毛囊炎及尋常性鬚瘡，不得合併其他局部抗生素藥膏使用。</w:t>
      </w:r>
    </w:p>
    <w:p w14:paraId="4D829227" w14:textId="77777777" w:rsidR="00CA3F27" w:rsidRDefault="00ED050B" w:rsidP="0054576B">
      <w:pPr>
        <w:spacing w:line="400" w:lineRule="exact"/>
        <w:ind w:left="566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2.臉部每</w:t>
      </w:r>
      <w:proofErr w:type="gramStart"/>
      <w:r>
        <w:rPr>
          <w:rFonts w:ascii="標楷體" w:eastAsia="標楷體" w:hAnsi="標楷體"/>
          <w:color w:val="000000"/>
        </w:rPr>
        <w:t>個月限</w:t>
      </w:r>
      <w:proofErr w:type="gramEnd"/>
      <w:r>
        <w:rPr>
          <w:rFonts w:ascii="標楷體" w:eastAsia="標楷體" w:hAnsi="標楷體"/>
          <w:color w:val="000000"/>
        </w:rPr>
        <w:t>用一條（25gm）。</w:t>
      </w:r>
    </w:p>
    <w:p w14:paraId="252DBFD5" w14:textId="77777777" w:rsidR="00CA3F27" w:rsidRDefault="00ED050B" w:rsidP="0054576B">
      <w:pPr>
        <w:spacing w:line="400" w:lineRule="exact"/>
        <w:ind w:left="566" w:hanging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13.19.Centella asiatica extract, </w:t>
      </w:r>
      <w:proofErr w:type="spellStart"/>
      <w:r>
        <w:rPr>
          <w:rFonts w:ascii="標楷體" w:eastAsia="標楷體" w:hAnsi="標楷體"/>
          <w:color w:val="000000"/>
        </w:rPr>
        <w:t>plectranthus</w:t>
      </w:r>
      <w:proofErr w:type="spellEnd"/>
      <w:r>
        <w:rPr>
          <w:rFonts w:ascii="標楷體" w:eastAsia="標楷體" w:hAnsi="標楷體"/>
          <w:color w:val="000000"/>
        </w:rPr>
        <w:t xml:space="preserve"> </w:t>
      </w:r>
      <w:proofErr w:type="spellStart"/>
      <w:r>
        <w:rPr>
          <w:rFonts w:ascii="標楷體" w:eastAsia="標楷體" w:hAnsi="標楷體"/>
          <w:color w:val="000000"/>
        </w:rPr>
        <w:t>amboinicus</w:t>
      </w:r>
      <w:proofErr w:type="spellEnd"/>
      <w:r>
        <w:rPr>
          <w:rFonts w:ascii="標楷體" w:eastAsia="標楷體" w:hAnsi="標楷體"/>
          <w:color w:val="000000"/>
        </w:rPr>
        <w:t xml:space="preserve"> extract外用製劑(如</w:t>
      </w:r>
      <w:proofErr w:type="spellStart"/>
      <w:r>
        <w:rPr>
          <w:rFonts w:ascii="標楷體" w:eastAsia="標楷體" w:hAnsi="標楷體"/>
          <w:color w:val="000000"/>
        </w:rPr>
        <w:t>Fespixon</w:t>
      </w:r>
      <w:proofErr w:type="spellEnd"/>
      <w:r>
        <w:rPr>
          <w:rFonts w:ascii="標楷體" w:eastAsia="標楷體" w:hAnsi="標楷體"/>
          <w:color w:val="000000"/>
        </w:rPr>
        <w:t xml:space="preserve"> cream)：(112/8/1)</w:t>
      </w:r>
    </w:p>
    <w:p w14:paraId="672503CD" w14:textId="77777777" w:rsidR="00CA3F27" w:rsidRDefault="00ED050B" w:rsidP="0054576B">
      <w:pPr>
        <w:spacing w:line="400" w:lineRule="exact"/>
        <w:ind w:left="566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1.限整形外科或皮膚科專科醫師使用。</w:t>
      </w:r>
    </w:p>
    <w:p w14:paraId="120FBCDF" w14:textId="77777777" w:rsidR="00CA3F27" w:rsidRDefault="00ED050B" w:rsidP="0054576B">
      <w:pPr>
        <w:spacing w:line="400" w:lineRule="exact"/>
        <w:ind w:left="806" w:hanging="2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2.限用於糖尿病足部傷口潰瘍(Wagner grade 2級)，接受積極血糖控制</w:t>
      </w:r>
      <w:proofErr w:type="gramStart"/>
      <w:r>
        <w:rPr>
          <w:rFonts w:ascii="標楷體" w:eastAsia="標楷體" w:hAnsi="標楷體"/>
          <w:color w:val="000000"/>
        </w:rPr>
        <w:t>及清創手術</w:t>
      </w:r>
      <w:proofErr w:type="gramEnd"/>
      <w:r>
        <w:rPr>
          <w:rFonts w:ascii="標楷體" w:eastAsia="標楷體" w:hAnsi="標楷體"/>
          <w:color w:val="000000"/>
        </w:rPr>
        <w:t>後，其治療最大傷口面積不超過5cm2，且應符合下列所有條件：</w:t>
      </w:r>
    </w:p>
    <w:p w14:paraId="00CD71FC" w14:textId="77777777" w:rsidR="00CA3F27" w:rsidRDefault="00ED050B" w:rsidP="0054576B">
      <w:pPr>
        <w:spacing w:line="400" w:lineRule="exact"/>
        <w:ind w:left="1046" w:hanging="2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(1)糖尿病足部傷口潰瘍，傷口深及</w:t>
      </w:r>
      <w:proofErr w:type="gramStart"/>
      <w:r>
        <w:rPr>
          <w:rFonts w:ascii="標楷體" w:eastAsia="標楷體" w:hAnsi="標楷體"/>
          <w:color w:val="000000"/>
        </w:rPr>
        <w:t>肌肉層且經</w:t>
      </w:r>
      <w:proofErr w:type="gramEnd"/>
      <w:r>
        <w:rPr>
          <w:rFonts w:ascii="標楷體" w:eastAsia="標楷體" w:hAnsi="標楷體"/>
          <w:color w:val="000000"/>
        </w:rPr>
        <w:t>抗生素藥膏或燙傷藥膏治療及使用傷口敷料12</w:t>
      </w:r>
      <w:proofErr w:type="gramStart"/>
      <w:r>
        <w:rPr>
          <w:rFonts w:ascii="標楷體" w:eastAsia="標楷體" w:hAnsi="標楷體"/>
          <w:color w:val="000000"/>
        </w:rPr>
        <w:t>週</w:t>
      </w:r>
      <w:proofErr w:type="gramEnd"/>
      <w:r>
        <w:rPr>
          <w:rFonts w:ascii="標楷體" w:eastAsia="標楷體" w:hAnsi="標楷體"/>
          <w:color w:val="000000"/>
        </w:rPr>
        <w:t>後，該傷口癒合面積小於50%。</w:t>
      </w:r>
    </w:p>
    <w:p w14:paraId="649A8226" w14:textId="77777777" w:rsidR="00CA3F27" w:rsidRDefault="00ED050B" w:rsidP="0054576B">
      <w:pPr>
        <w:spacing w:line="400" w:lineRule="exact"/>
        <w:ind w:left="806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(2)HbA1c&lt;8.5%、albumin </w:t>
      </w:r>
      <w:proofErr w:type="gramStart"/>
      <w:r>
        <w:rPr>
          <w:rFonts w:ascii="標楷體" w:eastAsia="標楷體" w:hAnsi="標楷體"/>
          <w:color w:val="000000"/>
        </w:rPr>
        <w:t>≧</w:t>
      </w:r>
      <w:proofErr w:type="gramEnd"/>
      <w:r>
        <w:rPr>
          <w:rFonts w:ascii="標楷體" w:eastAsia="標楷體" w:hAnsi="標楷體"/>
          <w:color w:val="000000"/>
        </w:rPr>
        <w:t xml:space="preserve"> 3.0 g/dL。</w:t>
      </w:r>
    </w:p>
    <w:p w14:paraId="167FCF17" w14:textId="77777777" w:rsidR="00CA3F27" w:rsidRDefault="00ED050B" w:rsidP="0054576B">
      <w:pPr>
        <w:spacing w:line="400" w:lineRule="exact"/>
        <w:ind w:left="806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(3)治療前ABI（Ankle Brachial Index）</w:t>
      </w:r>
      <w:proofErr w:type="gramStart"/>
      <w:r>
        <w:rPr>
          <w:rFonts w:ascii="標楷體" w:eastAsia="標楷體" w:hAnsi="標楷體"/>
          <w:color w:val="000000"/>
        </w:rPr>
        <w:t>≧</w:t>
      </w:r>
      <w:proofErr w:type="gramEnd"/>
      <w:r>
        <w:rPr>
          <w:rFonts w:ascii="標楷體" w:eastAsia="標楷體" w:hAnsi="標楷體"/>
          <w:color w:val="000000"/>
        </w:rPr>
        <w:t>0.9。</w:t>
      </w:r>
    </w:p>
    <w:p w14:paraId="403857C8" w14:textId="77777777" w:rsidR="00CA3F27" w:rsidRDefault="00ED050B" w:rsidP="0054576B">
      <w:pPr>
        <w:spacing w:line="400" w:lineRule="exact"/>
        <w:ind w:left="566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3.每年限申請1次，每次申請為2支，每次處方限1支。</w:t>
      </w:r>
    </w:p>
    <w:p w14:paraId="4C8C76DC" w14:textId="77777777" w:rsidR="00CA3F27" w:rsidRDefault="00ED050B" w:rsidP="0054576B">
      <w:pPr>
        <w:spacing w:line="400" w:lineRule="exact"/>
        <w:ind w:left="566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4.排除條件:</w:t>
      </w:r>
    </w:p>
    <w:p w14:paraId="43B8C2A5" w14:textId="77777777" w:rsidR="00CA3F27" w:rsidRDefault="00ED050B" w:rsidP="0054576B">
      <w:pPr>
        <w:spacing w:line="400" w:lineRule="exact"/>
        <w:ind w:left="806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(1)急性發炎感染不穩定之傷口。</w:t>
      </w:r>
    </w:p>
    <w:p w14:paraId="220FFCEC" w14:textId="77777777" w:rsidR="00CA3F27" w:rsidRDefault="00ED050B" w:rsidP="0054576B">
      <w:pPr>
        <w:spacing w:line="400" w:lineRule="exact"/>
        <w:ind w:left="1166" w:hanging="36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(2)周邊動脈阻塞(peripheral artery </w:t>
      </w:r>
      <w:proofErr w:type="spellStart"/>
      <w:r>
        <w:rPr>
          <w:rFonts w:ascii="標楷體" w:eastAsia="標楷體" w:hAnsi="標楷體"/>
          <w:color w:val="000000"/>
        </w:rPr>
        <w:t>disease,PAD</w:t>
      </w:r>
      <w:proofErr w:type="spellEnd"/>
      <w:r>
        <w:rPr>
          <w:rFonts w:ascii="標楷體" w:eastAsia="標楷體" w:hAnsi="標楷體"/>
          <w:color w:val="000000"/>
        </w:rPr>
        <w:t xml:space="preserve">)病人未施行經皮血管擴張術 (percutaneous transluminal </w:t>
      </w:r>
      <w:proofErr w:type="spellStart"/>
      <w:r>
        <w:rPr>
          <w:rFonts w:ascii="標楷體" w:eastAsia="標楷體" w:hAnsi="標楷體"/>
          <w:color w:val="000000"/>
        </w:rPr>
        <w:t>angioplasty,PTA</w:t>
      </w:r>
      <w:proofErr w:type="spellEnd"/>
      <w:r>
        <w:rPr>
          <w:rFonts w:ascii="標楷體" w:eastAsia="標楷體" w:hAnsi="標楷體"/>
          <w:color w:val="000000"/>
        </w:rPr>
        <w:t>)治療者。</w:t>
      </w:r>
    </w:p>
    <w:p w14:paraId="5A66C06D" w14:textId="77777777" w:rsidR="00CA3F27" w:rsidRDefault="00ED050B" w:rsidP="0054576B">
      <w:pPr>
        <w:spacing w:line="400" w:lineRule="exact"/>
        <w:ind w:left="806" w:hanging="2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5.需經事前審查核准後使用；應附有HbA1c、albumin、ABI資料及</w:t>
      </w:r>
      <w:proofErr w:type="gramStart"/>
      <w:r>
        <w:rPr>
          <w:rFonts w:ascii="標楷體" w:eastAsia="標楷體" w:hAnsi="標楷體"/>
          <w:color w:val="000000"/>
        </w:rPr>
        <w:t>相隔12週以上清創</w:t>
      </w:r>
      <w:r>
        <w:rPr>
          <w:rFonts w:ascii="標楷體" w:eastAsia="標楷體" w:hAnsi="標楷體"/>
          <w:color w:val="000000"/>
        </w:rPr>
        <w:lastRenderedPageBreak/>
        <w:t>前後</w:t>
      </w:r>
      <w:proofErr w:type="gramEnd"/>
      <w:r>
        <w:rPr>
          <w:rFonts w:ascii="標楷體" w:eastAsia="標楷體" w:hAnsi="標楷體"/>
          <w:color w:val="000000"/>
        </w:rPr>
        <w:t>照片。</w:t>
      </w:r>
    </w:p>
    <w:p w14:paraId="32F0F582" w14:textId="77777777" w:rsidR="00CA3F27" w:rsidRDefault="00ED050B" w:rsidP="0054576B">
      <w:pPr>
        <w:spacing w:line="400" w:lineRule="exact"/>
        <w:ind w:left="566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6.再次申請時除前條所需資料外，需加附前次治療後該傷口完全癒合之照片。</w:t>
      </w:r>
    </w:p>
    <w:p w14:paraId="610742E2" w14:textId="77777777" w:rsidR="00CA3F27" w:rsidRDefault="00ED050B" w:rsidP="0054576B">
      <w:pPr>
        <w:spacing w:line="400" w:lineRule="exact"/>
        <w:ind w:left="566"/>
      </w:pPr>
      <w:r>
        <w:rPr>
          <w:rFonts w:ascii="標楷體" w:eastAsia="標楷體" w:hAnsi="標楷體"/>
          <w:color w:val="000000"/>
        </w:rPr>
        <w:t>備註:積極血糖控制，係指糖化血色素不高於個別目標值1.5%以上，惟一般病人的糖化血色素目標值為7.0%以下，因此8.5%為指標。</w:t>
      </w:r>
    </w:p>
    <w:sectPr w:rsidR="00CA3F27">
      <w:footerReference w:type="default" r:id="rId7"/>
      <w:pgSz w:w="11906" w:h="16838"/>
      <w:pgMar w:top="1134" w:right="1134" w:bottom="1134" w:left="1134" w:header="851" w:footer="992" w:gutter="0"/>
      <w:pgNumType w:start="1"/>
      <w:cols w:space="720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F56A6" w14:textId="77777777" w:rsidR="0052624B" w:rsidRDefault="0052624B">
      <w:r>
        <w:separator/>
      </w:r>
    </w:p>
  </w:endnote>
  <w:endnote w:type="continuationSeparator" w:id="0">
    <w:p w14:paraId="346C5751" w14:textId="77777777" w:rsidR="0052624B" w:rsidRDefault="00526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altName w:val="Arial"/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F0690" w14:textId="77777777" w:rsidR="00AE5A1E" w:rsidRDefault="00ED050B">
    <w:pPr>
      <w:pStyle w:val="a5"/>
      <w:jc w:val="center"/>
    </w:pPr>
    <w:r>
      <w:rPr>
        <w:rFonts w:ascii="標楷體" w:eastAsia="標楷體" w:hAnsi="標楷體"/>
      </w:rPr>
      <w:t>第13節-</w:t>
    </w:r>
    <w:r>
      <w:rPr>
        <w:rFonts w:ascii="標楷體" w:eastAsia="標楷體" w:hAnsi="標楷體"/>
        <w:lang w:val="zh-TW"/>
      </w:rPr>
      <w:fldChar w:fldCharType="begin"/>
    </w:r>
    <w:r>
      <w:rPr>
        <w:rFonts w:ascii="標楷體" w:eastAsia="標楷體" w:hAnsi="標楷體"/>
        <w:lang w:val="zh-TW"/>
      </w:rPr>
      <w:instrText xml:space="preserve"> PAGE </w:instrText>
    </w:r>
    <w:r>
      <w:rPr>
        <w:rFonts w:ascii="標楷體" w:eastAsia="標楷體" w:hAnsi="標楷體"/>
        <w:lang w:val="zh-TW"/>
      </w:rPr>
      <w:fldChar w:fldCharType="separate"/>
    </w:r>
    <w:r>
      <w:rPr>
        <w:rFonts w:ascii="標楷體" w:eastAsia="標楷體" w:hAnsi="標楷體"/>
        <w:lang w:val="zh-TW"/>
      </w:rPr>
      <w:t>5</w:t>
    </w:r>
    <w:r>
      <w:rPr>
        <w:rFonts w:ascii="標楷體" w:eastAsia="標楷體" w:hAnsi="標楷體"/>
        <w:lang w:val="zh-TW"/>
      </w:rPr>
      <w:fldChar w:fldCharType="end"/>
    </w:r>
  </w:p>
  <w:p w14:paraId="016BBA21" w14:textId="77777777" w:rsidR="00AE5A1E" w:rsidRDefault="00AE5A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47A00" w14:textId="77777777" w:rsidR="0052624B" w:rsidRDefault="0052624B">
      <w:r>
        <w:rPr>
          <w:color w:val="000000"/>
        </w:rPr>
        <w:separator/>
      </w:r>
    </w:p>
  </w:footnote>
  <w:footnote w:type="continuationSeparator" w:id="0">
    <w:p w14:paraId="7E6A4C78" w14:textId="77777777" w:rsidR="0052624B" w:rsidRDefault="005262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33CC2"/>
    <w:multiLevelType w:val="multilevel"/>
    <w:tmpl w:val="4AF4FAA2"/>
    <w:lvl w:ilvl="0">
      <w:start w:val="1"/>
      <w:numFmt w:val="decimal"/>
      <w:lvlText w:val="(%1)"/>
      <w:lvlJc w:val="left"/>
      <w:pPr>
        <w:ind w:left="1397" w:hanging="720"/>
      </w:pPr>
      <w:rPr>
        <w:u w:val="none"/>
      </w:rPr>
    </w:lvl>
    <w:lvl w:ilvl="1">
      <w:start w:val="1"/>
      <w:numFmt w:val="ideographTraditional"/>
      <w:lvlText w:val="%2、"/>
      <w:lvlJc w:val="left"/>
      <w:pPr>
        <w:ind w:left="1637" w:hanging="480"/>
      </w:pPr>
    </w:lvl>
    <w:lvl w:ilvl="2">
      <w:start w:val="1"/>
      <w:numFmt w:val="lowerRoman"/>
      <w:lvlText w:val="%3."/>
      <w:lvlJc w:val="right"/>
      <w:pPr>
        <w:ind w:left="2117" w:hanging="480"/>
      </w:pPr>
    </w:lvl>
    <w:lvl w:ilvl="3">
      <w:start w:val="1"/>
      <w:numFmt w:val="decimal"/>
      <w:lvlText w:val="%4."/>
      <w:lvlJc w:val="left"/>
      <w:pPr>
        <w:ind w:left="2597" w:hanging="480"/>
      </w:pPr>
    </w:lvl>
    <w:lvl w:ilvl="4">
      <w:start w:val="1"/>
      <w:numFmt w:val="ideographTraditional"/>
      <w:lvlText w:val="%5、"/>
      <w:lvlJc w:val="left"/>
      <w:pPr>
        <w:ind w:left="3077" w:hanging="480"/>
      </w:pPr>
    </w:lvl>
    <w:lvl w:ilvl="5">
      <w:start w:val="1"/>
      <w:numFmt w:val="lowerRoman"/>
      <w:lvlText w:val="%6."/>
      <w:lvlJc w:val="right"/>
      <w:pPr>
        <w:ind w:left="3557" w:hanging="480"/>
      </w:pPr>
    </w:lvl>
    <w:lvl w:ilvl="6">
      <w:start w:val="1"/>
      <w:numFmt w:val="decimal"/>
      <w:lvlText w:val="%7."/>
      <w:lvlJc w:val="left"/>
      <w:pPr>
        <w:ind w:left="4037" w:hanging="480"/>
      </w:pPr>
    </w:lvl>
    <w:lvl w:ilvl="7">
      <w:start w:val="1"/>
      <w:numFmt w:val="ideographTraditional"/>
      <w:lvlText w:val="%8、"/>
      <w:lvlJc w:val="left"/>
      <w:pPr>
        <w:ind w:left="4517" w:hanging="480"/>
      </w:pPr>
    </w:lvl>
    <w:lvl w:ilvl="8">
      <w:start w:val="1"/>
      <w:numFmt w:val="lowerRoman"/>
      <w:lvlText w:val="%9."/>
      <w:lvlJc w:val="right"/>
      <w:pPr>
        <w:ind w:left="4997" w:hanging="480"/>
      </w:pPr>
    </w:lvl>
  </w:abstractNum>
  <w:abstractNum w:abstractNumId="1" w15:restartNumberingAfterBreak="0">
    <w:nsid w:val="0A493F3A"/>
    <w:multiLevelType w:val="multilevel"/>
    <w:tmpl w:val="9C26F198"/>
    <w:lvl w:ilvl="0">
      <w:start w:val="1"/>
      <w:numFmt w:val="decimal"/>
      <w:lvlText w:val="%1."/>
      <w:lvlJc w:val="left"/>
      <w:pPr>
        <w:ind w:left="764" w:hanging="360"/>
      </w:pPr>
    </w:lvl>
    <w:lvl w:ilvl="1">
      <w:start w:val="1"/>
      <w:numFmt w:val="ideographTraditional"/>
      <w:lvlText w:val="%2、"/>
      <w:lvlJc w:val="left"/>
      <w:pPr>
        <w:ind w:left="1124" w:hanging="480"/>
      </w:pPr>
    </w:lvl>
    <w:lvl w:ilvl="2">
      <w:start w:val="1"/>
      <w:numFmt w:val="lowerRoman"/>
      <w:lvlText w:val="%3."/>
      <w:lvlJc w:val="right"/>
      <w:pPr>
        <w:ind w:left="1604" w:hanging="480"/>
      </w:pPr>
    </w:lvl>
    <w:lvl w:ilvl="3">
      <w:start w:val="1"/>
      <w:numFmt w:val="decimal"/>
      <w:lvlText w:val="%4."/>
      <w:lvlJc w:val="left"/>
      <w:pPr>
        <w:ind w:left="2084" w:hanging="480"/>
      </w:pPr>
    </w:lvl>
    <w:lvl w:ilvl="4">
      <w:start w:val="1"/>
      <w:numFmt w:val="ideographTraditional"/>
      <w:lvlText w:val="%5、"/>
      <w:lvlJc w:val="left"/>
      <w:pPr>
        <w:ind w:left="2564" w:hanging="480"/>
      </w:pPr>
    </w:lvl>
    <w:lvl w:ilvl="5">
      <w:start w:val="1"/>
      <w:numFmt w:val="lowerRoman"/>
      <w:lvlText w:val="%6."/>
      <w:lvlJc w:val="right"/>
      <w:pPr>
        <w:ind w:left="3044" w:hanging="480"/>
      </w:pPr>
    </w:lvl>
    <w:lvl w:ilvl="6">
      <w:start w:val="1"/>
      <w:numFmt w:val="decimal"/>
      <w:lvlText w:val="%7."/>
      <w:lvlJc w:val="left"/>
      <w:pPr>
        <w:ind w:left="3524" w:hanging="480"/>
      </w:pPr>
    </w:lvl>
    <w:lvl w:ilvl="7">
      <w:start w:val="1"/>
      <w:numFmt w:val="ideographTraditional"/>
      <w:lvlText w:val="%8、"/>
      <w:lvlJc w:val="left"/>
      <w:pPr>
        <w:ind w:left="4004" w:hanging="480"/>
      </w:pPr>
    </w:lvl>
    <w:lvl w:ilvl="8">
      <w:start w:val="1"/>
      <w:numFmt w:val="lowerRoman"/>
      <w:lvlText w:val="%9."/>
      <w:lvlJc w:val="right"/>
      <w:pPr>
        <w:ind w:left="4484" w:hanging="480"/>
      </w:pPr>
    </w:lvl>
  </w:abstractNum>
  <w:abstractNum w:abstractNumId="2" w15:restartNumberingAfterBreak="0">
    <w:nsid w:val="5AF3542E"/>
    <w:multiLevelType w:val="multilevel"/>
    <w:tmpl w:val="79B23ECC"/>
    <w:lvl w:ilvl="0">
      <w:start w:val="1"/>
      <w:numFmt w:val="decimal"/>
      <w:lvlText w:val="(%1)"/>
      <w:lvlJc w:val="left"/>
      <w:pPr>
        <w:ind w:left="1397" w:hanging="720"/>
      </w:pPr>
    </w:lvl>
    <w:lvl w:ilvl="1">
      <w:start w:val="1"/>
      <w:numFmt w:val="ideographTraditional"/>
      <w:lvlText w:val="%2、"/>
      <w:lvlJc w:val="left"/>
      <w:pPr>
        <w:ind w:left="1637" w:hanging="480"/>
      </w:pPr>
    </w:lvl>
    <w:lvl w:ilvl="2">
      <w:start w:val="1"/>
      <w:numFmt w:val="lowerRoman"/>
      <w:lvlText w:val="%3."/>
      <w:lvlJc w:val="right"/>
      <w:pPr>
        <w:ind w:left="2117" w:hanging="480"/>
      </w:pPr>
    </w:lvl>
    <w:lvl w:ilvl="3">
      <w:start w:val="1"/>
      <w:numFmt w:val="decimal"/>
      <w:lvlText w:val="%4."/>
      <w:lvlJc w:val="left"/>
      <w:pPr>
        <w:ind w:left="2597" w:hanging="480"/>
      </w:pPr>
    </w:lvl>
    <w:lvl w:ilvl="4">
      <w:start w:val="1"/>
      <w:numFmt w:val="ideographTraditional"/>
      <w:lvlText w:val="%5、"/>
      <w:lvlJc w:val="left"/>
      <w:pPr>
        <w:ind w:left="3077" w:hanging="480"/>
      </w:pPr>
    </w:lvl>
    <w:lvl w:ilvl="5">
      <w:start w:val="1"/>
      <w:numFmt w:val="lowerRoman"/>
      <w:lvlText w:val="%6."/>
      <w:lvlJc w:val="right"/>
      <w:pPr>
        <w:ind w:left="3557" w:hanging="480"/>
      </w:pPr>
    </w:lvl>
    <w:lvl w:ilvl="6">
      <w:start w:val="1"/>
      <w:numFmt w:val="decimal"/>
      <w:lvlText w:val="%7."/>
      <w:lvlJc w:val="left"/>
      <w:pPr>
        <w:ind w:left="4037" w:hanging="480"/>
      </w:pPr>
    </w:lvl>
    <w:lvl w:ilvl="7">
      <w:start w:val="1"/>
      <w:numFmt w:val="ideographTraditional"/>
      <w:lvlText w:val="%8、"/>
      <w:lvlJc w:val="left"/>
      <w:pPr>
        <w:ind w:left="4517" w:hanging="480"/>
      </w:pPr>
    </w:lvl>
    <w:lvl w:ilvl="8">
      <w:start w:val="1"/>
      <w:numFmt w:val="lowerRoman"/>
      <w:lvlText w:val="%9."/>
      <w:lvlJc w:val="right"/>
      <w:pPr>
        <w:ind w:left="4997" w:hanging="480"/>
      </w:pPr>
    </w:lvl>
  </w:abstractNum>
  <w:abstractNum w:abstractNumId="3" w15:restartNumberingAfterBreak="0">
    <w:nsid w:val="5FDE0D65"/>
    <w:multiLevelType w:val="multilevel"/>
    <w:tmpl w:val="3FC8424C"/>
    <w:lvl w:ilvl="0">
      <w:start w:val="1"/>
      <w:numFmt w:val="decimal"/>
      <w:lvlText w:val="(%1)"/>
      <w:lvlJc w:val="left"/>
      <w:pPr>
        <w:ind w:left="1397" w:hanging="720"/>
      </w:pPr>
      <w:rPr>
        <w:u w:val="none"/>
      </w:rPr>
    </w:lvl>
    <w:lvl w:ilvl="1">
      <w:start w:val="1"/>
      <w:numFmt w:val="ideographTraditional"/>
      <w:lvlText w:val="%2、"/>
      <w:lvlJc w:val="left"/>
      <w:pPr>
        <w:ind w:left="1637" w:hanging="480"/>
      </w:pPr>
    </w:lvl>
    <w:lvl w:ilvl="2">
      <w:start w:val="1"/>
      <w:numFmt w:val="lowerRoman"/>
      <w:lvlText w:val="%3."/>
      <w:lvlJc w:val="right"/>
      <w:pPr>
        <w:ind w:left="2117" w:hanging="480"/>
      </w:pPr>
    </w:lvl>
    <w:lvl w:ilvl="3">
      <w:start w:val="1"/>
      <w:numFmt w:val="decimal"/>
      <w:lvlText w:val="%4."/>
      <w:lvlJc w:val="left"/>
      <w:pPr>
        <w:ind w:left="2597" w:hanging="480"/>
      </w:pPr>
    </w:lvl>
    <w:lvl w:ilvl="4">
      <w:start w:val="1"/>
      <w:numFmt w:val="ideographTraditional"/>
      <w:lvlText w:val="%5、"/>
      <w:lvlJc w:val="left"/>
      <w:pPr>
        <w:ind w:left="3077" w:hanging="480"/>
      </w:pPr>
    </w:lvl>
    <w:lvl w:ilvl="5">
      <w:start w:val="1"/>
      <w:numFmt w:val="lowerRoman"/>
      <w:lvlText w:val="%6."/>
      <w:lvlJc w:val="right"/>
      <w:pPr>
        <w:ind w:left="3557" w:hanging="480"/>
      </w:pPr>
    </w:lvl>
    <w:lvl w:ilvl="6">
      <w:start w:val="1"/>
      <w:numFmt w:val="decimal"/>
      <w:lvlText w:val="%7."/>
      <w:lvlJc w:val="left"/>
      <w:pPr>
        <w:ind w:left="4037" w:hanging="480"/>
      </w:pPr>
    </w:lvl>
    <w:lvl w:ilvl="7">
      <w:start w:val="1"/>
      <w:numFmt w:val="ideographTraditional"/>
      <w:lvlText w:val="%8、"/>
      <w:lvlJc w:val="left"/>
      <w:pPr>
        <w:ind w:left="4517" w:hanging="480"/>
      </w:pPr>
    </w:lvl>
    <w:lvl w:ilvl="8">
      <w:start w:val="1"/>
      <w:numFmt w:val="lowerRoman"/>
      <w:lvlText w:val="%9."/>
      <w:lvlJc w:val="right"/>
      <w:pPr>
        <w:ind w:left="4997" w:hanging="480"/>
      </w:pPr>
    </w:lvl>
  </w:abstractNum>
  <w:abstractNum w:abstractNumId="4" w15:restartNumberingAfterBreak="0">
    <w:nsid w:val="751A3823"/>
    <w:multiLevelType w:val="multilevel"/>
    <w:tmpl w:val="B65EB90C"/>
    <w:lvl w:ilvl="0">
      <w:start w:val="1"/>
      <w:numFmt w:val="decimal"/>
      <w:lvlText w:val="(%1)"/>
      <w:lvlJc w:val="left"/>
      <w:pPr>
        <w:ind w:left="1397" w:hanging="720"/>
      </w:pPr>
      <w:rPr>
        <w:u w:val="none"/>
      </w:rPr>
    </w:lvl>
    <w:lvl w:ilvl="1">
      <w:start w:val="1"/>
      <w:numFmt w:val="ideographTraditional"/>
      <w:lvlText w:val="%2、"/>
      <w:lvlJc w:val="left"/>
      <w:pPr>
        <w:ind w:left="1637" w:hanging="480"/>
      </w:pPr>
    </w:lvl>
    <w:lvl w:ilvl="2">
      <w:start w:val="1"/>
      <w:numFmt w:val="lowerRoman"/>
      <w:lvlText w:val="%3."/>
      <w:lvlJc w:val="right"/>
      <w:pPr>
        <w:ind w:left="2117" w:hanging="480"/>
      </w:pPr>
    </w:lvl>
    <w:lvl w:ilvl="3">
      <w:start w:val="1"/>
      <w:numFmt w:val="decimal"/>
      <w:lvlText w:val="%4."/>
      <w:lvlJc w:val="left"/>
      <w:pPr>
        <w:ind w:left="2597" w:hanging="480"/>
      </w:pPr>
    </w:lvl>
    <w:lvl w:ilvl="4">
      <w:start w:val="1"/>
      <w:numFmt w:val="ideographTraditional"/>
      <w:lvlText w:val="%5、"/>
      <w:lvlJc w:val="left"/>
      <w:pPr>
        <w:ind w:left="3077" w:hanging="480"/>
      </w:pPr>
    </w:lvl>
    <w:lvl w:ilvl="5">
      <w:start w:val="1"/>
      <w:numFmt w:val="lowerRoman"/>
      <w:lvlText w:val="%6."/>
      <w:lvlJc w:val="right"/>
      <w:pPr>
        <w:ind w:left="3557" w:hanging="480"/>
      </w:pPr>
    </w:lvl>
    <w:lvl w:ilvl="6">
      <w:start w:val="1"/>
      <w:numFmt w:val="decimal"/>
      <w:lvlText w:val="%7."/>
      <w:lvlJc w:val="left"/>
      <w:pPr>
        <w:ind w:left="4037" w:hanging="480"/>
      </w:pPr>
    </w:lvl>
    <w:lvl w:ilvl="7">
      <w:start w:val="1"/>
      <w:numFmt w:val="ideographTraditional"/>
      <w:lvlText w:val="%8、"/>
      <w:lvlJc w:val="left"/>
      <w:pPr>
        <w:ind w:left="4517" w:hanging="480"/>
      </w:pPr>
    </w:lvl>
    <w:lvl w:ilvl="8">
      <w:start w:val="1"/>
      <w:numFmt w:val="lowerRoman"/>
      <w:lvlText w:val="%9."/>
      <w:lvlJc w:val="right"/>
      <w:pPr>
        <w:ind w:left="4997" w:hanging="480"/>
      </w:pPr>
    </w:lvl>
  </w:abstractNum>
  <w:num w:numId="1" w16cid:durableId="2080326963">
    <w:abstractNumId w:val="1"/>
  </w:num>
  <w:num w:numId="2" w16cid:durableId="693966619">
    <w:abstractNumId w:val="2"/>
  </w:num>
  <w:num w:numId="3" w16cid:durableId="1621573187">
    <w:abstractNumId w:val="0"/>
  </w:num>
  <w:num w:numId="4" w16cid:durableId="1633174431">
    <w:abstractNumId w:val="4"/>
  </w:num>
  <w:num w:numId="5" w16cid:durableId="3360346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F27"/>
    <w:rsid w:val="000953A9"/>
    <w:rsid w:val="00382199"/>
    <w:rsid w:val="004E7D03"/>
    <w:rsid w:val="0052624B"/>
    <w:rsid w:val="0054576B"/>
    <w:rsid w:val="005B193E"/>
    <w:rsid w:val="00745E03"/>
    <w:rsid w:val="008D66DD"/>
    <w:rsid w:val="00AE5A1E"/>
    <w:rsid w:val="00C63C53"/>
    <w:rsid w:val="00C924A7"/>
    <w:rsid w:val="00CA3F27"/>
    <w:rsid w:val="00ED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88B9A"/>
  <w15:docId w15:val="{BE3D2932-D29B-4B73-BD4E-693A06693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2"/>
    </w:rPr>
  </w:style>
  <w:style w:type="paragraph" w:styleId="1">
    <w:name w:val="heading 1"/>
    <w:basedOn w:val="a"/>
    <w:next w:val="a"/>
    <w:uiPriority w:val="9"/>
    <w:qFormat/>
    <w:pPr>
      <w:keepNext/>
      <w:spacing w:line="360" w:lineRule="exact"/>
      <w:jc w:val="center"/>
      <w:outlineLvl w:val="0"/>
    </w:pPr>
    <w:rPr>
      <w:rFonts w:ascii="Times New Roman" w:eastAsia="標楷體" w:hAnsi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character" w:customStyle="1" w:styleId="10">
    <w:name w:val="標題 1 字元"/>
    <w:rPr>
      <w:rFonts w:ascii="Times New Roman" w:eastAsia="標楷體" w:hAnsi="Times New Roman"/>
      <w:b/>
      <w:bCs/>
      <w:kern w:val="3"/>
      <w:sz w:val="32"/>
      <w:szCs w:val="32"/>
    </w:rPr>
  </w:style>
  <w:style w:type="paragraph" w:styleId="Web">
    <w:name w:val="Normal (Web)"/>
    <w:basedOn w:val="a"/>
    <w:pPr>
      <w:widowControl/>
      <w:spacing w:before="100" w:after="100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11">
    <w:name w:val="1."/>
    <w:basedOn w:val="a"/>
    <w:pPr>
      <w:spacing w:line="240" w:lineRule="exact"/>
      <w:ind w:left="242" w:hanging="142"/>
    </w:pPr>
    <w:rPr>
      <w:rFonts w:ascii="Times New Roman" w:eastAsia="標楷體" w:hAnsi="Times New Roman"/>
      <w:color w:val="000000"/>
      <w:kern w:val="0"/>
      <w:sz w:val="20"/>
      <w:szCs w:val="20"/>
    </w:rPr>
  </w:style>
  <w:style w:type="paragraph" w:styleId="a7">
    <w:name w:val="Balloon Text"/>
    <w:basedOn w:val="a"/>
    <w:rPr>
      <w:rFonts w:ascii="Cambria" w:hAnsi="Cambria"/>
      <w:sz w:val="18"/>
      <w:szCs w:val="18"/>
    </w:rPr>
  </w:style>
  <w:style w:type="character" w:customStyle="1" w:styleId="a8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styleId="a9">
    <w:name w:val="List Paragraph"/>
    <w:basedOn w:val="a"/>
    <w:pPr>
      <w:widowControl/>
      <w:ind w:left="480"/>
    </w:pPr>
    <w:rPr>
      <w:rFonts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1559</Words>
  <Characters>8890</Characters>
  <Application>Microsoft Office Word</Application>
  <DocSecurity>0</DocSecurity>
  <Lines>74</Lines>
  <Paragraphs>20</Paragraphs>
  <ScaleCrop>false</ScaleCrop>
  <Company/>
  <LinksUpToDate>false</LinksUpToDate>
  <CharactersWithSpaces>10429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NHI</dc:creator>
  <dc:description/>
  <cp:lastModifiedBy>李欣蓉</cp:lastModifiedBy>
  <cp:revision>6</cp:revision>
  <cp:lastPrinted>2025-02-24T03:38:00Z</cp:lastPrinted>
  <dcterms:created xsi:type="dcterms:W3CDTF">2025-05-23T08:52:00Z</dcterms:created>
  <dcterms:modified xsi:type="dcterms:W3CDTF">2026-05-27T07:28:00Z</dcterms:modified>
</cp:coreProperties>
</file>