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E3" w:rsidRDefault="00C047D5">
      <w:pPr>
        <w:ind w:left="1" w:hanging="426"/>
        <w:jc w:val="center"/>
      </w:pPr>
      <w:bookmarkStart w:id="0" w:name="_GoBack"/>
      <w:bookmarkEnd w:id="0"/>
      <w:r>
        <w:rPr>
          <w:rStyle w:val="bbspaper"/>
          <w:rFonts w:ascii="標楷體" w:eastAsia="標楷體" w:hAnsi="標楷體"/>
          <w:b/>
          <w:sz w:val="32"/>
          <w:szCs w:val="27"/>
        </w:rPr>
        <w:t>「全民健康保險醫療費用審查注意事項」部分修正規定對照表                            109.</w:t>
      </w:r>
      <w:r w:rsidR="00F4175F">
        <w:rPr>
          <w:rStyle w:val="bbspaper"/>
          <w:rFonts w:ascii="標楷體" w:eastAsia="標楷體" w:hAnsi="標楷體"/>
          <w:b/>
          <w:sz w:val="32"/>
          <w:szCs w:val="27"/>
        </w:rPr>
        <w:t>6</w:t>
      </w:r>
      <w:r>
        <w:rPr>
          <w:rStyle w:val="bbspaper"/>
          <w:rFonts w:ascii="標楷體" w:eastAsia="標楷體" w:hAnsi="標楷體"/>
          <w:b/>
          <w:sz w:val="32"/>
          <w:szCs w:val="27"/>
        </w:rPr>
        <w:t>.1生效</w:t>
      </w:r>
    </w:p>
    <w:p w:rsidR="00C349E3" w:rsidRDefault="00C047D5">
      <w:pPr>
        <w:ind w:left="-52" w:hanging="373"/>
      </w:pPr>
      <w:r>
        <w:rPr>
          <w:rStyle w:val="bbspaper"/>
          <w:rFonts w:ascii="標楷體" w:eastAsia="標楷體" w:hAnsi="標楷體"/>
          <w:b/>
          <w:sz w:val="28"/>
          <w:szCs w:val="28"/>
          <w:shd w:val="clear" w:color="auto" w:fill="FFFF00"/>
        </w:rPr>
        <w:t>For(分章節)網頁更新</w:t>
      </w:r>
    </w:p>
    <w:tbl>
      <w:tblPr>
        <w:tblW w:w="11199" w:type="dxa"/>
        <w:tblInd w:w="-1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5386"/>
      </w:tblGrid>
      <w:tr w:rsidR="00C349E3">
        <w:trPr>
          <w:tblHeader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9E3" w:rsidRDefault="00C047D5">
            <w:pPr>
              <w:spacing w:line="400" w:lineRule="exact"/>
              <w:ind w:left="-108" w:firstLine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修正後審查注意事項規定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9E3" w:rsidRDefault="00C047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原審查注意事項規定</w:t>
            </w:r>
          </w:p>
        </w:tc>
      </w:tr>
      <w:tr w:rsidR="00C349E3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047D5">
            <w:pPr>
              <w:spacing w:line="600" w:lineRule="exact"/>
              <w:ind w:left="510" w:hanging="51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  <w:p w:rsidR="00C349E3" w:rsidRDefault="00C349E3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047D5">
            <w:pPr>
              <w:spacing w:line="600" w:lineRule="exact"/>
              <w:ind w:left="510" w:hanging="51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  <w:p w:rsidR="00C349E3" w:rsidRDefault="00C349E3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349E3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047D5">
            <w:pPr>
              <w:spacing w:line="600" w:lineRule="exact"/>
              <w:ind w:left="510" w:hanging="51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1" w:name="_Toc514678335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第一部</w:t>
            </w:r>
            <w:bookmarkEnd w:id="1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醫院醫療費用審查注意事項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中央健康保險局84年9月19日健保審字第84016569號函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中央健康保險局85年2月16日健保審字第85001960號函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中央健康保險局86年1月4日健保審字第86000060號函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中央健康保險局87年4月15日健保審字第87007495號函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中央健康保險局89年6月9日健保審字第89015284號函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中央健康保險局91年12月20日健保審字第0910023538號函公告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中央健康保險局93年4月7日健保審字第0930068296號函公告修正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中央健康保險局94年2月25日健保審字第0940068620號函公告修正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中央健康保險局95年1月9日健保審字第0940069098號函令修正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中央健康保險局95年7月7日健保審字第0950068550號函令修正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中央健康保險局96年3月12日健保審字第0960062072號函令修正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中央健康保險局97年4月1日健保審字第0970012154號函令修正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中央健康保險局97年4月16日健保審字第0970012203號函令修正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中央健康保險局97年7月18日健保審字第0970012454號函令修正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中央健康保險局98年2月12日健保審字第0980032057號函令修正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中央健康保險局98年6月18日健保審字第0980095034號函令修正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中央健康保險局98年12月14日健保審字第0980095828號函令修正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中央健康保險局99年2月25日健保審字第0990074102號函令修正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中央健康保險局99年5月31日健保審字第0990051357號函令修正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中央健康保險局99年12月6日健保審字第0990082225號函令修正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中央健康保險局100年3月29日健保審字第1000075057號函令修正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中央健康保險局100年10月3日健保審字第1000075850號函令修正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中央健康保險局101年1月6日健保審字第1010074718號函令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中央健康保險局101年4月11日健保審字第1010075126號函令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中央健康保險局101年6月14日健保審字第1010075422號函令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中央健康保險局102年2月7日健保審字第1020034874號函令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衛生福利部中央健康保險署102年7月18日健保審字第1020035689號函令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衛生福利部中央健康保險署102年7月31日健保審字第1020035787號函令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衛生福利部中央健康保險署103年4月28日健保審字第1030035320號函令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衛生福利部中央健康保險署103年7月3日健保審字第1030035693號函令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衛生福利部中央健康保險署103年12月3日健保審字第1030036475號函令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衛生福利部中央健康保險署104年6月26日健保審字第1040035724號函令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衛生福利部中央健康保險署104年11月30日健保審字第1040036706號函令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衛生福利部中央健康保險署105年12月12日健保審字第1050080727號函令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衛生福利部中央健康保險署106年1月11日健保審字第1060081002號函令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衛生福利部中央健康保險署106年4月17日健保審字第1060081061號函令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衛生福利部中央健康保險署106年5月15日健保審字第1060081078號函令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衛生福利部中央健康保險署106年7月14日健保審字第1060081104號函令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衛生福利部中央健康保險署106年8月15日健保審字第1060081114號函令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衛生福利部中央健康保險署106年8月24日健保審字第1060081125號函令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衛生福利部中央健康保險署106年11月14日健保審字第1060081152號函令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衛生福利部中央健康保險署106年12月25日健保審字第1060081164號函令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衛生福利部中央健康保險署107年5月17日健保審字第1070035290號函令</w:t>
            </w:r>
          </w:p>
          <w:p w:rsidR="00C349E3" w:rsidRDefault="00C047D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衛生福利部中央健康保險署108年2月11日健保審字第1080034843號函令</w:t>
            </w:r>
          </w:p>
          <w:p w:rsidR="00F4175F" w:rsidRDefault="00F4175F" w:rsidP="00F4175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55681">
              <w:rPr>
                <w:rFonts w:ascii="標楷體" w:eastAsia="標楷體" w:hAnsi="標楷體"/>
                <w:sz w:val="16"/>
                <w:szCs w:val="16"/>
              </w:rPr>
              <w:t>衛生福利部中央健康保險署109年3月23日健保審字第1090034829號函令</w:t>
            </w:r>
          </w:p>
          <w:p w:rsidR="00F4175F" w:rsidRPr="00455681" w:rsidRDefault="00F4175F" w:rsidP="00F4175F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455681"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  <w:t>衛生福利部中央健康保險署109年4月21日健保審字第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  <w:t>109</w:t>
            </w:r>
            <w:r w:rsidRPr="00455681"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  <w:t>0035220號函令</w:t>
            </w:r>
          </w:p>
          <w:p w:rsidR="00C349E3" w:rsidRDefault="00C047D5">
            <w:pPr>
              <w:autoSpaceDE w:val="0"/>
              <w:snapToGrid w:val="0"/>
              <w:spacing w:line="300" w:lineRule="exact"/>
              <w:ind w:left="631" w:hanging="134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*本書各項規定後加註之日期為該規定最終異動生效日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349E3">
            <w:pPr>
              <w:autoSpaceDE w:val="0"/>
              <w:snapToGrid w:val="0"/>
              <w:spacing w:line="300" w:lineRule="exact"/>
              <w:ind w:left="733" w:hanging="84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349E3">
        <w:trPr>
          <w:trHeight w:val="7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047D5">
            <w:pPr>
              <w:spacing w:line="300" w:lineRule="exact"/>
              <w:ind w:left="510" w:hanging="51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第一部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</w:t>
            </w:r>
            <w:bookmarkStart w:id="2" w:name="_Toc467763828"/>
            <w:bookmarkStart w:id="3" w:name="_Toc479239911"/>
            <w:bookmarkStart w:id="4" w:name="_Toc514678336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醫院醫療費用審查注意事項</w:t>
            </w:r>
            <w:bookmarkEnd w:id="2"/>
            <w:bookmarkEnd w:id="3"/>
            <w:bookmarkEnd w:id="4"/>
          </w:p>
          <w:p w:rsidR="00C349E3" w:rsidRDefault="00C047D5">
            <w:pPr>
              <w:spacing w:line="300" w:lineRule="exact"/>
              <w:ind w:left="510" w:hanging="510"/>
            </w:pPr>
            <w:bookmarkStart w:id="5" w:name="_Toc514678337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壹、全民健康保險非住院診斷關聯群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(Tw-DRGs)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案件審查注意事項</w:t>
            </w:r>
            <w:bookmarkEnd w:id="5"/>
          </w:p>
          <w:p w:rsidR="00C349E3" w:rsidRDefault="00C047D5" w:rsidP="00F4175F">
            <w:pPr>
              <w:autoSpaceDE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bookmarkStart w:id="6" w:name="_Toc514678339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lastRenderedPageBreak/>
              <w:t>二、各科審查注意事項：</w:t>
            </w:r>
            <w:bookmarkEnd w:id="6"/>
          </w:p>
          <w:p w:rsidR="00F4175F" w:rsidRDefault="00F4175F" w:rsidP="00F4175F">
            <w:pPr>
              <w:autoSpaceDE w:val="0"/>
              <w:snapToGrid w:val="0"/>
              <w:spacing w:line="300" w:lineRule="exact"/>
              <w:ind w:left="704" w:hanging="704"/>
              <w:jc w:val="both"/>
            </w:pPr>
            <w:r>
              <w:rPr>
                <w:rFonts w:ascii="Times New Roman" w:eastAsia="標楷體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F4BB0" wp14:editId="1077801F">
                      <wp:simplePos x="0" y="0"/>
                      <wp:positionH relativeFrom="column">
                        <wp:posOffset>9715500</wp:posOffset>
                      </wp:positionH>
                      <wp:positionV relativeFrom="paragraph">
                        <wp:posOffset>-1143630</wp:posOffset>
                      </wp:positionV>
                      <wp:extent cx="228600" cy="229871"/>
                      <wp:effectExtent l="0" t="0" r="0" b="0"/>
                      <wp:wrapNone/>
                      <wp:docPr id="6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9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F4175F" w:rsidRDefault="00F4175F" w:rsidP="00F4175F">
                                  <w:pPr>
                                    <w:rPr>
                                      <w:rFonts w:ascii="全真楷書" w:eastAsia="全真楷書" w:hAnsi="全真楷書"/>
                                      <w:sz w:val="28"/>
                                    </w:rPr>
                                  </w:pPr>
                                </w:p>
                                <w:p w:rsidR="00F4175F" w:rsidRDefault="00F4175F" w:rsidP="00F4175F">
                                  <w:pPr>
                                    <w:rPr>
                                      <w:rFonts w:ascii="全真楷書" w:eastAsia="全真楷書" w:hAnsi="全真楷書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701" tIns="12701" rIns="12701" bIns="12701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2F4BB0" id="Rectangle 73" o:spid="_x0000_s1026" style="position:absolute;left:0;text-align:left;margin-left:765pt;margin-top:-90.05pt;width:18pt;height: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" filled="f" stroked="f">
                      <v:textbox inset=".35281mm,.35281mm,.35281mm,.35281mm">
                        <w:txbxContent>
                          <w:p w:rsidR="00F4175F" w:rsidRDefault="00F4175F" w:rsidP="00F4175F">
                            <w:pPr>
                              <w:rPr>
                                <w:rFonts w:ascii="全真楷書" w:eastAsia="全真楷書" w:hAnsi="全真楷書"/>
                                <w:sz w:val="28"/>
                              </w:rPr>
                            </w:pPr>
                          </w:p>
                          <w:p w:rsidR="00F4175F" w:rsidRDefault="00F4175F" w:rsidP="00F4175F">
                            <w:pPr>
                              <w:rPr>
                                <w:rFonts w:ascii="全真楷書" w:eastAsia="全真楷書" w:hAnsi="全真楷書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二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內科審查注意事項</w:t>
            </w:r>
          </w:p>
          <w:p w:rsidR="00F4175F" w:rsidRPr="00F4175F" w:rsidRDefault="00F4175F" w:rsidP="00F4175F">
            <w:pPr>
              <w:autoSpaceDE w:val="0"/>
              <w:snapToGrid w:val="0"/>
              <w:spacing w:line="300" w:lineRule="exact"/>
              <w:ind w:left="460" w:hanging="46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10.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「潛水病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或急性氣栓塞症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(59002B)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」及「潛水病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或急性氣栓塞症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(59015B)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」審查原則：</w:t>
            </w:r>
            <w:r w:rsidRPr="00F4175F">
              <w:rPr>
                <w:rFonts w:ascii="Times New Roman" w:eastAsia="標楷體" w:hAnsi="Times New Roman" w:hint="eastAsia"/>
                <w:color w:val="0070C0"/>
                <w:szCs w:val="28"/>
              </w:rPr>
              <w:t>(109/6/1)</w:t>
            </w:r>
          </w:p>
          <w:p w:rsidR="00F4175F" w:rsidRPr="00F4175F" w:rsidRDefault="00F4175F" w:rsidP="00F4175F">
            <w:pPr>
              <w:pStyle w:val="a5"/>
              <w:numPr>
                <w:ilvl w:val="0"/>
                <w:numId w:val="4"/>
              </w:numPr>
              <w:autoSpaceDE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「潛水病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或急性氣栓塞症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(59002B)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」限輕微潛水減壓病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/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或經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59014B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及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59015B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治療後的後續治療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/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以及異壓性骨壞死等慢性潛水病使用；「潛水病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或急性氣栓塞症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(59015B)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」限治療第一型潛水減壓病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輕微型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及空氣栓塞症」。</w:t>
            </w:r>
          </w:p>
          <w:p w:rsidR="00F4175F" w:rsidRPr="00F4175F" w:rsidRDefault="00F4175F" w:rsidP="00F4175F">
            <w:pPr>
              <w:pStyle w:val="a5"/>
              <w:numPr>
                <w:ilvl w:val="0"/>
                <w:numId w:val="4"/>
              </w:numPr>
              <w:autoSpaceDE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有關潛水病、一氧化碳中毒、氣壞疽病等治療黃金治療期為診斷後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3-5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天。</w:t>
            </w:r>
          </w:p>
          <w:p w:rsidR="00F4175F" w:rsidRPr="00F4175F" w:rsidRDefault="00F4175F" w:rsidP="00F4175F">
            <w:pPr>
              <w:pStyle w:val="a5"/>
              <w:numPr>
                <w:ilvl w:val="0"/>
                <w:numId w:val="4"/>
              </w:numPr>
              <w:autoSpaceDE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高壓氧治療執行頻率最多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如有必要，一氧化碳及其他毒化物中毒，不受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次的限制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，治療共計約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次為宜。若因病情變化而與先前症狀有異，可延長再治療最多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次。</w:t>
            </w:r>
          </w:p>
          <w:p w:rsidR="00F4175F" w:rsidRPr="00F4175F" w:rsidRDefault="00F4175F" w:rsidP="00F4175F">
            <w:pPr>
              <w:pStyle w:val="a5"/>
              <w:numPr>
                <w:ilvl w:val="0"/>
                <w:numId w:val="5"/>
              </w:numPr>
              <w:autoSpaceDE w:val="0"/>
              <w:snapToGrid w:val="0"/>
              <w:spacing w:line="300" w:lineRule="exact"/>
              <w:ind w:hanging="500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急性潛水病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減壓病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或急性氣栓塞症之積極治療為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週內，執行頻率最多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次共計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次為宜，病歷需載明依潛水病之病史、症狀與型別等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第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型或第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型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來決定治療執行頻率，需延長治療期者，應詳述原因於病歷。慢性潛水病如異壓性骨壞死可執行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20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次治療，最多延長至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40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次，並詳述原因於病歷。</w:t>
            </w:r>
          </w:p>
          <w:p w:rsidR="00F4175F" w:rsidRPr="00F4175F" w:rsidRDefault="00F4175F" w:rsidP="00F4175F">
            <w:pPr>
              <w:pStyle w:val="a5"/>
              <w:numPr>
                <w:ilvl w:val="0"/>
                <w:numId w:val="5"/>
              </w:numPr>
              <w:autoSpaceDE w:val="0"/>
              <w:snapToGrid w:val="0"/>
              <w:spacing w:line="300" w:lineRule="exact"/>
              <w:ind w:hanging="500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一氧化碳及其他毒化物中毒建議分為急性期及遲發期治療兩種模式：</w:t>
            </w:r>
          </w:p>
          <w:p w:rsidR="00F4175F" w:rsidRPr="00F4175F" w:rsidRDefault="00F4175F" w:rsidP="00F4175F">
            <w:pPr>
              <w:autoSpaceDE w:val="0"/>
              <w:snapToGrid w:val="0"/>
              <w:spacing w:line="300" w:lineRule="exact"/>
              <w:ind w:leftChars="283" w:left="984" w:hangingChars="127" w:hanging="305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/>
                <w:color w:val="FF0000"/>
                <w:szCs w:val="28"/>
                <w:u w:val="single"/>
              </w:rPr>
              <w:t xml:space="preserve">A. 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急性期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1-2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週之內均為積極治療期，須接受高壓氧治療。屬於急重症、病危者以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59003B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申報，須入院治療。病況改善後仍有需治療者、則續以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59004B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申報。一氧化碳中毒後若有明顯神經精神後遺症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(DNS)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者，並有影像學、病歷、及神經精神量表佐證者，治療期可延長。</w:t>
            </w:r>
          </w:p>
          <w:p w:rsidR="00F4175F" w:rsidRPr="00F4175F" w:rsidRDefault="00F4175F" w:rsidP="00F4175F">
            <w:pPr>
              <w:autoSpaceDE w:val="0"/>
              <w:snapToGrid w:val="0"/>
              <w:spacing w:line="300" w:lineRule="exact"/>
              <w:ind w:leftChars="283" w:left="984" w:hangingChars="127" w:hanging="305"/>
              <w:jc w:val="both"/>
              <w:rPr>
                <w:rFonts w:ascii="Times New Roman" w:eastAsia="標楷體" w:hAnsi="Times New Roman"/>
                <w:color w:val="FF0000"/>
                <w:szCs w:val="28"/>
                <w:u w:val="single"/>
              </w:rPr>
            </w:pPr>
            <w:r w:rsidRPr="00F4175F">
              <w:rPr>
                <w:rFonts w:ascii="Times New Roman" w:eastAsia="標楷體" w:hAnsi="Times New Roman"/>
                <w:color w:val="FF0000"/>
                <w:szCs w:val="28"/>
                <w:u w:val="single"/>
              </w:rPr>
              <w:t xml:space="preserve">B. 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一氧化碳中毒的延遲性神經精神後遺症可能會在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週或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個月後發生，延遲性神經精神後遺症應可在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週或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個月發生後繼續治療遲發性腦病變，則建議註明病史、症狀，加上神經學檢查、智能精神評量及腦部影像檢查後，依病情的嚴重度以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次為療程單位予以評估，依文獻報告及治療經驗最多可達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40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次治療，且效果顯著。</w:t>
            </w:r>
          </w:p>
          <w:p w:rsidR="00C349E3" w:rsidRPr="00F4175F" w:rsidRDefault="00F4175F" w:rsidP="00F4175F">
            <w:pPr>
              <w:autoSpaceDE w:val="0"/>
              <w:snapToGrid w:val="0"/>
              <w:spacing w:line="300" w:lineRule="exact"/>
              <w:ind w:leftChars="195" w:left="948" w:hangingChars="200" w:hanging="4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丙、氣壞疸病黃金治療期約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7-14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天。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週之內為氣壞疸病治療黃金期，屬於急重症、病危者以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lastRenderedPageBreak/>
              <w:t>須入院及手術治療，並須接受高壓氧治療。每日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1-2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次高壓氣治療。病況改善後仍有需傷口治療者、而治療期以不超過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14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天為宜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(10</w:t>
            </w:r>
            <w:r w:rsidRPr="00F4175F">
              <w:rPr>
                <w:rFonts w:ascii="Times New Roman" w:eastAsia="標楷體" w:hAnsi="Times New Roman" w:hint="eastAsia"/>
                <w:color w:val="FF0000"/>
                <w:szCs w:val="28"/>
                <w:u w:val="single"/>
              </w:rPr>
              <w:t>次高壓氧治療）。需檢附病歷、影像學、手術紀錄及照片佐證備查。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E3" w:rsidRDefault="00C047D5">
            <w:pPr>
              <w:spacing w:line="300" w:lineRule="exact"/>
              <w:ind w:left="510" w:hanging="510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lastRenderedPageBreak/>
              <w:t>第一部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醫院醫療費用審查注意事項</w:t>
            </w:r>
          </w:p>
          <w:p w:rsidR="00C349E3" w:rsidRDefault="00C047D5">
            <w:pPr>
              <w:spacing w:line="300" w:lineRule="exact"/>
              <w:ind w:left="510" w:hanging="510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壹、全民健康保險非住院診斷關聯群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(Tw-DRGs)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案件審查注意事項</w:t>
            </w:r>
          </w:p>
          <w:p w:rsidR="00C349E3" w:rsidRDefault="00C047D5">
            <w:pPr>
              <w:snapToGrid w:val="0"/>
              <w:spacing w:line="300" w:lineRule="atLeas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lastRenderedPageBreak/>
              <w:t>二、各科審查注意事項：</w:t>
            </w:r>
          </w:p>
          <w:p w:rsidR="00C349E3" w:rsidRPr="00F4175F" w:rsidRDefault="00C047D5" w:rsidP="00F4175F">
            <w:pPr>
              <w:snapToGrid w:val="0"/>
              <w:spacing w:line="300" w:lineRule="atLeas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內科審查注意事項</w:t>
            </w:r>
          </w:p>
        </w:tc>
      </w:tr>
    </w:tbl>
    <w:p w:rsidR="00C349E3" w:rsidRDefault="00C349E3" w:rsidP="00F4175F">
      <w:pPr>
        <w:widowControl/>
        <w:rPr>
          <w:rFonts w:ascii="標楷體" w:eastAsia="標楷體" w:hAnsi="標楷體"/>
        </w:rPr>
      </w:pPr>
    </w:p>
    <w:sectPr w:rsidR="00C349E3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8C" w:rsidRDefault="00DB588C">
      <w:r>
        <w:separator/>
      </w:r>
    </w:p>
  </w:endnote>
  <w:endnote w:type="continuationSeparator" w:id="0">
    <w:p w:rsidR="00DB588C" w:rsidRDefault="00DB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D8" w:rsidRDefault="00C047D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1F0C">
      <w:rPr>
        <w:noProof/>
        <w:lang w:val="zh-TW"/>
      </w:rPr>
      <w:t>1</w:t>
    </w:r>
    <w:r>
      <w:rPr>
        <w:lang w:val="zh-TW"/>
      </w:rPr>
      <w:fldChar w:fldCharType="end"/>
    </w:r>
  </w:p>
  <w:p w:rsidR="006D20D8" w:rsidRDefault="00DB58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8C" w:rsidRDefault="00DB588C">
      <w:r>
        <w:rPr>
          <w:color w:val="000000"/>
        </w:rPr>
        <w:separator/>
      </w:r>
    </w:p>
  </w:footnote>
  <w:footnote w:type="continuationSeparator" w:id="0">
    <w:p w:rsidR="00DB588C" w:rsidRDefault="00DB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71C"/>
    <w:multiLevelType w:val="multilevel"/>
    <w:tmpl w:val="96024A60"/>
    <w:lvl w:ilvl="0">
      <w:start w:val="1"/>
      <w:numFmt w:val="lowerLetter"/>
      <w:lvlText w:val="%1."/>
      <w:lvlJc w:val="righ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7E9553B"/>
    <w:multiLevelType w:val="multilevel"/>
    <w:tmpl w:val="17A09C0E"/>
    <w:lvl w:ilvl="0">
      <w:start w:val="1"/>
      <w:numFmt w:val="lowerLetter"/>
      <w:lvlText w:val="%1.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C29D5"/>
    <w:multiLevelType w:val="hybridMultilevel"/>
    <w:tmpl w:val="249E288C"/>
    <w:lvl w:ilvl="0" w:tplc="1B12EF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427D51"/>
    <w:multiLevelType w:val="hybridMultilevel"/>
    <w:tmpl w:val="4F586FDE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A26A51"/>
    <w:multiLevelType w:val="multilevel"/>
    <w:tmpl w:val="D05E59F0"/>
    <w:lvl w:ilvl="0">
      <w:start w:val="1"/>
      <w:numFmt w:val="lowerLetter"/>
      <w:lvlText w:val="%1."/>
      <w:lvlJc w:val="right"/>
      <w:pPr>
        <w:ind w:left="939" w:hanging="480"/>
      </w:pPr>
      <w:rPr>
        <w:rFonts w:ascii="標楷體" w:eastAsia="標楷體" w:hAnsi="標楷體"/>
        <w:b w:val="0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419" w:hanging="480"/>
      </w:pPr>
    </w:lvl>
    <w:lvl w:ilvl="2">
      <w:start w:val="1"/>
      <w:numFmt w:val="lowerRoman"/>
      <w:lvlText w:val="%3."/>
      <w:lvlJc w:val="right"/>
      <w:pPr>
        <w:ind w:left="1899" w:hanging="480"/>
      </w:pPr>
    </w:lvl>
    <w:lvl w:ilvl="3">
      <w:start w:val="1"/>
      <w:numFmt w:val="decimal"/>
      <w:lvlText w:val="%4."/>
      <w:lvlJc w:val="left"/>
      <w:pPr>
        <w:ind w:left="2379" w:hanging="480"/>
      </w:pPr>
    </w:lvl>
    <w:lvl w:ilvl="4">
      <w:start w:val="1"/>
      <w:numFmt w:val="ideographTraditional"/>
      <w:lvlText w:val="%5、"/>
      <w:lvlJc w:val="left"/>
      <w:pPr>
        <w:ind w:left="2859" w:hanging="480"/>
      </w:pPr>
    </w:lvl>
    <w:lvl w:ilvl="5">
      <w:start w:val="1"/>
      <w:numFmt w:val="lowerRoman"/>
      <w:lvlText w:val="%6."/>
      <w:lvlJc w:val="right"/>
      <w:pPr>
        <w:ind w:left="3339" w:hanging="480"/>
      </w:pPr>
    </w:lvl>
    <w:lvl w:ilvl="6">
      <w:start w:val="1"/>
      <w:numFmt w:val="decimal"/>
      <w:lvlText w:val="%7."/>
      <w:lvlJc w:val="left"/>
      <w:pPr>
        <w:ind w:left="3819" w:hanging="480"/>
      </w:pPr>
    </w:lvl>
    <w:lvl w:ilvl="7">
      <w:start w:val="1"/>
      <w:numFmt w:val="ideographTraditional"/>
      <w:lvlText w:val="%8、"/>
      <w:lvlJc w:val="left"/>
      <w:pPr>
        <w:ind w:left="4299" w:hanging="480"/>
      </w:pPr>
    </w:lvl>
    <w:lvl w:ilvl="8">
      <w:start w:val="1"/>
      <w:numFmt w:val="lowerRoman"/>
      <w:lvlText w:val="%9."/>
      <w:lvlJc w:val="right"/>
      <w:pPr>
        <w:ind w:left="4779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E3"/>
    <w:rsid w:val="00581D83"/>
    <w:rsid w:val="00791F0C"/>
    <w:rsid w:val="00C047D5"/>
    <w:rsid w:val="00C349E3"/>
    <w:rsid w:val="00DB588C"/>
    <w:rsid w:val="00F4175F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line="360" w:lineRule="atLeast"/>
      <w:outlineLvl w:val="0"/>
    </w:pPr>
    <w:rPr>
      <w:rFonts w:ascii="全真楷書" w:eastAsia="全真楷書" w:hAnsi="全真楷書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rPr>
      <w:rFonts w:ascii="Times New Roman" w:eastAsia="新細明體" w:hAnsi="Times New Roman" w:cs="Times New Roman"/>
      <w:szCs w:val="24"/>
    </w:rPr>
  </w:style>
  <w:style w:type="character" w:customStyle="1" w:styleId="bbspaper">
    <w:name w:val="bbs_paper"/>
    <w:basedOn w:val="a0"/>
  </w:style>
  <w:style w:type="paragraph" w:styleId="a5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pPr>
      <w:spacing w:before="1"/>
      <w:ind w:left="10"/>
    </w:pPr>
    <w:rPr>
      <w:rFonts w:ascii="新細明體" w:hAnsi="新細明體" w:cs="新細明體"/>
      <w:kern w:val="0"/>
      <w:sz w:val="22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paragraph" w:customStyle="1" w:styleId="ae">
    <w:name w:val="第二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">
    <w:name w:val="第二層 字元"/>
    <w:rPr>
      <w:rFonts w:ascii="標楷體" w:eastAsia="標楷體" w:hAnsi="標楷體"/>
      <w:b/>
      <w:sz w:val="32"/>
      <w:szCs w:val="28"/>
    </w:rPr>
  </w:style>
  <w:style w:type="paragraph" w:customStyle="1" w:styleId="af0">
    <w:name w:val="第一層"/>
    <w:basedOn w:val="a3"/>
    <w:pPr>
      <w:spacing w:after="0" w:line="480" w:lineRule="exact"/>
    </w:pPr>
    <w:rPr>
      <w:rFonts w:ascii="標楷體" w:eastAsia="標楷體" w:hAnsi="標楷體"/>
      <w:b/>
      <w:kern w:val="0"/>
      <w:sz w:val="48"/>
      <w:szCs w:val="48"/>
    </w:rPr>
  </w:style>
  <w:style w:type="character" w:customStyle="1" w:styleId="af1">
    <w:name w:val="第一層 字元"/>
    <w:rPr>
      <w:rFonts w:ascii="標楷體" w:eastAsia="標楷體" w:hAnsi="標楷體"/>
      <w:b/>
      <w:sz w:val="48"/>
      <w:szCs w:val="4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paragraph" w:customStyle="1" w:styleId="af2">
    <w:name w:val="第三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3">
    <w:name w:val="第三層 字元"/>
    <w:rPr>
      <w:rFonts w:ascii="標楷體" w:eastAsia="標楷體" w:hAnsi="標楷體"/>
      <w:b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10">
    <w:name w:val="標題 1 字元"/>
    <w:rPr>
      <w:rFonts w:ascii="全真楷書" w:eastAsia="全真楷書" w:hAnsi="全真楷書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line="360" w:lineRule="atLeast"/>
      <w:outlineLvl w:val="0"/>
    </w:pPr>
    <w:rPr>
      <w:rFonts w:ascii="全真楷書" w:eastAsia="全真楷書" w:hAnsi="全真楷書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rPr>
      <w:rFonts w:ascii="Times New Roman" w:eastAsia="新細明體" w:hAnsi="Times New Roman" w:cs="Times New Roman"/>
      <w:szCs w:val="24"/>
    </w:rPr>
  </w:style>
  <w:style w:type="character" w:customStyle="1" w:styleId="bbspaper">
    <w:name w:val="bbs_paper"/>
    <w:basedOn w:val="a0"/>
  </w:style>
  <w:style w:type="paragraph" w:styleId="a5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pPr>
      <w:spacing w:before="1"/>
      <w:ind w:left="10"/>
    </w:pPr>
    <w:rPr>
      <w:rFonts w:ascii="新細明體" w:hAnsi="新細明體" w:cs="新細明體"/>
      <w:kern w:val="0"/>
      <w:sz w:val="22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paragraph" w:customStyle="1" w:styleId="ae">
    <w:name w:val="第二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">
    <w:name w:val="第二層 字元"/>
    <w:rPr>
      <w:rFonts w:ascii="標楷體" w:eastAsia="標楷體" w:hAnsi="標楷體"/>
      <w:b/>
      <w:sz w:val="32"/>
      <w:szCs w:val="28"/>
    </w:rPr>
  </w:style>
  <w:style w:type="paragraph" w:customStyle="1" w:styleId="af0">
    <w:name w:val="第一層"/>
    <w:basedOn w:val="a3"/>
    <w:pPr>
      <w:spacing w:after="0" w:line="480" w:lineRule="exact"/>
    </w:pPr>
    <w:rPr>
      <w:rFonts w:ascii="標楷體" w:eastAsia="標楷體" w:hAnsi="標楷體"/>
      <w:b/>
      <w:kern w:val="0"/>
      <w:sz w:val="48"/>
      <w:szCs w:val="48"/>
    </w:rPr>
  </w:style>
  <w:style w:type="character" w:customStyle="1" w:styleId="af1">
    <w:name w:val="第一層 字元"/>
    <w:rPr>
      <w:rFonts w:ascii="標楷體" w:eastAsia="標楷體" w:hAnsi="標楷體"/>
      <w:b/>
      <w:sz w:val="48"/>
      <w:szCs w:val="4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paragraph" w:customStyle="1" w:styleId="af2">
    <w:name w:val="第三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3">
    <w:name w:val="第三層 字元"/>
    <w:rPr>
      <w:rFonts w:ascii="標楷體" w:eastAsia="標楷體" w:hAnsi="標楷體"/>
      <w:b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10">
    <w:name w:val="標題 1 字元"/>
    <w:rPr>
      <w:rFonts w:ascii="全真楷書" w:eastAsia="全真楷書" w:hAnsi="全真楷書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周成愛</dc:creator>
  <cp:lastModifiedBy>劉小青</cp:lastModifiedBy>
  <cp:revision>2</cp:revision>
  <cp:lastPrinted>2020-03-10T04:34:00Z</cp:lastPrinted>
  <dcterms:created xsi:type="dcterms:W3CDTF">2020-05-25T08:51:00Z</dcterms:created>
  <dcterms:modified xsi:type="dcterms:W3CDTF">2020-05-25T08:51:00Z</dcterms:modified>
</cp:coreProperties>
</file>